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ttachedToolbars.bin" ContentType="application/vnd.ms-word.attachedToolbars"/>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D310FF">
      <w:pPr>
        <w:spacing w:line="360" w:lineRule="auto"/>
        <w:ind w:right="420"/>
        <w:jc w:val="right"/>
        <w:rPr>
          <w:rFonts w:ascii="宋体" w:hAnsi="宋体"/>
          <w:color w:val="000000" w:themeColor="text1"/>
          <w:sz w:val="24"/>
          <w14:textFill>
            <w14:solidFill>
              <w14:schemeClr w14:val="tx1"/>
            </w14:solidFill>
          </w14:textFill>
        </w:rPr>
      </w:pPr>
    </w:p>
    <w:p w14:paraId="73D68641">
      <w:pPr>
        <w:pStyle w:val="3"/>
        <w:widowControl/>
        <w:shd w:val="clear" w:color="auto" w:fill="FFFFFF"/>
        <w:spacing w:beforeAutospacing="0" w:afterAutospacing="0" w:line="360" w:lineRule="auto"/>
        <w:jc w:val="center"/>
        <w:rPr>
          <w:rFonts w:hint="default" w:ascii="Times New Roman" w:hAnsi="Times New Roman"/>
          <w:color w:val="0F1115"/>
          <w:sz w:val="28"/>
          <w:szCs w:val="28"/>
          <w:shd w:val="clear" w:color="auto" w:fill="FFFFFF"/>
        </w:rPr>
      </w:pPr>
      <w:r>
        <w:rPr>
          <w:rFonts w:hint="default" w:ascii="Times New Roman" w:hAnsi="Times New Roman"/>
          <w:color w:val="0F1115"/>
          <w:sz w:val="28"/>
          <w:szCs w:val="28"/>
          <w:shd w:val="clear" w:color="auto" w:fill="FFFFFF"/>
        </w:rPr>
        <w:t>《医疗器械用软骨素钠</w:t>
      </w:r>
      <w:r>
        <w:rPr>
          <w:rFonts w:hint="eastAsia" w:ascii="Times New Roman" w:hAnsi="Times New Roman"/>
          <w:color w:val="0F1115"/>
          <w:sz w:val="28"/>
          <w:szCs w:val="28"/>
          <w:shd w:val="clear" w:color="auto" w:fill="FFFFFF"/>
          <w:lang w:eastAsia="zh-CN"/>
        </w:rPr>
        <w:t>（</w:t>
      </w:r>
      <w:r>
        <w:rPr>
          <w:rFonts w:hint="eastAsia" w:ascii="Times New Roman" w:hAnsi="Times New Roman"/>
          <w:color w:val="0F1115"/>
          <w:sz w:val="28"/>
          <w:szCs w:val="28"/>
          <w:shd w:val="clear" w:color="auto" w:fill="FFFFFF"/>
          <w:lang w:val="en-US" w:eastAsia="zh-CN"/>
        </w:rPr>
        <w:t>征求意见稿）</w:t>
      </w:r>
      <w:bookmarkStart w:id="0" w:name="_GoBack"/>
      <w:bookmarkEnd w:id="0"/>
      <w:r>
        <w:rPr>
          <w:rFonts w:hint="default" w:ascii="Times New Roman" w:hAnsi="Times New Roman"/>
          <w:color w:val="0F1115"/>
          <w:sz w:val="28"/>
          <w:szCs w:val="28"/>
          <w:shd w:val="clear" w:color="auto" w:fill="FFFFFF"/>
        </w:rPr>
        <w:t>》团体标准编制说明</w:t>
      </w:r>
    </w:p>
    <w:p w14:paraId="56C2CE36"/>
    <w:p w14:paraId="2671F373">
      <w:pPr>
        <w:pStyle w:val="4"/>
        <w:widowControl/>
        <w:shd w:val="clear" w:color="auto" w:fill="FFFFFF"/>
        <w:spacing w:beforeAutospacing="0" w:afterAutospacing="0" w:line="360" w:lineRule="auto"/>
        <w:rPr>
          <w:rFonts w:hint="default" w:ascii="Times New Roman" w:hAnsi="Times New Roman"/>
          <w:color w:val="0F1115"/>
          <w:sz w:val="24"/>
          <w:szCs w:val="24"/>
        </w:rPr>
      </w:pPr>
      <w:r>
        <w:rPr>
          <w:rFonts w:hint="default" w:ascii="Times New Roman" w:hAnsi="Times New Roman"/>
          <w:color w:val="0F1115"/>
          <w:sz w:val="24"/>
          <w:szCs w:val="24"/>
          <w:shd w:val="clear" w:color="auto" w:fill="FFFFFF"/>
        </w:rPr>
        <w:t>一、工作简况</w:t>
      </w:r>
    </w:p>
    <w:p w14:paraId="171FE323">
      <w:pPr>
        <w:pStyle w:val="11"/>
        <w:shd w:val="clear" w:color="auto" w:fill="FFFFFF"/>
        <w:spacing w:before="0" w:beforeAutospacing="0" w:after="0" w:afterAutospacing="0" w:line="360" w:lineRule="auto"/>
        <w:rPr>
          <w:rFonts w:ascii="Times New Roman" w:hAnsi="Times New Roman" w:cs="Times New Roman"/>
          <w:color w:val="0F1115"/>
        </w:rPr>
      </w:pPr>
      <w:r>
        <w:rPr>
          <w:rFonts w:ascii="Times New Roman" w:hAnsi="Times New Roman" w:cs="Times New Roman"/>
          <w:b/>
          <w:bCs/>
          <w:color w:val="0F1115"/>
          <w:shd w:val="clear" w:color="auto" w:fill="FFFFFF"/>
        </w:rPr>
        <w:t>1. 任务来源</w:t>
      </w:r>
    </w:p>
    <w:p w14:paraId="734132DD">
      <w:pPr>
        <w:pStyle w:val="11"/>
        <w:shd w:val="clear" w:color="auto" w:fill="FFFFFF"/>
        <w:spacing w:before="0" w:beforeAutospacing="0" w:after="0" w:afterAutospacing="0" w:line="360" w:lineRule="auto"/>
        <w:ind w:firstLine="480" w:firstLineChars="200"/>
        <w:rPr>
          <w:rFonts w:ascii="Times New Roman" w:hAnsi="Times New Roman" w:cs="Times New Roman"/>
          <w:color w:val="0F1115"/>
        </w:rPr>
      </w:pPr>
      <w:r>
        <w:rPr>
          <w:rFonts w:ascii="Times New Roman" w:hAnsi="Times New Roman" w:cs="Times New Roman"/>
          <w:color w:val="0F1115"/>
          <w:shd w:val="clear" w:color="auto" w:fill="FFFFFF"/>
        </w:rPr>
        <w:t>《医疗器械用软骨素钠》团体标准，由中国生物材料学会标准工作委员会归口，由华熙生物科技股份有限公司牵头起草。2026年6月15日，中国生物材料学会发布《关于2026年第三次团体标准立项评审暨技术评审会议的通知》（中生材学会〔2026〕48号），《医疗器械用软骨素钠》被列入立项评审计划。2026年6月28日，中国生物材料学会标准工作委员会线上开展了团体标准的立项评审工作，根据标准工作委员会意见，标准符合立项条件。2026年7月1日，中国生物材料学会正式发布《关于〈外科植入物 可吸收接骨板弯曲疲劳测试方法〉等3项团体标准立项的公示》（中生材学会〔2026〕58号），《医疗器械用软骨素钠》被列入中国生物材料学会2026年团体标准批准立项清单，正式获批立项。</w:t>
      </w:r>
    </w:p>
    <w:p w14:paraId="292073A6">
      <w:pPr>
        <w:pStyle w:val="11"/>
        <w:shd w:val="clear" w:color="auto" w:fill="FFFFFF"/>
        <w:spacing w:before="0" w:beforeAutospacing="0" w:after="0" w:afterAutospacing="0" w:line="360" w:lineRule="auto"/>
        <w:rPr>
          <w:rFonts w:ascii="Times New Roman" w:hAnsi="Times New Roman" w:cs="Times New Roman"/>
          <w:color w:val="0F1115"/>
        </w:rPr>
      </w:pPr>
      <w:r>
        <w:rPr>
          <w:rFonts w:ascii="Times New Roman" w:hAnsi="Times New Roman" w:cs="Times New Roman"/>
          <w:b/>
          <w:bCs/>
          <w:color w:val="0F1115"/>
          <w:shd w:val="clear" w:color="auto" w:fill="FFFFFF"/>
        </w:rPr>
        <w:t>2. 标准起草单位及起草人</w:t>
      </w:r>
    </w:p>
    <w:p w14:paraId="44E2C274">
      <w:pPr>
        <w:pStyle w:val="11"/>
        <w:shd w:val="clear" w:color="auto" w:fill="FFFFFF"/>
        <w:spacing w:before="0" w:beforeAutospacing="0" w:after="0" w:afterAutospacing="0" w:line="360" w:lineRule="auto"/>
        <w:ind w:firstLine="480" w:firstLineChars="200"/>
        <w:rPr>
          <w:rFonts w:ascii="Times New Roman" w:hAnsi="Times New Roman" w:cs="Times New Roman"/>
          <w:color w:val="0F1115"/>
        </w:rPr>
      </w:pPr>
      <w:r>
        <w:rPr>
          <w:rFonts w:ascii="Times New Roman" w:hAnsi="Times New Roman" w:cs="Times New Roman"/>
          <w:color w:val="0F1115"/>
          <w:shd w:val="clear" w:color="auto" w:fill="FFFFFF"/>
        </w:rPr>
        <w:t>本文件起草单位：华熙生物科技股份有限公司、山东省医疗器械和药品包装检验研究院、中国计量科学研究院。</w:t>
      </w:r>
    </w:p>
    <w:p w14:paraId="14583E36">
      <w:pPr>
        <w:pStyle w:val="11"/>
        <w:shd w:val="clear" w:color="auto" w:fill="FFFFFF"/>
        <w:spacing w:before="0" w:beforeAutospacing="0" w:after="0" w:afterAutospacing="0" w:line="360" w:lineRule="auto"/>
        <w:ind w:firstLine="480" w:firstLineChars="200"/>
        <w:rPr>
          <w:rFonts w:ascii="Times New Roman" w:hAnsi="Times New Roman" w:cs="Times New Roman"/>
          <w:color w:val="0F1115"/>
        </w:rPr>
      </w:pPr>
      <w:r>
        <w:rPr>
          <w:rFonts w:ascii="Times New Roman" w:hAnsi="Times New Roman" w:cs="Times New Roman"/>
          <w:color w:val="0F1115"/>
          <w:shd w:val="clear" w:color="auto" w:fill="FFFFFF"/>
        </w:rPr>
        <w:t>本文件主要起草人：王浩（第一起草人）、</w:t>
      </w:r>
      <w:r>
        <w:rPr>
          <w:rFonts w:hint="eastAsia" w:ascii="Times New Roman" w:hAnsi="Times New Roman" w:cs="Times New Roman"/>
          <w:color w:val="0F1115"/>
          <w:shd w:val="clear" w:color="auto" w:fill="FFFFFF"/>
        </w:rPr>
        <w:t>王籍阅</w:t>
      </w:r>
      <w:r>
        <w:rPr>
          <w:rFonts w:ascii="Times New Roman" w:hAnsi="Times New Roman" w:cs="Times New Roman"/>
          <w:color w:val="0F1115"/>
          <w:shd w:val="clear" w:color="auto" w:fill="FFFFFF"/>
        </w:rPr>
        <w:t>（联系人）、</w:t>
      </w:r>
      <w:r>
        <w:rPr>
          <w:rFonts w:hint="eastAsia" w:ascii="Times New Roman" w:hAnsi="Times New Roman" w:cs="Times New Roman"/>
          <w:color w:val="0F1115"/>
          <w:shd w:val="clear" w:color="auto" w:fill="FFFFFF"/>
        </w:rPr>
        <w:t>王东方、赵方方、刘凤珍</w:t>
      </w:r>
    </w:p>
    <w:p w14:paraId="7FA930C9">
      <w:pPr>
        <w:pStyle w:val="11"/>
        <w:shd w:val="clear" w:color="auto" w:fill="FFFFFF"/>
        <w:spacing w:before="0" w:beforeAutospacing="0" w:after="0" w:afterAutospacing="0" w:line="360" w:lineRule="auto"/>
        <w:rPr>
          <w:rFonts w:ascii="Times New Roman" w:hAnsi="Times New Roman" w:cs="Times New Roman"/>
          <w:color w:val="0F1115"/>
        </w:rPr>
      </w:pPr>
      <w:r>
        <w:rPr>
          <w:rFonts w:ascii="Times New Roman" w:hAnsi="Times New Roman" w:cs="Times New Roman"/>
          <w:b/>
          <w:bCs/>
          <w:color w:val="0F1115"/>
          <w:shd w:val="clear" w:color="auto" w:fill="FFFFFF"/>
        </w:rPr>
        <w:t>3. 工作过程</w:t>
      </w:r>
    </w:p>
    <w:p w14:paraId="2AF5099C">
      <w:pPr>
        <w:pStyle w:val="11"/>
        <w:shd w:val="clear" w:color="auto" w:fill="FFFFFF"/>
        <w:spacing w:before="0" w:beforeAutospacing="0" w:after="0" w:afterAutospacing="0" w:line="360" w:lineRule="auto"/>
        <w:ind w:firstLine="480" w:firstLineChars="200"/>
        <w:rPr>
          <w:rFonts w:ascii="Times New Roman" w:hAnsi="Times New Roman" w:cs="Times New Roman"/>
          <w:color w:val="0F1115"/>
        </w:rPr>
      </w:pPr>
      <w:r>
        <w:rPr>
          <w:rFonts w:ascii="Times New Roman" w:hAnsi="Times New Roman" w:cs="Times New Roman"/>
          <w:color w:val="0F1115"/>
          <w:shd w:val="clear" w:color="auto" w:fill="FFFFFF"/>
        </w:rPr>
        <w:t>接到标准起草任务后，依照《中国生物材料学会团体标准管理办法（2026年修订）》，标准起草单位严格按照相关要求及进度安排组织实施，在中国生物材料学会标准工作委员会指导下成立了标准起草工作组。为顺利开展《医疗器械用软骨素钠》团体标准启动工作，对标准关键问题进行初步探讨，同时部署标准起草工作组的任务分工和标准制定工作时间安排。在标准归口单位中国生物材料学会标准工作委员会的指导下，本标准第一起草单位华熙生物科技股份有限公司于2026年6月28日在腾讯会议网络平台（会议号码：124-174-701）组织召开了《</w:t>
      </w:r>
      <w:r>
        <w:rPr>
          <w:rFonts w:hint="eastAsia" w:ascii="Times New Roman" w:hAnsi="Times New Roman" w:cs="Times New Roman"/>
          <w:color w:val="0F1115"/>
          <w:shd w:val="clear" w:color="auto" w:fill="FFFFFF"/>
          <w:lang w:eastAsia="zh-CN"/>
        </w:rPr>
        <w:t>医疗器械用软骨素钠</w:t>
      </w:r>
      <w:r>
        <w:rPr>
          <w:rFonts w:ascii="Times New Roman" w:hAnsi="Times New Roman" w:cs="Times New Roman"/>
          <w:color w:val="0F1115"/>
          <w:shd w:val="clear" w:color="auto" w:fill="FFFFFF"/>
        </w:rPr>
        <w:t>》团体标准立项评审暨技术评审会议。对《</w:t>
      </w:r>
      <w:r>
        <w:rPr>
          <w:rFonts w:hint="eastAsia" w:ascii="Times New Roman" w:hAnsi="Times New Roman" w:cs="Times New Roman"/>
          <w:color w:val="0F1115"/>
          <w:shd w:val="clear" w:color="auto" w:fill="FFFFFF"/>
          <w:lang w:eastAsia="zh-CN"/>
        </w:rPr>
        <w:t>医疗器械用软骨素钠</w:t>
      </w:r>
      <w:r>
        <w:rPr>
          <w:rFonts w:ascii="Times New Roman" w:hAnsi="Times New Roman" w:cs="Times New Roman"/>
          <w:color w:val="0F1115"/>
          <w:shd w:val="clear" w:color="auto" w:fill="FFFFFF"/>
        </w:rPr>
        <w:t>》团体标准进行了立项审查，经技术专家认真研究与审核，标准符合立项条件，于2026年7月1日正式立项。</w:t>
      </w:r>
    </w:p>
    <w:p w14:paraId="481DD108">
      <w:pPr>
        <w:pStyle w:val="11"/>
        <w:shd w:val="clear" w:color="auto" w:fill="FFFFFF"/>
        <w:spacing w:before="0" w:beforeAutospacing="0" w:after="0" w:afterAutospacing="0" w:line="360" w:lineRule="auto"/>
        <w:ind w:firstLine="480" w:firstLineChars="200"/>
        <w:rPr>
          <w:rFonts w:ascii="Times New Roman" w:hAnsi="Times New Roman" w:cs="Times New Roman"/>
          <w:color w:val="0F1115"/>
          <w:highlight w:val="yellow"/>
        </w:rPr>
      </w:pPr>
      <w:r>
        <w:rPr>
          <w:rFonts w:ascii="Times New Roman" w:hAnsi="Times New Roman" w:cs="Times New Roman"/>
          <w:color w:val="0F1115"/>
          <w:shd w:val="clear" w:color="auto" w:fill="FFFFFF"/>
        </w:rPr>
        <w:t>在确定标准制定任务后，标准起草工作组依照国家有关规定及《中国生物材料学会团体标准管理办法（2026年修订）》，根据团体标准进度计划安排组织实施。</w:t>
      </w:r>
    </w:p>
    <w:p w14:paraId="7D278102">
      <w:pPr>
        <w:pStyle w:val="4"/>
        <w:widowControl/>
        <w:shd w:val="clear" w:color="auto" w:fill="FFFFFF"/>
        <w:spacing w:beforeAutospacing="0" w:afterAutospacing="0" w:line="360" w:lineRule="auto"/>
        <w:rPr>
          <w:rFonts w:hint="default" w:ascii="Times New Roman" w:hAnsi="Times New Roman"/>
          <w:color w:val="0F1115"/>
          <w:sz w:val="24"/>
          <w:szCs w:val="24"/>
        </w:rPr>
      </w:pPr>
      <w:r>
        <w:rPr>
          <w:rFonts w:hint="default" w:ascii="Times New Roman" w:hAnsi="Times New Roman"/>
          <w:color w:val="0F1115"/>
          <w:sz w:val="24"/>
          <w:szCs w:val="24"/>
          <w:shd w:val="clear" w:color="auto" w:fill="FFFFFF"/>
        </w:rPr>
        <w:t>二、确定学会团体标准主要技术内容（如技术指标、参数等）的论据（包括试验、统计数据）</w:t>
      </w:r>
    </w:p>
    <w:p w14:paraId="7924FEF0">
      <w:pPr>
        <w:pStyle w:val="11"/>
        <w:shd w:val="clear" w:color="auto" w:fill="FFFFFF"/>
        <w:spacing w:before="0" w:beforeAutospacing="0" w:after="0" w:afterAutospacing="0" w:line="360" w:lineRule="auto"/>
        <w:ind w:firstLine="480" w:firstLineChars="200"/>
        <w:rPr>
          <w:rFonts w:ascii="Times New Roman" w:hAnsi="Times New Roman" w:cs="Times New Roman"/>
          <w:color w:val="0F1115"/>
        </w:rPr>
      </w:pPr>
      <w:r>
        <w:rPr>
          <w:rFonts w:ascii="Times New Roman" w:hAnsi="Times New Roman" w:cs="Times New Roman"/>
          <w:color w:val="0F1115"/>
          <w:shd w:val="clear" w:color="auto" w:fill="FFFFFF"/>
        </w:rPr>
        <w:t>本团体标准严格按照 GB/T 1.1-2020《标准化工作导则 第1部分：标准化文件的结构和起草规则》的规则起草。本文件规定了医疗器械级原料生物技术软骨素钠的要求、试验方法、检验规则、标志、包装、运输和贮存。本文件适用于以合成生物学技术构建微生物细胞工厂、通过发酵及纯化工艺制得，用作医疗器械用原料的软骨素钠。</w:t>
      </w:r>
    </w:p>
    <w:p w14:paraId="27D0D5A7">
      <w:pPr>
        <w:pStyle w:val="11"/>
        <w:shd w:val="clear" w:color="auto" w:fill="FFFFFF"/>
        <w:spacing w:before="0" w:beforeAutospacing="0" w:after="0" w:afterAutospacing="0" w:line="360" w:lineRule="auto"/>
        <w:ind w:firstLine="480" w:firstLineChars="200"/>
        <w:rPr>
          <w:rFonts w:ascii="Times New Roman" w:hAnsi="Times New Roman" w:cs="Times New Roman"/>
          <w:color w:val="0F1115"/>
        </w:rPr>
      </w:pPr>
      <w:r>
        <w:rPr>
          <w:rFonts w:ascii="Times New Roman" w:hAnsi="Times New Roman" w:cs="Times New Roman"/>
          <w:color w:val="0F1115"/>
          <w:shd w:val="clear" w:color="auto" w:fill="FFFFFF"/>
        </w:rPr>
        <w:t>本标准4对软骨素钠的分子式、CAS号、相对分子质量、结构式进行了概述，介绍了软骨素钠的基本信息。</w:t>
      </w:r>
    </w:p>
    <w:p w14:paraId="3AE6BF4C">
      <w:pPr>
        <w:pStyle w:val="11"/>
        <w:shd w:val="clear" w:color="auto" w:fill="FFFFFF"/>
        <w:spacing w:before="0" w:beforeAutospacing="0" w:after="0" w:afterAutospacing="0" w:line="360" w:lineRule="auto"/>
        <w:ind w:firstLine="480" w:firstLineChars="200"/>
        <w:rPr>
          <w:rFonts w:ascii="Times New Roman" w:hAnsi="Times New Roman" w:cs="Times New Roman"/>
          <w:color w:val="0F1115"/>
        </w:rPr>
      </w:pPr>
      <w:r>
        <w:rPr>
          <w:rFonts w:ascii="Times New Roman" w:hAnsi="Times New Roman" w:cs="Times New Roman"/>
          <w:color w:val="0F1115"/>
          <w:shd w:val="clear" w:color="auto" w:fill="FFFFFF"/>
        </w:rPr>
        <w:t>本标准5阐述了软骨素钠物理和化学性能指标要求，并与标准6部分阐述了各指标要求的具体检测方法及步骤。主要技术指标包括：性状、鉴别（红外吸收</w:t>
      </w:r>
      <w:r>
        <w:rPr>
          <w:rFonts w:hint="eastAsia" w:ascii="Times New Roman" w:hAnsi="Times New Roman" w:cs="Times New Roman"/>
          <w:color w:val="0F1115"/>
          <w:shd w:val="clear" w:color="auto" w:fill="FFFFFF"/>
        </w:rPr>
        <w:t>、钠盐鉴别反应</w:t>
      </w:r>
      <w:r>
        <w:rPr>
          <w:rFonts w:ascii="Times New Roman" w:hAnsi="Times New Roman" w:cs="Times New Roman"/>
          <w:color w:val="0F1115"/>
          <w:shd w:val="clear" w:color="auto" w:fill="FFFFFF"/>
        </w:rPr>
        <w:t>）、含量、溶液澄清度与颜色、pH、特性黏数（或分子量及分布）、核酸、蛋白质、氯化物、铁、重金属（以铅计）、干燥失重、细菌内毒素、微生物限度（需氧菌总数、霉菌和酵母菌总数、金黄色葡萄球菌、铜绿假单胞菌、大肠埃希菌）、乙醇残留。</w:t>
      </w:r>
    </w:p>
    <w:p w14:paraId="3D04BC21">
      <w:pPr>
        <w:pStyle w:val="11"/>
        <w:shd w:val="clear" w:color="auto" w:fill="FFFFFF"/>
        <w:spacing w:before="0" w:beforeAutospacing="0" w:after="0" w:afterAutospacing="0" w:line="360" w:lineRule="auto"/>
        <w:ind w:firstLine="480" w:firstLineChars="200"/>
        <w:rPr>
          <w:rFonts w:ascii="Times New Roman" w:hAnsi="Times New Roman" w:cs="Times New Roman"/>
          <w:color w:val="0F1115"/>
        </w:rPr>
      </w:pPr>
      <w:r>
        <w:rPr>
          <w:rFonts w:ascii="Times New Roman" w:hAnsi="Times New Roman" w:cs="Times New Roman"/>
          <w:color w:val="0F1115"/>
          <w:shd w:val="clear" w:color="auto" w:fill="FFFFFF"/>
        </w:rPr>
        <w:t>本标准7阐述了软骨素钠的检验规则，即批次定义、抽样、出厂检验及判定规则等。</w:t>
      </w:r>
    </w:p>
    <w:p w14:paraId="21ECF059">
      <w:pPr>
        <w:pStyle w:val="11"/>
        <w:shd w:val="clear" w:color="auto" w:fill="FFFFFF"/>
        <w:spacing w:before="0" w:beforeAutospacing="0" w:after="0" w:afterAutospacing="0" w:line="360" w:lineRule="auto"/>
        <w:ind w:firstLine="480" w:firstLineChars="200"/>
        <w:rPr>
          <w:rFonts w:ascii="Times New Roman" w:hAnsi="Times New Roman" w:cs="Times New Roman"/>
          <w:color w:val="0F1115"/>
        </w:rPr>
      </w:pPr>
      <w:r>
        <w:rPr>
          <w:rFonts w:ascii="Times New Roman" w:hAnsi="Times New Roman" w:cs="Times New Roman"/>
          <w:color w:val="0F1115"/>
          <w:shd w:val="clear" w:color="auto" w:fill="FFFFFF"/>
        </w:rPr>
        <w:t>本标准8阐述了软骨素钠的标志、包装、运输、贮存。</w:t>
      </w:r>
    </w:p>
    <w:p w14:paraId="736EA5B6">
      <w:pPr>
        <w:pStyle w:val="11"/>
        <w:shd w:val="clear" w:color="auto" w:fill="FFFFFF"/>
        <w:spacing w:before="0" w:beforeAutospacing="0" w:after="0" w:afterAutospacing="0" w:line="360" w:lineRule="auto"/>
        <w:ind w:firstLine="480" w:firstLineChars="200"/>
        <w:rPr>
          <w:rFonts w:ascii="Times New Roman" w:hAnsi="Times New Roman" w:cs="Times New Roman"/>
          <w:color w:val="0F1115"/>
        </w:rPr>
      </w:pPr>
      <w:r>
        <w:rPr>
          <w:rFonts w:ascii="Times New Roman" w:hAnsi="Times New Roman" w:cs="Times New Roman"/>
          <w:color w:val="0F1115"/>
          <w:shd w:val="clear" w:color="auto" w:fill="FFFFFF"/>
        </w:rPr>
        <w:t>本标准9阐述了软骨素钠的保质期。</w:t>
      </w:r>
    </w:p>
    <w:p w14:paraId="424A71F0">
      <w:pPr>
        <w:pStyle w:val="11"/>
        <w:shd w:val="clear" w:color="auto" w:fill="FFFFFF"/>
        <w:spacing w:before="0" w:beforeAutospacing="0" w:after="0" w:afterAutospacing="0" w:line="360" w:lineRule="auto"/>
        <w:ind w:firstLine="480" w:firstLineChars="200"/>
        <w:rPr>
          <w:rFonts w:ascii="Times New Roman" w:hAnsi="Times New Roman" w:cs="Times New Roman"/>
          <w:color w:val="0F1115"/>
        </w:rPr>
      </w:pPr>
      <w:r>
        <w:rPr>
          <w:rFonts w:ascii="Times New Roman" w:hAnsi="Times New Roman" w:cs="Times New Roman"/>
          <w:color w:val="0F1115"/>
          <w:shd w:val="clear" w:color="auto" w:fill="FFFFFF"/>
        </w:rPr>
        <w:t>本标准制定参考的主要依据包括：《中国药典》（2025年版四部）、GB/T 16886系列（医疗器械生物学评价）和相关行业标准，最终形成本标准的内容。目前，国内外尚无正式发布的生物技术软骨素钠相关医疗器械标准。广东省医疗器械管理学会已发布T/GDMDMA 0035—2024《医疗器械用硫酸软骨素钠》团体标准，该标准适用于陆地和海洋起源的软骨中提取的硫酸软骨素钠材料。</w:t>
      </w:r>
      <w:r>
        <w:rPr>
          <w:rFonts w:hint="eastAsia" w:ascii="Times New Roman" w:hAnsi="Times New Roman" w:cs="Times New Roman"/>
          <w:color w:val="0F1115"/>
          <w:shd w:val="clear" w:color="auto" w:fill="FFFFFF"/>
        </w:rPr>
        <w:t>本标准规范的生物技术软骨素钠与上述标准规范的硫酸软骨素钠为不同物质，且工艺来源不同，两者适用范围各异，相互独立。</w:t>
      </w:r>
    </w:p>
    <w:p w14:paraId="48777120">
      <w:pPr>
        <w:pStyle w:val="4"/>
        <w:widowControl/>
        <w:shd w:val="clear" w:color="auto" w:fill="FFFFFF"/>
        <w:spacing w:beforeAutospacing="0" w:afterAutospacing="0" w:line="360" w:lineRule="auto"/>
        <w:rPr>
          <w:rFonts w:hint="default" w:ascii="Times New Roman" w:hAnsi="Times New Roman"/>
          <w:color w:val="0F1115"/>
          <w:sz w:val="24"/>
          <w:szCs w:val="24"/>
        </w:rPr>
      </w:pPr>
      <w:r>
        <w:rPr>
          <w:rFonts w:hint="default" w:ascii="Times New Roman" w:hAnsi="Times New Roman"/>
          <w:color w:val="0F1115"/>
          <w:sz w:val="24"/>
          <w:szCs w:val="24"/>
          <w:shd w:val="clear" w:color="auto" w:fill="FFFFFF"/>
        </w:rPr>
        <w:t>三、主要试验（验证）的分析、综述报告，技术经济论证，预期的经济效果</w:t>
      </w:r>
    </w:p>
    <w:p w14:paraId="479A1511">
      <w:pPr>
        <w:pStyle w:val="11"/>
        <w:shd w:val="clear" w:color="auto" w:fill="FFFFFF"/>
        <w:spacing w:before="0" w:beforeAutospacing="0" w:after="0" w:afterAutospacing="0" w:line="360" w:lineRule="auto"/>
        <w:ind w:firstLine="480" w:firstLineChars="200"/>
        <w:rPr>
          <w:rFonts w:ascii="Times New Roman" w:hAnsi="Times New Roman" w:cs="Times New Roman"/>
          <w:color w:val="0F1115"/>
          <w:shd w:val="clear" w:color="auto" w:fill="FFFFFF"/>
        </w:rPr>
      </w:pPr>
      <w:r>
        <w:rPr>
          <w:rFonts w:ascii="Times New Roman" w:hAnsi="Times New Roman" w:cs="Times New Roman"/>
          <w:color w:val="0F1115"/>
          <w:shd w:val="clear" w:color="auto" w:fill="FFFFFF"/>
        </w:rPr>
        <w:t>该标准为规范类标准，标准中主要对生物技术软骨素钠产品的性能指标和相应的检验方法做了规定，适用市面上由生物技术（微生物发酵）制得的医疗器械用原料软骨素钠。考虑到软骨素钠产品特性及终端器械使用的多样性，无法准确定义所有的性能指标，各企业应根据产品特性、预期用途和自身生产工艺条件进行详细评估后，标准方才具有广泛适用性和科学合理性。</w:t>
      </w:r>
    </w:p>
    <w:p w14:paraId="1FCB14AA">
      <w:pPr>
        <w:pStyle w:val="11"/>
        <w:shd w:val="clear" w:color="auto" w:fill="FFFFFF"/>
        <w:spacing w:before="0" w:beforeAutospacing="0" w:after="0" w:afterAutospacing="0" w:line="360" w:lineRule="auto"/>
        <w:ind w:firstLine="480" w:firstLineChars="200"/>
        <w:rPr>
          <w:rFonts w:ascii="Times New Roman" w:hAnsi="Times New Roman" w:cs="Times New Roman"/>
          <w:color w:val="0F1115"/>
        </w:rPr>
      </w:pPr>
      <w:r>
        <w:rPr>
          <w:rFonts w:hint="eastAsia" w:ascii="Times New Roman" w:hAnsi="Times New Roman" w:cs="Times New Roman"/>
          <w:color w:val="0F1115"/>
        </w:rPr>
        <w:t>本标准制定过程中，针对生物技术来源软骨素钠的结构特征与工艺特点，系统开展了多批次样品的检测验证与方法学研究。样品检测验证：采用生物技术制备的多批次软骨素钠原料，对标准中规定的各项技术指标进行了全面检测。检测结果表明，各批次样品的关键质量属性均处于可控范围内，批间一致性良好，验证了标准中各项指标限值设定的合理性与可操作性。检测方法学验证：对含量测定、残留乙醇等关键检测方法进行了方法学验证，涵盖专属性、精密度（重复性与中间精密度）、准确度（回收率）、线性与范围、检出限与定量限等指标。验证结果表明，所采用的检测方法专属性强、精密度良好、准确度高，能够满足生物技术软骨素钠质量控制的检测需求。综上，本标准的各项技术要求均有充分的试验数据支撑，检测方法可靠，标准内容科学、合理、可操作。</w:t>
      </w:r>
    </w:p>
    <w:p w14:paraId="64D0AB4A">
      <w:pPr>
        <w:pStyle w:val="11"/>
        <w:shd w:val="clear" w:color="auto" w:fill="FFFFFF"/>
        <w:spacing w:before="0" w:beforeAutospacing="0" w:after="0" w:afterAutospacing="0" w:line="360" w:lineRule="auto"/>
        <w:ind w:firstLine="480" w:firstLineChars="200"/>
        <w:rPr>
          <w:rFonts w:ascii="Times New Roman" w:hAnsi="Times New Roman" w:cs="Times New Roman"/>
          <w:color w:val="0F1115"/>
          <w:shd w:val="clear" w:color="auto" w:fill="FFFFFF"/>
        </w:rPr>
      </w:pPr>
      <w:r>
        <w:rPr>
          <w:rFonts w:ascii="Times New Roman" w:hAnsi="Times New Roman" w:cs="Times New Roman"/>
          <w:color w:val="0F1115"/>
          <w:shd w:val="clear" w:color="auto" w:fill="FFFFFF"/>
        </w:rPr>
        <w:t>硫酸软骨素钠是构成</w:t>
      </w:r>
      <w:r>
        <w:rPr>
          <w:rFonts w:hint="eastAsia" w:ascii="Times New Roman" w:hAnsi="Times New Roman" w:cs="Times New Roman"/>
          <w:color w:val="0F1115"/>
          <w:shd w:val="clear" w:color="auto" w:fill="FFFFFF"/>
        </w:rPr>
        <w:t>细胞外基质</w:t>
      </w:r>
      <w:r>
        <w:rPr>
          <w:rFonts w:ascii="Times New Roman" w:hAnsi="Times New Roman" w:cs="Times New Roman"/>
          <w:color w:val="0F1115"/>
          <w:shd w:val="clear" w:color="auto" w:fill="FFFFFF"/>
        </w:rPr>
        <w:t>（</w:t>
      </w:r>
      <w:r>
        <w:rPr>
          <w:rFonts w:hint="eastAsia" w:ascii="Times New Roman" w:hAnsi="Times New Roman" w:cs="Times New Roman"/>
          <w:color w:val="0F1115"/>
          <w:shd w:val="clear" w:color="auto" w:fill="FFFFFF"/>
        </w:rPr>
        <w:t>E</w:t>
      </w:r>
      <w:r>
        <w:rPr>
          <w:rFonts w:ascii="Times New Roman" w:hAnsi="Times New Roman" w:cs="Times New Roman"/>
          <w:color w:val="0F1115"/>
          <w:shd w:val="clear" w:color="auto" w:fill="FFFFFF"/>
        </w:rPr>
        <w:t>CM）的</w:t>
      </w:r>
      <w:r>
        <w:rPr>
          <w:rFonts w:hint="eastAsia" w:ascii="Times New Roman" w:hAnsi="Times New Roman" w:cs="Times New Roman"/>
          <w:color w:val="0F1115"/>
          <w:shd w:val="clear" w:color="auto" w:fill="FFFFFF"/>
        </w:rPr>
        <w:t>重</w:t>
      </w:r>
      <w:r>
        <w:rPr>
          <w:rFonts w:ascii="Times New Roman" w:hAnsi="Times New Roman" w:cs="Times New Roman"/>
          <w:color w:val="0F1115"/>
          <w:shd w:val="clear" w:color="auto" w:fill="FFFFFF"/>
        </w:rPr>
        <w:t>要成分，对维持细胞环境的相对稳定性和正常功能具有重要作用。在国际上，硫酸软骨素钠已作为医疗器械产品注册并广泛用于多个临床领域，如眼科（手术用粘弹剂）、皮肤科（伤口敷料）、泌尿科（膀胱灌注液）、骨科（关节腔注射液）等。</w:t>
      </w:r>
    </w:p>
    <w:p w14:paraId="71C05978">
      <w:pPr>
        <w:pStyle w:val="11"/>
        <w:shd w:val="clear" w:color="auto" w:fill="FFFFFF"/>
        <w:spacing w:before="0" w:beforeAutospacing="0" w:after="0" w:afterAutospacing="0" w:line="360" w:lineRule="auto"/>
        <w:ind w:firstLine="480" w:firstLineChars="200"/>
        <w:rPr>
          <w:rFonts w:ascii="Times New Roman" w:hAnsi="Times New Roman" w:cs="Times New Roman"/>
          <w:color w:val="0F1115"/>
        </w:rPr>
      </w:pPr>
      <w:r>
        <w:rPr>
          <w:rFonts w:ascii="Times New Roman" w:hAnsi="Times New Roman" w:cs="Times New Roman"/>
          <w:color w:val="0F1115"/>
          <w:shd w:val="clear" w:color="auto" w:fill="FFFFFF"/>
        </w:rPr>
        <w:t>软骨素钠作为硫酸软骨素钠的非硫酸化形式，</w:t>
      </w:r>
      <w:r>
        <w:rPr>
          <w:rFonts w:hint="eastAsia" w:ascii="Times New Roman" w:hAnsi="Times New Roman" w:cs="Times New Roman"/>
          <w:color w:val="0F1115"/>
          <w:shd w:val="clear" w:color="auto" w:fill="FFFFFF"/>
        </w:rPr>
        <w:t>其生物技术来源产品已在欧洲由IBSA公司上市，作为骨关节注射液（III类医疗器械）应用于临床</w:t>
      </w:r>
      <w:r>
        <w:rPr>
          <w:rFonts w:ascii="Times New Roman" w:hAnsi="Times New Roman" w:cs="Times New Roman"/>
          <w:color w:val="0F1115"/>
          <w:shd w:val="clear" w:color="auto" w:fill="FFFFFF"/>
        </w:rPr>
        <w:t>。在国内，生物技术软骨素钠已成功通过国家药品监督管理局医疗器械技术审评中心的主文档备案登记，具有良好的医疗器械应用前景。</w:t>
      </w:r>
      <w:r>
        <w:rPr>
          <w:rFonts w:hint="eastAsia" w:ascii="Times New Roman" w:hAnsi="Times New Roman" w:cs="Times New Roman"/>
          <w:color w:val="0F1115"/>
        </w:rPr>
        <w:t>生物技术制备软骨素钠的工艺路线已较为成熟，产品质量稳定可控。</w:t>
      </w:r>
      <w:r>
        <w:rPr>
          <w:rFonts w:ascii="Times New Roman" w:hAnsi="Times New Roman" w:cs="Times New Roman"/>
          <w:color w:val="0F1115"/>
          <w:shd w:val="clear" w:color="auto" w:fill="FFFFFF"/>
        </w:rPr>
        <w:t>国内目前尚无生物技术软骨素钠相关的医疗器械用原料质量标准，</w:t>
      </w:r>
      <w:r>
        <w:rPr>
          <w:rFonts w:hint="eastAsia" w:ascii="Times New Roman" w:hAnsi="Times New Roman" w:cs="Times New Roman"/>
          <w:color w:val="0F1115"/>
        </w:rPr>
        <w:t>本标准在充分研究产品结构特征、工艺特点及质量属性的基础上，设置了科学合理的检测项目和指标限值，所采用的检测方法均经过方法学验证，技术上切实可行。</w:t>
      </w:r>
    </w:p>
    <w:p w14:paraId="0F66E12C">
      <w:pPr>
        <w:pStyle w:val="11"/>
        <w:shd w:val="clear" w:color="auto" w:fill="FFFFFF"/>
        <w:spacing w:before="0" w:beforeAutospacing="0" w:after="0" w:afterAutospacing="0" w:line="360" w:lineRule="auto"/>
        <w:ind w:firstLine="480" w:firstLineChars="200"/>
        <w:rPr>
          <w:rFonts w:ascii="Times New Roman" w:hAnsi="Times New Roman" w:cs="Times New Roman"/>
          <w:color w:val="0F1115"/>
        </w:rPr>
      </w:pPr>
      <w:r>
        <w:rPr>
          <w:rFonts w:ascii="Times New Roman" w:hAnsi="Times New Roman" w:cs="Times New Roman"/>
          <w:color w:val="0F1115"/>
          <w:shd w:val="clear" w:color="auto" w:fill="FFFFFF"/>
        </w:rPr>
        <w:t>建立医疗器械用软骨素钠的标准，对原料的关键指标进行规范，能够提高后续医疗器械产品的质量，能够规范软骨素钠生产、销售等市场活动，为有关部门的监管提供技术依据，更利于医务工作者和消费者对软骨素钠原料的认识与了解。有利于提升行业整体产品质量，促使行业健康、有序、规范发展，进一步扩大市场容量，带动产业高效高质量健康发展。</w:t>
      </w:r>
    </w:p>
    <w:p w14:paraId="518002A9">
      <w:pPr>
        <w:pStyle w:val="4"/>
        <w:widowControl/>
        <w:shd w:val="clear" w:color="auto" w:fill="FFFFFF"/>
        <w:spacing w:beforeAutospacing="0" w:afterAutospacing="0" w:line="360" w:lineRule="auto"/>
        <w:rPr>
          <w:rFonts w:hint="default" w:ascii="Times New Roman" w:hAnsi="Times New Roman"/>
          <w:color w:val="0F1115"/>
          <w:sz w:val="24"/>
          <w:szCs w:val="24"/>
        </w:rPr>
      </w:pPr>
      <w:r>
        <w:rPr>
          <w:rFonts w:hint="default" w:ascii="Times New Roman" w:hAnsi="Times New Roman"/>
          <w:color w:val="0F1115"/>
          <w:sz w:val="24"/>
          <w:szCs w:val="24"/>
          <w:shd w:val="clear" w:color="auto" w:fill="FFFFFF"/>
        </w:rPr>
        <w:t>四、采用国际标准的程度及水平的简要说明</w:t>
      </w:r>
    </w:p>
    <w:p w14:paraId="4A5C1D17">
      <w:pPr>
        <w:pStyle w:val="11"/>
        <w:shd w:val="clear" w:color="auto" w:fill="FFFFFF"/>
        <w:spacing w:before="0" w:beforeAutospacing="0" w:after="0" w:afterAutospacing="0" w:line="360" w:lineRule="auto"/>
        <w:ind w:firstLine="480" w:firstLineChars="200"/>
        <w:rPr>
          <w:rFonts w:ascii="Times New Roman" w:hAnsi="Times New Roman" w:cs="Times New Roman"/>
          <w:color w:val="0F1115"/>
        </w:rPr>
      </w:pPr>
      <w:r>
        <w:rPr>
          <w:rFonts w:hint="eastAsia" w:ascii="Times New Roman" w:hAnsi="Times New Roman" w:cs="Times New Roman"/>
          <w:color w:val="0F1115"/>
          <w:shd w:val="clear" w:color="auto" w:fill="FFFFFF"/>
        </w:rPr>
        <w:t>目前，硫酸软骨素钠原料标准已被美国药典（USP）、欧洲药典（EP）、日本药局方（JP）及《中国药典》等国家/地区药典收录，但上述标准均针对硫酸软骨素钠，且制备工艺均为动物组织提取法，</w:t>
      </w:r>
      <w:r>
        <w:rPr>
          <w:rFonts w:ascii="Times New Roman" w:hAnsi="Times New Roman" w:cs="Times New Roman"/>
          <w:color w:val="0F1115"/>
          <w:shd w:val="clear" w:color="auto" w:fill="FFFFFF"/>
        </w:rPr>
        <w:t>但主要从猪、牛、鸡、鲨鱼等动物软骨中提取，存在动物免疫原性、提取工艺污染高、批次均一性差等问题。华熙生物自主研发的软骨素钠原料采用生物发酵法制备，为非硫酸化形式的软骨素钠，</w:t>
      </w:r>
      <w:r>
        <w:rPr>
          <w:rFonts w:hint="eastAsia" w:ascii="Times New Roman" w:hAnsi="Times New Roman" w:cs="Times New Roman"/>
          <w:color w:val="0F1115"/>
          <w:shd w:val="clear" w:color="auto" w:fill="FFFFFF"/>
        </w:rPr>
        <w:t>可有效规避动物源风险，</w:t>
      </w:r>
      <w:r>
        <w:rPr>
          <w:rFonts w:ascii="Times New Roman" w:hAnsi="Times New Roman" w:cs="Times New Roman"/>
          <w:color w:val="0F1115"/>
          <w:shd w:val="clear" w:color="auto" w:fill="FFFFFF"/>
        </w:rPr>
        <w:t>已成功通过国家药品监督管理局医疗器械技术审评中心的主文档备案登记。</w:t>
      </w:r>
      <w:r>
        <w:rPr>
          <w:rFonts w:hint="eastAsia" w:ascii="Times New Roman" w:hAnsi="Times New Roman" w:cs="Times New Roman"/>
          <w:color w:val="0F1115"/>
          <w:shd w:val="clear" w:color="auto" w:fill="FFFFFF"/>
        </w:rPr>
        <w:t>本标准所规范的生物技术来源、非硫酸化软骨素钠在物质种类及制备工艺上与现有标准均不相同，无对应的国际标准可等同或修改采用，因此本标准为自主制定。</w:t>
      </w:r>
    </w:p>
    <w:p w14:paraId="06D5D2E1">
      <w:pPr>
        <w:pStyle w:val="11"/>
        <w:shd w:val="clear" w:color="auto" w:fill="FFFFFF"/>
        <w:spacing w:before="0" w:beforeAutospacing="0" w:after="0" w:afterAutospacing="0" w:line="360" w:lineRule="auto"/>
        <w:ind w:firstLine="480" w:firstLineChars="200"/>
        <w:rPr>
          <w:rFonts w:ascii="Times New Roman" w:hAnsi="Times New Roman" w:cs="Times New Roman"/>
          <w:color w:val="0F1115"/>
        </w:rPr>
      </w:pPr>
      <w:r>
        <w:rPr>
          <w:rFonts w:ascii="Times New Roman" w:hAnsi="Times New Roman" w:cs="Times New Roman"/>
          <w:color w:val="0F1115"/>
          <w:shd w:val="clear" w:color="auto" w:fill="FFFFFF"/>
        </w:rPr>
        <w:t>本标准适用于更安全的生物技术（发酵法）制备的医疗器械用软骨素钠产品。目前本标准与现行国家标准和行业标准无交叉重复情况，未发现有相关的国际标准和国外先进标准。</w:t>
      </w:r>
    </w:p>
    <w:p w14:paraId="2FF62B5B">
      <w:pPr>
        <w:pStyle w:val="4"/>
        <w:widowControl/>
        <w:shd w:val="clear" w:color="auto" w:fill="FFFFFF"/>
        <w:spacing w:beforeAutospacing="0" w:afterAutospacing="0" w:line="360" w:lineRule="auto"/>
        <w:rPr>
          <w:rFonts w:hint="default" w:ascii="Times New Roman" w:hAnsi="Times New Roman"/>
          <w:color w:val="0F1115"/>
          <w:sz w:val="24"/>
          <w:szCs w:val="24"/>
        </w:rPr>
      </w:pPr>
      <w:r>
        <w:rPr>
          <w:rFonts w:hint="default" w:ascii="Times New Roman" w:hAnsi="Times New Roman"/>
          <w:color w:val="0F1115"/>
          <w:sz w:val="24"/>
          <w:szCs w:val="24"/>
          <w:shd w:val="clear" w:color="auto" w:fill="FFFFFF"/>
        </w:rPr>
        <w:t>五、与有关的现行法律、法规和强制性标准的关系</w:t>
      </w:r>
    </w:p>
    <w:p w14:paraId="78EA6239">
      <w:pPr>
        <w:pStyle w:val="11"/>
        <w:shd w:val="clear" w:color="auto" w:fill="FFFFFF"/>
        <w:spacing w:before="0" w:beforeAutospacing="0" w:after="0" w:afterAutospacing="0" w:line="360" w:lineRule="auto"/>
        <w:ind w:firstLine="480" w:firstLineChars="200"/>
        <w:rPr>
          <w:rFonts w:ascii="Times New Roman" w:hAnsi="Times New Roman" w:cs="Times New Roman"/>
          <w:color w:val="0F1115"/>
        </w:rPr>
      </w:pPr>
      <w:r>
        <w:rPr>
          <w:rFonts w:ascii="Times New Roman" w:hAnsi="Times New Roman" w:cs="Times New Roman"/>
          <w:color w:val="0F1115"/>
          <w:shd w:val="clear" w:color="auto" w:fill="FFFFFF"/>
        </w:rPr>
        <w:t>本标准与《医疗器械监督管理条例》《生物安全法》等现行法律法规及强制性标准不冲突也不矛盾。本标准为推荐性团体标准，与现有强制性国家标准和行业标准互补，在技术要求上不低于相关强制性标准中医疗器械原料的安全性指标，可填补生物技术来源软骨素钠产品的技术要求空白。</w:t>
      </w:r>
    </w:p>
    <w:p w14:paraId="5EFC3320">
      <w:pPr>
        <w:pStyle w:val="4"/>
        <w:widowControl/>
        <w:shd w:val="clear" w:color="auto" w:fill="FFFFFF"/>
        <w:spacing w:beforeAutospacing="0" w:afterAutospacing="0" w:line="360" w:lineRule="auto"/>
        <w:rPr>
          <w:rFonts w:hint="default" w:ascii="Times New Roman" w:hAnsi="Times New Roman"/>
          <w:color w:val="0F1115"/>
          <w:sz w:val="24"/>
          <w:szCs w:val="24"/>
        </w:rPr>
      </w:pPr>
      <w:r>
        <w:rPr>
          <w:rFonts w:hint="default" w:ascii="Times New Roman" w:hAnsi="Times New Roman"/>
          <w:color w:val="0F1115"/>
          <w:sz w:val="24"/>
          <w:szCs w:val="24"/>
          <w:shd w:val="clear" w:color="auto" w:fill="FFFFFF"/>
        </w:rPr>
        <w:t>六、重大分歧意见的处理经过和依据</w:t>
      </w:r>
    </w:p>
    <w:p w14:paraId="42EFC802">
      <w:pPr>
        <w:pStyle w:val="11"/>
        <w:shd w:val="clear" w:color="auto" w:fill="FFFFFF"/>
        <w:spacing w:before="0" w:beforeAutospacing="0" w:after="0" w:afterAutospacing="0" w:line="360" w:lineRule="auto"/>
        <w:ind w:firstLine="480" w:firstLineChars="200"/>
        <w:rPr>
          <w:rFonts w:ascii="Times New Roman" w:hAnsi="Times New Roman" w:cs="Times New Roman"/>
          <w:color w:val="0F1115"/>
        </w:rPr>
      </w:pPr>
      <w:r>
        <w:rPr>
          <w:rFonts w:ascii="Times New Roman" w:hAnsi="Times New Roman" w:cs="Times New Roman"/>
          <w:color w:val="0F1115"/>
          <w:shd w:val="clear" w:color="auto" w:fill="FFFFFF"/>
        </w:rPr>
        <w:t>无。</w:t>
      </w:r>
    </w:p>
    <w:p w14:paraId="3AAB2CC5">
      <w:pPr>
        <w:pStyle w:val="4"/>
        <w:widowControl/>
        <w:shd w:val="clear" w:color="auto" w:fill="FFFFFF"/>
        <w:spacing w:beforeAutospacing="0" w:afterAutospacing="0" w:line="360" w:lineRule="auto"/>
        <w:rPr>
          <w:rFonts w:hint="default" w:ascii="Times New Roman" w:hAnsi="Times New Roman"/>
          <w:color w:val="0F1115"/>
          <w:sz w:val="24"/>
          <w:szCs w:val="24"/>
        </w:rPr>
      </w:pPr>
      <w:r>
        <w:rPr>
          <w:rFonts w:hint="default" w:ascii="Times New Roman" w:hAnsi="Times New Roman"/>
          <w:color w:val="0F1115"/>
          <w:sz w:val="24"/>
          <w:szCs w:val="24"/>
          <w:shd w:val="clear" w:color="auto" w:fill="FFFFFF"/>
        </w:rPr>
        <w:t>七、其他应予说明的事项</w:t>
      </w:r>
    </w:p>
    <w:p w14:paraId="564A026F">
      <w:pPr>
        <w:pStyle w:val="11"/>
        <w:shd w:val="clear" w:color="auto" w:fill="FFFFFF"/>
        <w:spacing w:before="0" w:beforeAutospacing="0" w:after="0" w:afterAutospacing="0" w:line="360" w:lineRule="auto"/>
        <w:ind w:firstLine="480" w:firstLineChars="200"/>
        <w:rPr>
          <w:rFonts w:ascii="Times New Roman" w:hAnsi="Times New Roman" w:cs="Times New Roman"/>
          <w:color w:val="0F1115"/>
          <w:shd w:val="clear" w:color="auto" w:fill="FFFFFF"/>
        </w:rPr>
      </w:pPr>
      <w:r>
        <w:rPr>
          <w:rFonts w:ascii="Times New Roman" w:hAnsi="Times New Roman" w:cs="Times New Roman"/>
          <w:color w:val="0F1115"/>
          <w:shd w:val="clear" w:color="auto" w:fill="FFFFFF"/>
        </w:rPr>
        <w:t>无。</w:t>
      </w:r>
    </w:p>
    <w:p w14:paraId="5BEB92B4">
      <w:pPr>
        <w:pStyle w:val="11"/>
        <w:shd w:val="clear" w:color="auto" w:fill="FFFFFF"/>
        <w:spacing w:before="0" w:beforeAutospacing="0" w:after="0" w:afterAutospacing="0" w:line="360" w:lineRule="auto"/>
        <w:ind w:firstLine="480" w:firstLineChars="200"/>
        <w:rPr>
          <w:rFonts w:ascii="Times New Roman" w:hAnsi="Times New Roman" w:cs="Times New Roman"/>
          <w:color w:val="0F1115"/>
          <w:shd w:val="clear" w:color="auto" w:fill="FFFFFF"/>
        </w:rPr>
      </w:pPr>
    </w:p>
    <w:p w14:paraId="000694EA">
      <w:pPr>
        <w:pStyle w:val="11"/>
        <w:shd w:val="clear" w:color="auto" w:fill="FFFFFF"/>
        <w:spacing w:before="0" w:beforeAutospacing="0" w:after="0" w:afterAutospacing="0" w:line="360" w:lineRule="auto"/>
        <w:ind w:firstLine="480" w:firstLineChars="200"/>
        <w:rPr>
          <w:rFonts w:ascii="Times New Roman" w:hAnsi="Times New Roman" w:cs="Times New Roman"/>
          <w:color w:val="0F1115"/>
          <w:shd w:val="clear" w:color="auto" w:fill="FFFFFF"/>
        </w:rPr>
      </w:pPr>
    </w:p>
    <w:p w14:paraId="6A878892">
      <w:pPr>
        <w:pStyle w:val="11"/>
        <w:shd w:val="clear" w:color="auto" w:fill="FFFFFF"/>
        <w:spacing w:before="0" w:beforeAutospacing="0" w:after="0" w:afterAutospacing="0" w:line="360" w:lineRule="auto"/>
        <w:ind w:firstLine="2400" w:firstLineChars="1000"/>
        <w:rPr>
          <w:rFonts w:ascii="Times New Roman" w:hAnsi="Times New Roman" w:cs="Times New Roman"/>
          <w:color w:val="0F1115"/>
          <w:highlight w:val="none"/>
          <w:shd w:val="clear" w:color="auto" w:fill="FFFFFF"/>
        </w:rPr>
      </w:pPr>
      <w:r>
        <w:rPr>
          <w:rFonts w:ascii="Times New Roman" w:hAnsi="Times New Roman" w:cs="Times New Roman"/>
          <w:color w:val="0F1115"/>
          <w:highlight w:val="none"/>
          <w:shd w:val="clear" w:color="auto" w:fill="FFFFFF"/>
        </w:rPr>
        <w:t>《</w:t>
      </w:r>
      <w:r>
        <w:rPr>
          <w:rFonts w:hint="eastAsia" w:ascii="Times New Roman" w:hAnsi="Times New Roman" w:cs="Times New Roman"/>
          <w:color w:val="0F1115"/>
          <w:highlight w:val="none"/>
          <w:shd w:val="clear" w:color="auto" w:fill="FFFFFF"/>
          <w:lang w:eastAsia="zh-CN"/>
        </w:rPr>
        <w:t>医疗器械用软骨素钠</w:t>
      </w:r>
      <w:r>
        <w:rPr>
          <w:rFonts w:ascii="Times New Roman" w:hAnsi="Times New Roman" w:cs="Times New Roman"/>
          <w:color w:val="0F1115"/>
          <w:highlight w:val="none"/>
          <w:shd w:val="clear" w:color="auto" w:fill="FFFFFF"/>
        </w:rPr>
        <w:t>》团体标准起草工作组</w:t>
      </w:r>
    </w:p>
    <w:p w14:paraId="698C60E9">
      <w:pPr>
        <w:pStyle w:val="11"/>
        <w:shd w:val="clear" w:color="auto" w:fill="FFFFFF"/>
        <w:spacing w:before="0" w:beforeAutospacing="0" w:after="0" w:afterAutospacing="0" w:line="360" w:lineRule="auto"/>
        <w:jc w:val="right"/>
        <w:rPr>
          <w:rFonts w:ascii="Times New Roman" w:hAnsi="Times New Roman" w:cs="Times New Roman"/>
          <w:color w:val="0F1115"/>
          <w:highlight w:val="none"/>
        </w:rPr>
      </w:pPr>
      <w:r>
        <w:rPr>
          <w:rFonts w:ascii="Times New Roman" w:hAnsi="Times New Roman" w:cs="Times New Roman"/>
          <w:color w:val="0F1115"/>
          <w:highlight w:val="none"/>
          <w:shd w:val="clear" w:color="auto" w:fill="FFFFFF"/>
        </w:rPr>
        <w:t>2026年</w:t>
      </w:r>
      <w:r>
        <w:rPr>
          <w:rFonts w:hint="eastAsia" w:ascii="Times New Roman" w:hAnsi="Times New Roman" w:cs="Times New Roman"/>
          <w:color w:val="0F1115"/>
          <w:highlight w:val="none"/>
          <w:shd w:val="clear" w:color="auto" w:fill="FFFFFF"/>
          <w:lang w:val="en-US" w:eastAsia="zh-CN"/>
        </w:rPr>
        <w:t>10</w:t>
      </w:r>
      <w:r>
        <w:rPr>
          <w:rFonts w:ascii="Times New Roman" w:hAnsi="Times New Roman" w:cs="Times New Roman"/>
          <w:color w:val="0F1115"/>
          <w:highlight w:val="none"/>
          <w:shd w:val="clear" w:color="auto" w:fill="FFFFFF"/>
        </w:rPr>
        <w:t>月</w:t>
      </w:r>
    </w:p>
    <w:p w14:paraId="1858B858">
      <w:pPr>
        <w:spacing w:line="360" w:lineRule="auto"/>
        <w:ind w:right="420"/>
        <w:jc w:val="right"/>
        <w:rPr>
          <w:rFonts w:ascii="宋体" w:hAnsi="宋体"/>
          <w:color w:val="000000" w:themeColor="text1"/>
          <w:sz w:val="24"/>
          <w14:textFill>
            <w14:solidFill>
              <w14:schemeClr w14:val="tx1"/>
            </w14:solidFill>
          </w14:textFill>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EF74B2">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35E854B5">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14:paraId="35E854B5">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D733618"/>
    <w:multiLevelType w:val="multilevel"/>
    <w:tmpl w:val="3D733618"/>
    <w:lvl w:ilvl="0" w:tentative="0">
      <w:start w:val="1"/>
      <w:numFmt w:val="decimal"/>
      <w:pStyle w:val="10"/>
      <w:lvlText w:val="%1)"/>
      <w:lvlJc w:val="left"/>
      <w:pPr>
        <w:tabs>
          <w:tab w:val="left" w:pos="0"/>
        </w:tabs>
        <w:ind w:left="720" w:hanging="357"/>
      </w:pPr>
      <w:rPr>
        <w:rFonts w:hint="eastAsia"/>
      </w:rPr>
    </w:lvl>
    <w:lvl w:ilvl="1" w:tentative="0">
      <w:start w:val="1"/>
      <w:numFmt w:val="lowerLetter"/>
      <w:lvlText w:val="%2)"/>
      <w:lvlJc w:val="left"/>
      <w:pPr>
        <w:tabs>
          <w:tab w:val="left" w:pos="504"/>
        </w:tabs>
        <w:ind w:left="544" w:hanging="544"/>
      </w:pPr>
      <w:rPr>
        <w:rFonts w:hint="eastAsia"/>
      </w:rPr>
    </w:lvl>
    <w:lvl w:ilvl="2" w:tentative="0">
      <w:start w:val="1"/>
      <w:numFmt w:val="lowerRoman"/>
      <w:lvlText w:val="%3."/>
      <w:lvlJc w:val="right"/>
      <w:pPr>
        <w:tabs>
          <w:tab w:val="left" w:pos="532"/>
        </w:tabs>
        <w:ind w:left="544" w:hanging="544"/>
      </w:pPr>
      <w:rPr>
        <w:rFonts w:hint="eastAsia"/>
      </w:rPr>
    </w:lvl>
    <w:lvl w:ilvl="3" w:tentative="0">
      <w:start w:val="1"/>
      <w:numFmt w:val="decimal"/>
      <w:lvlText w:val="%4."/>
      <w:lvlJc w:val="left"/>
      <w:pPr>
        <w:tabs>
          <w:tab w:val="left" w:pos="560"/>
        </w:tabs>
        <w:ind w:left="544" w:hanging="544"/>
      </w:pPr>
      <w:rPr>
        <w:rFonts w:hint="eastAsia"/>
      </w:rPr>
    </w:lvl>
    <w:lvl w:ilvl="4" w:tentative="0">
      <w:start w:val="1"/>
      <w:numFmt w:val="lowerLetter"/>
      <w:lvlText w:val="%5)"/>
      <w:lvlJc w:val="left"/>
      <w:pPr>
        <w:tabs>
          <w:tab w:val="left" w:pos="588"/>
        </w:tabs>
        <w:ind w:left="544" w:hanging="544"/>
      </w:pPr>
      <w:rPr>
        <w:rFonts w:hint="eastAsia"/>
      </w:rPr>
    </w:lvl>
    <w:lvl w:ilvl="5" w:tentative="0">
      <w:start w:val="1"/>
      <w:numFmt w:val="lowerRoman"/>
      <w:lvlText w:val="%6."/>
      <w:lvlJc w:val="right"/>
      <w:pPr>
        <w:tabs>
          <w:tab w:val="left" w:pos="616"/>
        </w:tabs>
        <w:ind w:left="544" w:hanging="544"/>
      </w:pPr>
      <w:rPr>
        <w:rFonts w:hint="eastAsia"/>
      </w:rPr>
    </w:lvl>
    <w:lvl w:ilvl="6" w:tentative="0">
      <w:start w:val="1"/>
      <w:numFmt w:val="decimal"/>
      <w:lvlText w:val="%7."/>
      <w:lvlJc w:val="left"/>
      <w:pPr>
        <w:tabs>
          <w:tab w:val="left" w:pos="644"/>
        </w:tabs>
        <w:ind w:left="544" w:hanging="544"/>
      </w:pPr>
      <w:rPr>
        <w:rFonts w:hint="eastAsia"/>
      </w:rPr>
    </w:lvl>
    <w:lvl w:ilvl="7" w:tentative="0">
      <w:start w:val="1"/>
      <w:numFmt w:val="lowerLetter"/>
      <w:lvlText w:val="%8)"/>
      <w:lvlJc w:val="left"/>
      <w:pPr>
        <w:tabs>
          <w:tab w:val="left" w:pos="672"/>
        </w:tabs>
        <w:ind w:left="544" w:hanging="544"/>
      </w:pPr>
      <w:rPr>
        <w:rFonts w:hint="eastAsia"/>
      </w:rPr>
    </w:lvl>
    <w:lvl w:ilvl="8" w:tentative="0">
      <w:start w:val="1"/>
      <w:numFmt w:val="lowerRoman"/>
      <w:lvlText w:val="%9."/>
      <w:lvlJc w:val="right"/>
      <w:pPr>
        <w:tabs>
          <w:tab w:val="left" w:pos="700"/>
        </w:tabs>
        <w:ind w:left="544" w:hanging="544"/>
      </w:pPr>
      <w:rPr>
        <w:rFonts w:hint="eastAsia"/>
      </w:rPr>
    </w:lvl>
  </w:abstractNum>
  <w:abstractNum w:abstractNumId="1">
    <w:nsid w:val="6CEA2025"/>
    <w:multiLevelType w:val="multilevel"/>
    <w:tmpl w:val="6CEA2025"/>
    <w:lvl w:ilvl="0" w:tentative="0">
      <w:start w:val="1"/>
      <w:numFmt w:val="none"/>
      <w:pStyle w:val="17"/>
      <w:suff w:val="nothing"/>
      <w:lvlText w:val="%1"/>
      <w:lvlJc w:val="left"/>
      <w:pPr>
        <w:ind w:left="0" w:firstLine="0"/>
      </w:pPr>
      <w:rPr>
        <w:rFonts w:hint="default" w:ascii="Times New Roman" w:hAnsi="Times New Roman"/>
        <w:b/>
        <w:i w:val="0"/>
        <w:sz w:val="21"/>
      </w:rPr>
    </w:lvl>
    <w:lvl w:ilvl="1" w:tentative="0">
      <w:start w:val="1"/>
      <w:numFmt w:val="decimal"/>
      <w:pStyle w:val="18"/>
      <w:suff w:val="nothing"/>
      <w:lvlText w:val="%1%2　"/>
      <w:lvlJc w:val="left"/>
      <w:pPr>
        <w:ind w:left="0" w:firstLine="0"/>
      </w:pPr>
      <w:rPr>
        <w:rFonts w:hint="eastAsia" w:ascii="黑体" w:hAnsi="Times New Roman" w:eastAsia="黑体"/>
        <w:b w:val="0"/>
        <w:i w:val="0"/>
        <w:sz w:val="21"/>
      </w:rPr>
    </w:lvl>
    <w:lvl w:ilvl="2" w:tentative="0">
      <w:start w:val="1"/>
      <w:numFmt w:val="decimal"/>
      <w:pStyle w:val="19"/>
      <w:suff w:val="nothing"/>
      <w:lvlText w:val="%1%2.%3　"/>
      <w:lvlJc w:val="left"/>
      <w:pPr>
        <w:ind w:left="1440" w:firstLine="0"/>
      </w:pPr>
      <w:rPr>
        <w:rFonts w:hint="eastAsia" w:ascii="黑体" w:hAnsi="Times New Roman" w:eastAsia="黑体"/>
        <w:b w:val="0"/>
        <w:i w:val="0"/>
        <w:sz w:val="21"/>
      </w:rPr>
    </w:lvl>
    <w:lvl w:ilvl="3" w:tentative="0">
      <w:start w:val="1"/>
      <w:numFmt w:val="decimal"/>
      <w:pStyle w:val="20"/>
      <w:suff w:val="nothing"/>
      <w:lvlText w:val="%1%2.%3.%4　"/>
      <w:lvlJc w:val="left"/>
      <w:pPr>
        <w:ind w:left="720" w:firstLine="0"/>
      </w:pPr>
      <w:rPr>
        <w:rFonts w:hint="eastAsia" w:ascii="黑体" w:hAnsi="Times New Roman" w:eastAsia="黑体"/>
        <w:b w:val="0"/>
        <w:i w:val="0"/>
        <w:sz w:val="21"/>
      </w:rPr>
    </w:lvl>
    <w:lvl w:ilvl="4" w:tentative="0">
      <w:start w:val="1"/>
      <w:numFmt w:val="decimal"/>
      <w:pStyle w:val="22"/>
      <w:suff w:val="nothing"/>
      <w:lvlText w:val="%1%2.%3.%4.%5　"/>
      <w:lvlJc w:val="left"/>
      <w:pPr>
        <w:ind w:left="0" w:firstLine="0"/>
      </w:pPr>
      <w:rPr>
        <w:rFonts w:hint="eastAsia" w:ascii="黑体" w:hAnsi="Times New Roman" w:eastAsia="黑体"/>
        <w:b w:val="0"/>
        <w:i w:val="0"/>
        <w:sz w:val="21"/>
      </w:rPr>
    </w:lvl>
    <w:lvl w:ilvl="5" w:tentative="0">
      <w:start w:val="1"/>
      <w:numFmt w:val="decimal"/>
      <w:pStyle w:val="23"/>
      <w:suff w:val="nothing"/>
      <w:lvlText w:val="%1%2.%3.%4.%5.%6　"/>
      <w:lvlJc w:val="left"/>
      <w:pPr>
        <w:ind w:left="0" w:firstLine="0"/>
      </w:pPr>
      <w:rPr>
        <w:rFonts w:hint="eastAsia" w:ascii="黑体" w:hAnsi="Times New Roman" w:eastAsia="黑体"/>
        <w:b w:val="0"/>
        <w:i w:val="0"/>
        <w:sz w:val="21"/>
      </w:rPr>
    </w:lvl>
    <w:lvl w:ilvl="6" w:tentative="0">
      <w:start w:val="1"/>
      <w:numFmt w:val="decimal"/>
      <w:pStyle w:val="9"/>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RlNmE1YTg5ZDg0MGFkOTJmYzA3MWEyNGQxNWZkNTAifQ=="/>
  </w:docVars>
  <w:rsids>
    <w:rsidRoot w:val="00514ECE"/>
    <w:rsid w:val="000104DB"/>
    <w:rsid w:val="00026654"/>
    <w:rsid w:val="000273DF"/>
    <w:rsid w:val="00035C3C"/>
    <w:rsid w:val="00045D98"/>
    <w:rsid w:val="000545A8"/>
    <w:rsid w:val="00055B69"/>
    <w:rsid w:val="00055DD9"/>
    <w:rsid w:val="00060626"/>
    <w:rsid w:val="0007195B"/>
    <w:rsid w:val="0008736E"/>
    <w:rsid w:val="000913A1"/>
    <w:rsid w:val="00095B93"/>
    <w:rsid w:val="000A1977"/>
    <w:rsid w:val="000B1620"/>
    <w:rsid w:val="000B56BF"/>
    <w:rsid w:val="000D5C87"/>
    <w:rsid w:val="000E5D27"/>
    <w:rsid w:val="00100262"/>
    <w:rsid w:val="00101AA3"/>
    <w:rsid w:val="00113855"/>
    <w:rsid w:val="00116BE1"/>
    <w:rsid w:val="001335E4"/>
    <w:rsid w:val="00143BAA"/>
    <w:rsid w:val="0015134C"/>
    <w:rsid w:val="00151888"/>
    <w:rsid w:val="00155311"/>
    <w:rsid w:val="00176716"/>
    <w:rsid w:val="00181DF3"/>
    <w:rsid w:val="00185911"/>
    <w:rsid w:val="00193534"/>
    <w:rsid w:val="001A4E5F"/>
    <w:rsid w:val="001A6770"/>
    <w:rsid w:val="001B008A"/>
    <w:rsid w:val="001C758F"/>
    <w:rsid w:val="001E1756"/>
    <w:rsid w:val="001E6FBA"/>
    <w:rsid w:val="001F46E8"/>
    <w:rsid w:val="00202B94"/>
    <w:rsid w:val="00217489"/>
    <w:rsid w:val="00220D69"/>
    <w:rsid w:val="00221CF5"/>
    <w:rsid w:val="00227415"/>
    <w:rsid w:val="00227EE2"/>
    <w:rsid w:val="00230915"/>
    <w:rsid w:val="00232544"/>
    <w:rsid w:val="0024051D"/>
    <w:rsid w:val="002415FD"/>
    <w:rsid w:val="00241A0C"/>
    <w:rsid w:val="002427BA"/>
    <w:rsid w:val="00243FCA"/>
    <w:rsid w:val="002578AD"/>
    <w:rsid w:val="00263188"/>
    <w:rsid w:val="00270631"/>
    <w:rsid w:val="00280402"/>
    <w:rsid w:val="0028108C"/>
    <w:rsid w:val="0028757B"/>
    <w:rsid w:val="00290E66"/>
    <w:rsid w:val="00291486"/>
    <w:rsid w:val="002A38D4"/>
    <w:rsid w:val="002B16D4"/>
    <w:rsid w:val="002B1991"/>
    <w:rsid w:val="002B3FDD"/>
    <w:rsid w:val="002D11D1"/>
    <w:rsid w:val="002E0723"/>
    <w:rsid w:val="002E07A1"/>
    <w:rsid w:val="002E6B07"/>
    <w:rsid w:val="002E75F8"/>
    <w:rsid w:val="002F3FBE"/>
    <w:rsid w:val="0030089A"/>
    <w:rsid w:val="00303A34"/>
    <w:rsid w:val="00312075"/>
    <w:rsid w:val="0031280F"/>
    <w:rsid w:val="00316E51"/>
    <w:rsid w:val="003222B5"/>
    <w:rsid w:val="003330BA"/>
    <w:rsid w:val="00337DFD"/>
    <w:rsid w:val="0034376D"/>
    <w:rsid w:val="00343D8D"/>
    <w:rsid w:val="0034497F"/>
    <w:rsid w:val="00345A20"/>
    <w:rsid w:val="00353E2D"/>
    <w:rsid w:val="0036576B"/>
    <w:rsid w:val="00374C9D"/>
    <w:rsid w:val="00383200"/>
    <w:rsid w:val="0038378E"/>
    <w:rsid w:val="00385FE2"/>
    <w:rsid w:val="003862A2"/>
    <w:rsid w:val="00393387"/>
    <w:rsid w:val="00396A29"/>
    <w:rsid w:val="003B64ED"/>
    <w:rsid w:val="003C33C0"/>
    <w:rsid w:val="003C4411"/>
    <w:rsid w:val="003C5258"/>
    <w:rsid w:val="003C70A8"/>
    <w:rsid w:val="003E3D7F"/>
    <w:rsid w:val="003E40D9"/>
    <w:rsid w:val="003F1D69"/>
    <w:rsid w:val="0041595C"/>
    <w:rsid w:val="00422318"/>
    <w:rsid w:val="00424568"/>
    <w:rsid w:val="00425170"/>
    <w:rsid w:val="00427A3F"/>
    <w:rsid w:val="00434C05"/>
    <w:rsid w:val="00452D00"/>
    <w:rsid w:val="00455F12"/>
    <w:rsid w:val="00456E23"/>
    <w:rsid w:val="0046016F"/>
    <w:rsid w:val="004A3C13"/>
    <w:rsid w:val="004B4CD9"/>
    <w:rsid w:val="004B59D1"/>
    <w:rsid w:val="004C390D"/>
    <w:rsid w:val="004D25D6"/>
    <w:rsid w:val="004E0E32"/>
    <w:rsid w:val="004F128D"/>
    <w:rsid w:val="004F1D35"/>
    <w:rsid w:val="005050AA"/>
    <w:rsid w:val="00510B50"/>
    <w:rsid w:val="00514ECE"/>
    <w:rsid w:val="00517CB7"/>
    <w:rsid w:val="005227BE"/>
    <w:rsid w:val="005314CD"/>
    <w:rsid w:val="005338BB"/>
    <w:rsid w:val="00543943"/>
    <w:rsid w:val="00543A0D"/>
    <w:rsid w:val="00547854"/>
    <w:rsid w:val="00550D3F"/>
    <w:rsid w:val="00552313"/>
    <w:rsid w:val="00554FAB"/>
    <w:rsid w:val="00556226"/>
    <w:rsid w:val="00557B7E"/>
    <w:rsid w:val="005639F6"/>
    <w:rsid w:val="00564C66"/>
    <w:rsid w:val="0056547E"/>
    <w:rsid w:val="0057196C"/>
    <w:rsid w:val="005742E2"/>
    <w:rsid w:val="00587959"/>
    <w:rsid w:val="00590F31"/>
    <w:rsid w:val="00596871"/>
    <w:rsid w:val="005A0248"/>
    <w:rsid w:val="005A2D1D"/>
    <w:rsid w:val="005A7287"/>
    <w:rsid w:val="005B1D3D"/>
    <w:rsid w:val="005B6E36"/>
    <w:rsid w:val="005B7730"/>
    <w:rsid w:val="005C3648"/>
    <w:rsid w:val="005D1113"/>
    <w:rsid w:val="005D5730"/>
    <w:rsid w:val="005E06D7"/>
    <w:rsid w:val="005E44E9"/>
    <w:rsid w:val="005E4A6D"/>
    <w:rsid w:val="00605825"/>
    <w:rsid w:val="00611554"/>
    <w:rsid w:val="006354EE"/>
    <w:rsid w:val="00642D93"/>
    <w:rsid w:val="00643091"/>
    <w:rsid w:val="0065283C"/>
    <w:rsid w:val="00661866"/>
    <w:rsid w:val="00673D40"/>
    <w:rsid w:val="00682E62"/>
    <w:rsid w:val="00687D76"/>
    <w:rsid w:val="00696988"/>
    <w:rsid w:val="006C17DC"/>
    <w:rsid w:val="006C30E8"/>
    <w:rsid w:val="006C520E"/>
    <w:rsid w:val="006C6DDC"/>
    <w:rsid w:val="006E6E37"/>
    <w:rsid w:val="006E7900"/>
    <w:rsid w:val="006F0514"/>
    <w:rsid w:val="006F11A9"/>
    <w:rsid w:val="006F29A0"/>
    <w:rsid w:val="006F5CF3"/>
    <w:rsid w:val="00701A8A"/>
    <w:rsid w:val="00712218"/>
    <w:rsid w:val="00713611"/>
    <w:rsid w:val="00726C39"/>
    <w:rsid w:val="00730A24"/>
    <w:rsid w:val="00733D50"/>
    <w:rsid w:val="0073626A"/>
    <w:rsid w:val="00740AEF"/>
    <w:rsid w:val="00745D86"/>
    <w:rsid w:val="007521B2"/>
    <w:rsid w:val="0076251C"/>
    <w:rsid w:val="00776FAC"/>
    <w:rsid w:val="0078777F"/>
    <w:rsid w:val="00792122"/>
    <w:rsid w:val="00796B7B"/>
    <w:rsid w:val="007B6700"/>
    <w:rsid w:val="007C1BA9"/>
    <w:rsid w:val="007C55BB"/>
    <w:rsid w:val="007C6440"/>
    <w:rsid w:val="007E09BB"/>
    <w:rsid w:val="007E1128"/>
    <w:rsid w:val="007F2ED0"/>
    <w:rsid w:val="007F4F70"/>
    <w:rsid w:val="00801F87"/>
    <w:rsid w:val="00806C8B"/>
    <w:rsid w:val="00807C96"/>
    <w:rsid w:val="0082596F"/>
    <w:rsid w:val="0084526F"/>
    <w:rsid w:val="00846602"/>
    <w:rsid w:val="008A22AB"/>
    <w:rsid w:val="008A6195"/>
    <w:rsid w:val="008A6960"/>
    <w:rsid w:val="008B2825"/>
    <w:rsid w:val="008B3AF6"/>
    <w:rsid w:val="008D17FE"/>
    <w:rsid w:val="008D2B27"/>
    <w:rsid w:val="008D5603"/>
    <w:rsid w:val="008E2385"/>
    <w:rsid w:val="008E7CAD"/>
    <w:rsid w:val="008F5CED"/>
    <w:rsid w:val="00900767"/>
    <w:rsid w:val="009043E3"/>
    <w:rsid w:val="009054EB"/>
    <w:rsid w:val="00906E8B"/>
    <w:rsid w:val="00927F89"/>
    <w:rsid w:val="00930A94"/>
    <w:rsid w:val="00937A54"/>
    <w:rsid w:val="00941342"/>
    <w:rsid w:val="00945F69"/>
    <w:rsid w:val="0094789F"/>
    <w:rsid w:val="0095022C"/>
    <w:rsid w:val="00960AE9"/>
    <w:rsid w:val="009762D3"/>
    <w:rsid w:val="00987C97"/>
    <w:rsid w:val="009A3BEB"/>
    <w:rsid w:val="009A70BB"/>
    <w:rsid w:val="009B600F"/>
    <w:rsid w:val="009C228F"/>
    <w:rsid w:val="009C4983"/>
    <w:rsid w:val="009C6512"/>
    <w:rsid w:val="009E2369"/>
    <w:rsid w:val="009E3CBF"/>
    <w:rsid w:val="009E5227"/>
    <w:rsid w:val="009E6347"/>
    <w:rsid w:val="009F35E4"/>
    <w:rsid w:val="009F5FB2"/>
    <w:rsid w:val="00A05053"/>
    <w:rsid w:val="00A25518"/>
    <w:rsid w:val="00A27A3B"/>
    <w:rsid w:val="00A3687C"/>
    <w:rsid w:val="00A42138"/>
    <w:rsid w:val="00A47DAF"/>
    <w:rsid w:val="00A50642"/>
    <w:rsid w:val="00A52256"/>
    <w:rsid w:val="00A54F5F"/>
    <w:rsid w:val="00A55936"/>
    <w:rsid w:val="00A55CCC"/>
    <w:rsid w:val="00A60492"/>
    <w:rsid w:val="00A6257C"/>
    <w:rsid w:val="00A6556F"/>
    <w:rsid w:val="00A65FD4"/>
    <w:rsid w:val="00A6640C"/>
    <w:rsid w:val="00A71D03"/>
    <w:rsid w:val="00A75FDF"/>
    <w:rsid w:val="00A914B0"/>
    <w:rsid w:val="00AA6B29"/>
    <w:rsid w:val="00AB0FB7"/>
    <w:rsid w:val="00AB5369"/>
    <w:rsid w:val="00AC1186"/>
    <w:rsid w:val="00AC19A1"/>
    <w:rsid w:val="00AC2555"/>
    <w:rsid w:val="00AD3988"/>
    <w:rsid w:val="00AD52EC"/>
    <w:rsid w:val="00AF2E38"/>
    <w:rsid w:val="00AF69FF"/>
    <w:rsid w:val="00B12B04"/>
    <w:rsid w:val="00B1339F"/>
    <w:rsid w:val="00B2252C"/>
    <w:rsid w:val="00B27471"/>
    <w:rsid w:val="00B32797"/>
    <w:rsid w:val="00B3347B"/>
    <w:rsid w:val="00B41BD4"/>
    <w:rsid w:val="00B47614"/>
    <w:rsid w:val="00B51A13"/>
    <w:rsid w:val="00B5530A"/>
    <w:rsid w:val="00B6573E"/>
    <w:rsid w:val="00B760A6"/>
    <w:rsid w:val="00B9051E"/>
    <w:rsid w:val="00B92B84"/>
    <w:rsid w:val="00B94948"/>
    <w:rsid w:val="00B94D59"/>
    <w:rsid w:val="00BA06E6"/>
    <w:rsid w:val="00BB13B5"/>
    <w:rsid w:val="00BB3A41"/>
    <w:rsid w:val="00BB64AA"/>
    <w:rsid w:val="00BC333D"/>
    <w:rsid w:val="00BC58E1"/>
    <w:rsid w:val="00BC5F43"/>
    <w:rsid w:val="00BD03CD"/>
    <w:rsid w:val="00BD1557"/>
    <w:rsid w:val="00BD4111"/>
    <w:rsid w:val="00BD6B0F"/>
    <w:rsid w:val="00BE02E1"/>
    <w:rsid w:val="00BE0622"/>
    <w:rsid w:val="00BE15D4"/>
    <w:rsid w:val="00BE1CD0"/>
    <w:rsid w:val="00BE6FC4"/>
    <w:rsid w:val="00C05F37"/>
    <w:rsid w:val="00C14E22"/>
    <w:rsid w:val="00C16263"/>
    <w:rsid w:val="00C22715"/>
    <w:rsid w:val="00C22B2B"/>
    <w:rsid w:val="00C26341"/>
    <w:rsid w:val="00C355C1"/>
    <w:rsid w:val="00C37FD7"/>
    <w:rsid w:val="00C43716"/>
    <w:rsid w:val="00C446F9"/>
    <w:rsid w:val="00C530C6"/>
    <w:rsid w:val="00C5731B"/>
    <w:rsid w:val="00C636C5"/>
    <w:rsid w:val="00C74085"/>
    <w:rsid w:val="00C75F65"/>
    <w:rsid w:val="00C94B19"/>
    <w:rsid w:val="00C96EE7"/>
    <w:rsid w:val="00CC2E7A"/>
    <w:rsid w:val="00CC4CA7"/>
    <w:rsid w:val="00CC68FF"/>
    <w:rsid w:val="00CD16BF"/>
    <w:rsid w:val="00CD1E75"/>
    <w:rsid w:val="00CD6B48"/>
    <w:rsid w:val="00CE2284"/>
    <w:rsid w:val="00CE7D6F"/>
    <w:rsid w:val="00D215C0"/>
    <w:rsid w:val="00D236C0"/>
    <w:rsid w:val="00D23AE9"/>
    <w:rsid w:val="00D375E2"/>
    <w:rsid w:val="00D42E78"/>
    <w:rsid w:val="00D43135"/>
    <w:rsid w:val="00D47D53"/>
    <w:rsid w:val="00D52174"/>
    <w:rsid w:val="00D57B15"/>
    <w:rsid w:val="00D60550"/>
    <w:rsid w:val="00D66C8B"/>
    <w:rsid w:val="00D81F27"/>
    <w:rsid w:val="00D85CD4"/>
    <w:rsid w:val="00D878AD"/>
    <w:rsid w:val="00D87E03"/>
    <w:rsid w:val="00D91191"/>
    <w:rsid w:val="00DA03C0"/>
    <w:rsid w:val="00DA098A"/>
    <w:rsid w:val="00DA0C0F"/>
    <w:rsid w:val="00DA3385"/>
    <w:rsid w:val="00DA57F3"/>
    <w:rsid w:val="00DA7C58"/>
    <w:rsid w:val="00DB1A21"/>
    <w:rsid w:val="00DB4E0C"/>
    <w:rsid w:val="00DC2C86"/>
    <w:rsid w:val="00DD31B2"/>
    <w:rsid w:val="00DD646C"/>
    <w:rsid w:val="00DD7961"/>
    <w:rsid w:val="00DE0102"/>
    <w:rsid w:val="00DE1C4E"/>
    <w:rsid w:val="00E04A1D"/>
    <w:rsid w:val="00E0547F"/>
    <w:rsid w:val="00E171F3"/>
    <w:rsid w:val="00E17687"/>
    <w:rsid w:val="00E17940"/>
    <w:rsid w:val="00E23BC6"/>
    <w:rsid w:val="00E271D8"/>
    <w:rsid w:val="00E317E7"/>
    <w:rsid w:val="00E50AC3"/>
    <w:rsid w:val="00E667E0"/>
    <w:rsid w:val="00E70531"/>
    <w:rsid w:val="00E80EE2"/>
    <w:rsid w:val="00E84381"/>
    <w:rsid w:val="00E84EE5"/>
    <w:rsid w:val="00E91B03"/>
    <w:rsid w:val="00E95A19"/>
    <w:rsid w:val="00E97B5A"/>
    <w:rsid w:val="00EA4C6F"/>
    <w:rsid w:val="00EA4F14"/>
    <w:rsid w:val="00EA50DF"/>
    <w:rsid w:val="00EB504B"/>
    <w:rsid w:val="00EB747E"/>
    <w:rsid w:val="00EC0D6D"/>
    <w:rsid w:val="00EC502C"/>
    <w:rsid w:val="00EC7B7D"/>
    <w:rsid w:val="00ED0E95"/>
    <w:rsid w:val="00ED2258"/>
    <w:rsid w:val="00ED5589"/>
    <w:rsid w:val="00EE435E"/>
    <w:rsid w:val="00EF2A29"/>
    <w:rsid w:val="00EF2F79"/>
    <w:rsid w:val="00EF6747"/>
    <w:rsid w:val="00F06F61"/>
    <w:rsid w:val="00F15002"/>
    <w:rsid w:val="00F176D8"/>
    <w:rsid w:val="00F20809"/>
    <w:rsid w:val="00F21255"/>
    <w:rsid w:val="00F21997"/>
    <w:rsid w:val="00F27F05"/>
    <w:rsid w:val="00F3075A"/>
    <w:rsid w:val="00F35B53"/>
    <w:rsid w:val="00F41701"/>
    <w:rsid w:val="00F557C8"/>
    <w:rsid w:val="00F71E5A"/>
    <w:rsid w:val="00F8234C"/>
    <w:rsid w:val="00F83BB5"/>
    <w:rsid w:val="00F83BD9"/>
    <w:rsid w:val="00F83CD2"/>
    <w:rsid w:val="00F90E8C"/>
    <w:rsid w:val="00F92F05"/>
    <w:rsid w:val="00F93E8E"/>
    <w:rsid w:val="00FA05B0"/>
    <w:rsid w:val="00FA7137"/>
    <w:rsid w:val="00FB58F7"/>
    <w:rsid w:val="00FC65CE"/>
    <w:rsid w:val="00FD0918"/>
    <w:rsid w:val="00FD28C3"/>
    <w:rsid w:val="00FD64C3"/>
    <w:rsid w:val="00FD7001"/>
    <w:rsid w:val="00FE4C61"/>
    <w:rsid w:val="00FE742E"/>
    <w:rsid w:val="00FF09EC"/>
    <w:rsid w:val="00FF0CCC"/>
    <w:rsid w:val="00FF1CF2"/>
    <w:rsid w:val="00FF45F6"/>
    <w:rsid w:val="00FF5CA7"/>
    <w:rsid w:val="037C5CDE"/>
    <w:rsid w:val="04910A78"/>
    <w:rsid w:val="08EB280C"/>
    <w:rsid w:val="0B5416BC"/>
    <w:rsid w:val="0CFE1D62"/>
    <w:rsid w:val="0D733F20"/>
    <w:rsid w:val="146A6B57"/>
    <w:rsid w:val="17CD44FF"/>
    <w:rsid w:val="19A02879"/>
    <w:rsid w:val="19A8687F"/>
    <w:rsid w:val="1AF035C1"/>
    <w:rsid w:val="1C4A7CD9"/>
    <w:rsid w:val="1E5A1D88"/>
    <w:rsid w:val="20C71318"/>
    <w:rsid w:val="24187CB0"/>
    <w:rsid w:val="24D4278F"/>
    <w:rsid w:val="2B8C73CC"/>
    <w:rsid w:val="321C75CA"/>
    <w:rsid w:val="34DB4543"/>
    <w:rsid w:val="357D4882"/>
    <w:rsid w:val="36FC6412"/>
    <w:rsid w:val="3C3B412B"/>
    <w:rsid w:val="3F7658B2"/>
    <w:rsid w:val="40AD3730"/>
    <w:rsid w:val="44456649"/>
    <w:rsid w:val="48253225"/>
    <w:rsid w:val="4A6F7A8D"/>
    <w:rsid w:val="4EB74215"/>
    <w:rsid w:val="513D338D"/>
    <w:rsid w:val="51805883"/>
    <w:rsid w:val="57735BF5"/>
    <w:rsid w:val="59956E2B"/>
    <w:rsid w:val="5AC76D4B"/>
    <w:rsid w:val="638922BF"/>
    <w:rsid w:val="6C727F37"/>
    <w:rsid w:val="6F4D6566"/>
    <w:rsid w:val="710704F0"/>
    <w:rsid w:val="712D6B22"/>
    <w:rsid w:val="71B50ADF"/>
    <w:rsid w:val="77B259A6"/>
    <w:rsid w:val="781025A5"/>
    <w:rsid w:val="7BB32E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autoRedefine/>
    <w:qFormat/>
    <w:uiPriority w:val="0"/>
    <w:pPr>
      <w:spacing w:beforeAutospacing="1" w:afterAutospacing="1"/>
      <w:jc w:val="left"/>
      <w:outlineLvl w:val="0"/>
    </w:pPr>
    <w:rPr>
      <w:rFonts w:hint="eastAsia" w:ascii="宋体" w:hAnsi="宋体"/>
      <w:b/>
      <w:bCs/>
      <w:kern w:val="44"/>
      <w:sz w:val="48"/>
      <w:szCs w:val="48"/>
    </w:rPr>
  </w:style>
  <w:style w:type="paragraph" w:styleId="3">
    <w:name w:val="heading 2"/>
    <w:basedOn w:val="1"/>
    <w:next w:val="1"/>
    <w:semiHidden/>
    <w:unhideWhenUsed/>
    <w:qFormat/>
    <w:uiPriority w:val="0"/>
    <w:pPr>
      <w:spacing w:beforeAutospacing="1" w:afterAutospacing="1"/>
      <w:jc w:val="left"/>
      <w:outlineLvl w:val="1"/>
    </w:pPr>
    <w:rPr>
      <w:rFonts w:hint="eastAsia" w:ascii="宋体" w:hAnsi="宋体"/>
      <w:b/>
      <w:bCs/>
      <w:kern w:val="0"/>
      <w:sz w:val="36"/>
      <w:szCs w:val="36"/>
    </w:rPr>
  </w:style>
  <w:style w:type="paragraph" w:styleId="4">
    <w:name w:val="heading 3"/>
    <w:basedOn w:val="1"/>
    <w:next w:val="1"/>
    <w:semiHidden/>
    <w:unhideWhenUsed/>
    <w:qFormat/>
    <w:uiPriority w:val="0"/>
    <w:pPr>
      <w:spacing w:beforeAutospacing="1" w:afterAutospacing="1"/>
      <w:jc w:val="left"/>
      <w:outlineLvl w:val="2"/>
    </w:pPr>
    <w:rPr>
      <w:rFonts w:hint="eastAsia" w:ascii="宋体" w:hAnsi="宋体"/>
      <w:b/>
      <w:bCs/>
      <w:kern w:val="0"/>
      <w:sz w:val="27"/>
      <w:szCs w:val="27"/>
    </w:rPr>
  </w:style>
  <w:style w:type="character" w:default="1" w:styleId="14">
    <w:name w:val="Default Paragraph Font"/>
    <w:semiHidden/>
    <w:unhideWhenUsed/>
    <w:qFormat/>
    <w:uiPriority w:val="1"/>
  </w:style>
  <w:style w:type="table" w:default="1" w:styleId="13">
    <w:name w:val="Normal Table"/>
    <w:semiHidden/>
    <w:unhideWhenUsed/>
    <w:uiPriority w:val="99"/>
    <w:tblPr>
      <w:tblCellMar>
        <w:top w:w="0" w:type="dxa"/>
        <w:left w:w="108" w:type="dxa"/>
        <w:bottom w:w="0" w:type="dxa"/>
        <w:right w:w="108" w:type="dxa"/>
      </w:tblCellMar>
    </w:tblPr>
  </w:style>
  <w:style w:type="paragraph" w:styleId="5">
    <w:name w:val="Document Map"/>
    <w:basedOn w:val="1"/>
    <w:link w:val="27"/>
    <w:autoRedefine/>
    <w:qFormat/>
    <w:uiPriority w:val="0"/>
    <w:rPr>
      <w:rFonts w:ascii="宋体"/>
      <w:sz w:val="18"/>
      <w:szCs w:val="18"/>
    </w:rPr>
  </w:style>
  <w:style w:type="paragraph" w:styleId="6">
    <w:name w:val="annotation text"/>
    <w:basedOn w:val="1"/>
    <w:link w:val="31"/>
    <w:autoRedefine/>
    <w:qFormat/>
    <w:uiPriority w:val="99"/>
    <w:pPr>
      <w:jc w:val="left"/>
    </w:pPr>
  </w:style>
  <w:style w:type="paragraph" w:styleId="7">
    <w:name w:val="Balloon Text"/>
    <w:basedOn w:val="1"/>
    <w:autoRedefine/>
    <w:semiHidden/>
    <w:qFormat/>
    <w:uiPriority w:val="0"/>
    <w:rPr>
      <w:sz w:val="18"/>
      <w:szCs w:val="18"/>
    </w:rPr>
  </w:style>
  <w:style w:type="paragraph" w:styleId="8">
    <w:name w:val="footer"/>
    <w:basedOn w:val="1"/>
    <w:link w:val="28"/>
    <w:autoRedefine/>
    <w:qFormat/>
    <w:uiPriority w:val="0"/>
    <w:pPr>
      <w:tabs>
        <w:tab w:val="center" w:pos="4153"/>
        <w:tab w:val="right" w:pos="8306"/>
      </w:tabs>
      <w:snapToGrid w:val="0"/>
      <w:jc w:val="left"/>
    </w:pPr>
    <w:rPr>
      <w:sz w:val="18"/>
      <w:szCs w:val="18"/>
    </w:rPr>
  </w:style>
  <w:style w:type="paragraph" w:styleId="9">
    <w:name w:val="header"/>
    <w:basedOn w:val="1"/>
    <w:autoRedefine/>
    <w:qFormat/>
    <w:uiPriority w:val="0"/>
    <w:pPr>
      <w:numPr>
        <w:ilvl w:val="6"/>
        <w:numId w:val="1"/>
      </w:numPr>
      <w:pBdr>
        <w:bottom w:val="single" w:color="auto" w:sz="6" w:space="1"/>
      </w:pBdr>
      <w:tabs>
        <w:tab w:val="center" w:pos="4153"/>
        <w:tab w:val="right" w:pos="8306"/>
      </w:tabs>
      <w:snapToGrid w:val="0"/>
      <w:jc w:val="center"/>
    </w:pPr>
    <w:rPr>
      <w:sz w:val="18"/>
      <w:szCs w:val="18"/>
    </w:rPr>
  </w:style>
  <w:style w:type="paragraph" w:styleId="10">
    <w:name w:val="footnote text"/>
    <w:basedOn w:val="1"/>
    <w:link w:val="32"/>
    <w:qFormat/>
    <w:uiPriority w:val="0"/>
    <w:pPr>
      <w:numPr>
        <w:ilvl w:val="0"/>
        <w:numId w:val="2"/>
      </w:numPr>
      <w:snapToGrid w:val="0"/>
      <w:jc w:val="left"/>
    </w:pPr>
    <w:rPr>
      <w:rFonts w:ascii="宋体"/>
      <w:sz w:val="18"/>
      <w:szCs w:val="18"/>
    </w:rPr>
  </w:style>
  <w:style w:type="paragraph" w:styleId="11">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12">
    <w:name w:val="annotation subject"/>
    <w:basedOn w:val="6"/>
    <w:next w:val="6"/>
    <w:link w:val="33"/>
    <w:qFormat/>
    <w:uiPriority w:val="0"/>
    <w:rPr>
      <w:b/>
      <w:bCs/>
    </w:rPr>
  </w:style>
  <w:style w:type="character" w:styleId="15">
    <w:name w:val="Hyperlink"/>
    <w:basedOn w:val="14"/>
    <w:qFormat/>
    <w:uiPriority w:val="0"/>
    <w:rPr>
      <w:color w:val="0000FF"/>
      <w:u w:val="single"/>
    </w:rPr>
  </w:style>
  <w:style w:type="character" w:styleId="16">
    <w:name w:val="annotation reference"/>
    <w:autoRedefine/>
    <w:qFormat/>
    <w:uiPriority w:val="99"/>
    <w:rPr>
      <w:sz w:val="21"/>
      <w:szCs w:val="21"/>
    </w:rPr>
  </w:style>
  <w:style w:type="paragraph" w:customStyle="1" w:styleId="17">
    <w:name w:val="前言、引言标题"/>
    <w:next w:val="1"/>
    <w:autoRedefine/>
    <w:qFormat/>
    <w:uiPriority w:val="0"/>
    <w:pPr>
      <w:numPr>
        <w:ilvl w:val="0"/>
        <w:numId w:val="1"/>
      </w:num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18">
    <w:name w:val="章标题"/>
    <w:next w:val="1"/>
    <w:autoRedefine/>
    <w:qFormat/>
    <w:uiPriority w:val="0"/>
    <w:pPr>
      <w:numPr>
        <w:ilvl w:val="1"/>
        <w:numId w:val="1"/>
      </w:numPr>
      <w:spacing w:beforeLines="50" w:afterLines="50"/>
      <w:jc w:val="both"/>
      <w:outlineLvl w:val="1"/>
    </w:pPr>
    <w:rPr>
      <w:rFonts w:ascii="黑体" w:hAnsi="Times New Roman" w:eastAsia="黑体" w:cs="Times New Roman"/>
      <w:sz w:val="21"/>
      <w:lang w:val="en-US" w:eastAsia="zh-CN" w:bidi="ar-SA"/>
    </w:rPr>
  </w:style>
  <w:style w:type="paragraph" w:customStyle="1" w:styleId="19">
    <w:name w:val="一级条标题"/>
    <w:next w:val="1"/>
    <w:autoRedefine/>
    <w:qFormat/>
    <w:uiPriority w:val="0"/>
    <w:pPr>
      <w:numPr>
        <w:ilvl w:val="2"/>
        <w:numId w:val="1"/>
      </w:numPr>
      <w:outlineLvl w:val="2"/>
    </w:pPr>
    <w:rPr>
      <w:rFonts w:ascii="Times New Roman" w:hAnsi="Times New Roman" w:eastAsia="黑体" w:cs="Times New Roman"/>
      <w:sz w:val="21"/>
      <w:lang w:val="en-US" w:eastAsia="zh-CN" w:bidi="ar-SA"/>
    </w:rPr>
  </w:style>
  <w:style w:type="paragraph" w:customStyle="1" w:styleId="20">
    <w:name w:val="二级条标题"/>
    <w:basedOn w:val="19"/>
    <w:next w:val="1"/>
    <w:link w:val="21"/>
    <w:autoRedefine/>
    <w:qFormat/>
    <w:uiPriority w:val="0"/>
    <w:pPr>
      <w:numPr>
        <w:ilvl w:val="3"/>
      </w:numPr>
      <w:outlineLvl w:val="3"/>
    </w:pPr>
  </w:style>
  <w:style w:type="character" w:customStyle="1" w:styleId="21">
    <w:name w:val="二级条标题 Char"/>
    <w:link w:val="20"/>
    <w:autoRedefine/>
    <w:qFormat/>
    <w:uiPriority w:val="0"/>
    <w:rPr>
      <w:rFonts w:eastAsia="黑体"/>
      <w:sz w:val="21"/>
      <w:lang w:val="en-US" w:eastAsia="zh-CN" w:bidi="ar-SA"/>
    </w:rPr>
  </w:style>
  <w:style w:type="paragraph" w:customStyle="1" w:styleId="22">
    <w:name w:val="实施日期"/>
    <w:basedOn w:val="1"/>
    <w:autoRedefine/>
    <w:qFormat/>
    <w:uiPriority w:val="0"/>
    <w:pPr>
      <w:framePr w:w="4000" w:h="473" w:hRule="exact" w:vSpace="180" w:wrap="around" w:vAnchor="margin" w:hAnchor="margin" w:xAlign="right" w:y="13511" w:anchorLock="1"/>
      <w:widowControl/>
      <w:numPr>
        <w:ilvl w:val="4"/>
        <w:numId w:val="1"/>
      </w:numPr>
      <w:jc w:val="right"/>
    </w:pPr>
    <w:rPr>
      <w:rFonts w:eastAsia="黑体"/>
      <w:kern w:val="0"/>
      <w:sz w:val="28"/>
      <w:szCs w:val="20"/>
    </w:rPr>
  </w:style>
  <w:style w:type="paragraph" w:customStyle="1" w:styleId="23">
    <w:name w:val="图表脚注"/>
    <w:next w:val="1"/>
    <w:autoRedefine/>
    <w:qFormat/>
    <w:uiPriority w:val="0"/>
    <w:pPr>
      <w:numPr>
        <w:ilvl w:val="5"/>
        <w:numId w:val="1"/>
      </w:numPr>
      <w:ind w:left="300" w:leftChars="200" w:hanging="100" w:hangingChars="100"/>
      <w:jc w:val="both"/>
    </w:pPr>
    <w:rPr>
      <w:rFonts w:ascii="宋体" w:hAnsi="Times New Roman" w:eastAsia="宋体" w:cs="Times New Roman"/>
      <w:sz w:val="18"/>
      <w:lang w:val="en-US" w:eastAsia="zh-CN" w:bidi="ar-SA"/>
    </w:rPr>
  </w:style>
  <w:style w:type="paragraph" w:customStyle="1" w:styleId="24">
    <w:name w:val="目次、标准名称标题"/>
    <w:basedOn w:val="17"/>
    <w:next w:val="1"/>
    <w:autoRedefine/>
    <w:qFormat/>
    <w:uiPriority w:val="0"/>
    <w:pPr>
      <w:numPr>
        <w:numId w:val="0"/>
      </w:numPr>
      <w:spacing w:line="460" w:lineRule="exact"/>
    </w:pPr>
  </w:style>
  <w:style w:type="paragraph" w:customStyle="1" w:styleId="25">
    <w:name w:val="封面标准名称"/>
    <w:autoRedefine/>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6">
    <w:name w:val="段"/>
    <w:link w:val="29"/>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27">
    <w:name w:val="文档结构图 Char"/>
    <w:link w:val="5"/>
    <w:autoRedefine/>
    <w:qFormat/>
    <w:uiPriority w:val="0"/>
    <w:rPr>
      <w:rFonts w:ascii="宋体"/>
      <w:kern w:val="2"/>
      <w:sz w:val="18"/>
      <w:szCs w:val="18"/>
    </w:rPr>
  </w:style>
  <w:style w:type="character" w:customStyle="1" w:styleId="28">
    <w:name w:val="页脚 Char"/>
    <w:link w:val="8"/>
    <w:autoRedefine/>
    <w:qFormat/>
    <w:uiPriority w:val="0"/>
    <w:rPr>
      <w:kern w:val="2"/>
      <w:sz w:val="18"/>
      <w:szCs w:val="18"/>
    </w:rPr>
  </w:style>
  <w:style w:type="character" w:customStyle="1" w:styleId="29">
    <w:name w:val="段 Char"/>
    <w:link w:val="26"/>
    <w:autoRedefine/>
    <w:qFormat/>
    <w:uiPriority w:val="0"/>
    <w:rPr>
      <w:rFonts w:ascii="宋体"/>
      <w:sz w:val="21"/>
      <w:lang w:val="en-US" w:eastAsia="zh-CN" w:bidi="ar-SA"/>
    </w:rPr>
  </w:style>
  <w:style w:type="character" w:customStyle="1" w:styleId="30">
    <w:name w:val="fontstyle01"/>
    <w:basedOn w:val="14"/>
    <w:autoRedefine/>
    <w:qFormat/>
    <w:uiPriority w:val="0"/>
    <w:rPr>
      <w:rFonts w:hint="eastAsia" w:ascii="宋体" w:hAnsi="宋体" w:eastAsia="宋体"/>
      <w:color w:val="000000"/>
      <w:sz w:val="22"/>
      <w:szCs w:val="22"/>
    </w:rPr>
  </w:style>
  <w:style w:type="character" w:customStyle="1" w:styleId="31">
    <w:name w:val="批注文字 Char"/>
    <w:basedOn w:val="14"/>
    <w:link w:val="6"/>
    <w:autoRedefine/>
    <w:qFormat/>
    <w:uiPriority w:val="99"/>
    <w:rPr>
      <w:kern w:val="2"/>
      <w:sz w:val="21"/>
      <w:szCs w:val="24"/>
    </w:rPr>
  </w:style>
  <w:style w:type="character" w:customStyle="1" w:styleId="32">
    <w:name w:val="脚注文本 Char"/>
    <w:basedOn w:val="14"/>
    <w:link w:val="10"/>
    <w:autoRedefine/>
    <w:qFormat/>
    <w:uiPriority w:val="0"/>
    <w:rPr>
      <w:rFonts w:ascii="宋体"/>
      <w:kern w:val="2"/>
      <w:sz w:val="18"/>
      <w:szCs w:val="18"/>
    </w:rPr>
  </w:style>
  <w:style w:type="character" w:customStyle="1" w:styleId="33">
    <w:name w:val="批注主题 Char"/>
    <w:basedOn w:val="31"/>
    <w:link w:val="12"/>
    <w:autoRedefine/>
    <w:qFormat/>
    <w:uiPriority w:val="0"/>
    <w:rPr>
      <w:b/>
      <w:bCs/>
      <w:kern w:val="2"/>
      <w:sz w:val="21"/>
      <w:szCs w:val="24"/>
    </w:rPr>
  </w:style>
  <w:style w:type="paragraph" w:customStyle="1" w:styleId="34">
    <w:name w:val="修订1"/>
    <w:autoRedefine/>
    <w:hidden/>
    <w:semiHidden/>
    <w:qFormat/>
    <w:uiPriority w:val="99"/>
    <w:rPr>
      <w:rFonts w:ascii="Times New Roman" w:hAnsi="Times New Roman" w:eastAsia="宋体" w:cs="Times New Roman"/>
      <w:kern w:val="2"/>
      <w:sz w:val="21"/>
      <w:szCs w:val="24"/>
      <w:lang w:val="en-US" w:eastAsia="zh-CN" w:bidi="ar-SA"/>
    </w:rPr>
  </w:style>
</w:style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microsoft.com/office/2006/relationships/keyMapCustomizations" Target="customizations.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TJ20</Company>
  <Pages>5</Pages>
  <Words>784</Words>
  <Characters>832</Characters>
  <Lines>23</Lines>
  <Paragraphs>6</Paragraphs>
  <TotalTime>300</TotalTime>
  <ScaleCrop>false</ScaleCrop>
  <LinksUpToDate>false</LinksUpToDate>
  <CharactersWithSpaces>836</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2023-06-15T06:14:00Z</dcterms:created>
  <dc:creator>young</dc:creator>
  <cp:lastModifiedBy>Julian</cp:lastModifiedBy>
  <cp:lastPrinted>2024-07-18T02:12:00Z</cp:lastPrinted>
  <dcterms:modified xsi:type="dcterms:W3CDTF">2026-10-28T06:44:30Z</dcterms:modified>
  <dc:title>《关节置换植入物 髋关节假体》</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AC0CE355D62248E794C7E57317D4E915_12</vt:lpwstr>
  </property>
  <property fmtid="{D5CDD505-2E9C-101B-9397-08002B2CF9AE}" pid="4" name="KSOTemplateDocerSaveRecord">
    <vt:lpwstr>eyJoZGlkIjoiOGI4NjI5OTBmMDM1ODFlMDkzNDFlZTFiMWNhZWU5ZTMiLCJ1c2VySWQiOiIzMDk3NTI4ODEifQ==</vt:lpwstr>
  </property>
</Properties>
</file>