
<file path=[Content_Types].xml><?xml version="1.0" encoding="utf-8"?>
<Types xmlns="http://schemas.openxmlformats.org/package/2006/content-types">
  <Default Extension="xml" ContentType="application/xml"/>
  <Default Extension="tiff" ContentType="image/tiff"/>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13"/>
        <w:tblW w:w="985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605"/>
        <w:gridCol w:w="9250"/>
      </w:tblGrid>
      <w:tr w14:paraId="436E44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c>
          <w:tcPr>
            <w:tcW w:w="605" w:type="dxa"/>
          </w:tcPr>
          <w:p w14:paraId="0DC864B5">
            <w:pPr>
              <w:pStyle w:val="7"/>
              <w:framePr w:wrap="notBeside" w:vAnchor="page" w:hAnchor="page" w:x="1372" w:y="568"/>
              <w:spacing w:line="240" w:lineRule="auto"/>
              <w:jc w:val="left"/>
              <w:rPr>
                <w:rFonts w:hint="default" w:ascii="Times New Roman" w:hAnsi="Times New Roman" w:cs="Times New Roman" w:eastAsiaTheme="minorEastAsia"/>
                <w:color w:val="000000" w:themeColor="text1"/>
                <w:sz w:val="21"/>
                <w:szCs w:val="21"/>
                <w14:textFill>
                  <w14:solidFill>
                    <w14:schemeClr w14:val="tx1"/>
                  </w14:solidFill>
                </w14:textFill>
              </w:rPr>
            </w:pPr>
            <w:bookmarkStart w:id="0" w:name="_Toc6317"/>
            <w:r>
              <w:rPr>
                <w:rFonts w:hint="default" w:ascii="Times New Roman" w:hAnsi="Times New Roman" w:cs="Times New Roman" w:eastAsiaTheme="minorEastAsia"/>
                <w:color w:val="000000" w:themeColor="text1"/>
                <w:sz w:val="21"/>
                <w:szCs w:val="21"/>
                <w14:textFill>
                  <w14:solidFill>
                    <w14:schemeClr w14:val="tx1"/>
                  </w14:solidFill>
                </w14:textFill>
              </w:rPr>
              <w:t>ICS</w:t>
            </w:r>
          </w:p>
        </w:tc>
        <w:tc>
          <w:tcPr>
            <w:tcW w:w="9250" w:type="dxa"/>
          </w:tcPr>
          <w:p w14:paraId="5BCC3085">
            <w:pPr>
              <w:pStyle w:val="7"/>
              <w:framePr w:wrap="notBeside" w:vAnchor="page" w:hAnchor="page" w:x="1372" w:y="568"/>
              <w:spacing w:line="240" w:lineRule="auto"/>
              <w:jc w:val="both"/>
              <w:rPr>
                <w:rFonts w:hint="default" w:ascii="Times New Roman" w:hAnsi="Times New Roman" w:cs="Times New Roman" w:eastAsiaTheme="minorEastAsia"/>
                <w:color w:val="FF0000"/>
                <w:sz w:val="21"/>
                <w:szCs w:val="21"/>
                <w:lang w:val="en-US" w:eastAsia="zh-CN"/>
              </w:rPr>
            </w:pPr>
            <w:r>
              <w:rPr>
                <w:rFonts w:hint="eastAsia" w:cs="Times New Roman"/>
                <w:color w:val="000000" w:themeColor="text1"/>
                <w:sz w:val="21"/>
                <w:szCs w:val="21"/>
                <w:lang w:val="en-US" w:eastAsia="zh-CN"/>
                <w14:textFill>
                  <w14:solidFill>
                    <w14:schemeClr w14:val="tx1"/>
                  </w14:solidFill>
                </w14:textFill>
              </w:rPr>
              <w:t>11.040.40</w:t>
            </w:r>
          </w:p>
        </w:tc>
      </w:tr>
      <w:tr w14:paraId="789164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605" w:type="dxa"/>
          </w:tcPr>
          <w:p w14:paraId="783633A3">
            <w:pPr>
              <w:pStyle w:val="7"/>
              <w:framePr w:wrap="notBeside" w:vAnchor="page" w:hAnchor="page" w:x="1372" w:y="568"/>
              <w:spacing w:before="40" w:line="240" w:lineRule="auto"/>
              <w:jc w:val="left"/>
              <w:rPr>
                <w:rFonts w:hint="default" w:ascii="Times New Roman" w:hAnsi="Times New Roman" w:cs="Times New Roman" w:eastAsiaTheme="minorEastAsia"/>
                <w:color w:val="000000" w:themeColor="text1"/>
                <w:sz w:val="21"/>
                <w:szCs w:val="21"/>
                <w14:textFill>
                  <w14:solidFill>
                    <w14:schemeClr w14:val="tx1"/>
                  </w14:solidFill>
                </w14:textFill>
              </w:rPr>
            </w:pPr>
            <w:r>
              <w:rPr>
                <w:rFonts w:hint="default" w:ascii="Times New Roman" w:hAnsi="Times New Roman" w:cs="Times New Roman" w:eastAsiaTheme="minorEastAsia"/>
                <w:color w:val="000000" w:themeColor="text1"/>
                <w:sz w:val="21"/>
                <w:szCs w:val="21"/>
                <w14:textFill>
                  <w14:solidFill>
                    <w14:schemeClr w14:val="tx1"/>
                  </w14:solidFill>
                </w14:textFill>
              </w:rPr>
              <w:t>CCS</w:t>
            </w:r>
          </w:p>
        </w:tc>
        <w:tc>
          <w:tcPr>
            <w:tcW w:w="9250" w:type="dxa"/>
          </w:tcPr>
          <w:p w14:paraId="2DBA71FD">
            <w:pPr>
              <w:pStyle w:val="2"/>
              <w:framePr w:wrap="notBeside" w:vAnchor="page" w:hAnchor="page" w:x="1372" w:y="568"/>
              <w:rPr>
                <w:rFonts w:hint="default" w:ascii="Times New Roman" w:hAnsi="Times New Roman" w:cs="Times New Roman" w:eastAsiaTheme="minorEastAsia"/>
                <w:color w:val="000000" w:themeColor="text1"/>
                <w:sz w:val="21"/>
                <w:szCs w:val="21"/>
                <w:lang w:val="en-US" w:eastAsia="zh-CN"/>
                <w14:textFill>
                  <w14:solidFill>
                    <w14:schemeClr w14:val="tx1"/>
                  </w14:solidFill>
                </w14:textFill>
              </w:rPr>
            </w:pPr>
            <w:r>
              <w:rPr>
                <w:rFonts w:hint="eastAsia" w:cs="Times New Roman"/>
                <w:color w:val="000000" w:themeColor="text1"/>
                <w:sz w:val="21"/>
                <w:szCs w:val="21"/>
                <w:lang w:val="en-US" w:eastAsia="zh-CN"/>
                <w14:textFill>
                  <w14:solidFill>
                    <w14:schemeClr w14:val="tx1"/>
                  </w14:solidFill>
                </w14:textFill>
              </w:rPr>
              <w:t>C 45</w:t>
            </w:r>
          </w:p>
        </w:tc>
      </w:tr>
    </w:tbl>
    <w:tbl>
      <w:tblPr>
        <w:tblStyle w:val="13"/>
        <w:tblpPr w:leftFromText="180" w:rightFromText="180" w:vertAnchor="text" w:horzAnchor="margin" w:tblpX="2683" w:tblpY="578"/>
        <w:tblW w:w="0" w:type="auto"/>
        <w:tblInd w:w="0" w:type="dxa"/>
        <w:tblBorders>
          <w:top w:val="none" w:color="auto" w:sz="0" w:space="0"/>
          <w:left w:val="none" w:color="auto" w:sz="0" w:space="0"/>
          <w:bottom w:val="none" w:color="auto" w:sz="0"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6661"/>
      </w:tblGrid>
      <w:tr w14:paraId="7470C0B0">
        <w:tblPrEx>
          <w:tblBorders>
            <w:top w:val="none" w:color="auto" w:sz="0" w:space="0"/>
            <w:left w:val="none" w:color="auto" w:sz="0" w:space="0"/>
            <w:bottom w:val="none" w:color="auto" w:sz="0"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661" w:type="dxa"/>
          </w:tcPr>
          <w:p w14:paraId="79069FB8">
            <w:pPr>
              <w:pStyle w:val="50"/>
              <w:framePr w:w="0" w:hRule="auto" w:hSpace="0" w:vSpace="0" w:wrap="auto" w:vAnchor="margin" w:hAnchor="text" w:xAlign="left" w:yAlign="inline"/>
              <w:widowControl w:val="0"/>
              <w:rPr>
                <w:rFonts w:hint="eastAsia" w:ascii="宋体" w:hAnsi="宋体"/>
                <w:color w:val="000000" w:themeColor="text1"/>
                <w:sz w:val="28"/>
                <w:szCs w:val="28"/>
                <w14:textFill>
                  <w14:solidFill>
                    <w14:schemeClr w14:val="tx1"/>
                  </w14:solidFill>
                </w14:textFill>
              </w:rPr>
            </w:pPr>
            <w:r>
              <w:rPr>
                <w:color w:val="000000" w:themeColor="text1"/>
                <w14:textFill>
                  <w14:solidFill>
                    <w14:schemeClr w14:val="tx1"/>
                  </w14:solidFill>
                </w14:textFill>
              </w:rPr>
              <w:t>T</w:t>
            </w:r>
            <w:r>
              <w:rPr>
                <w:rFonts w:hint="eastAsia"/>
                <w:color w:val="000000" w:themeColor="text1"/>
                <w14:textFill>
                  <w14:solidFill>
                    <w14:schemeClr w14:val="tx1"/>
                  </w14:solidFill>
                </w14:textFill>
              </w:rPr>
              <w:t>/</w:t>
            </w:r>
            <w:r>
              <w:rPr>
                <w:color w:val="000000" w:themeColor="text1"/>
                <w14:textFill>
                  <w14:solidFill>
                    <w14:schemeClr w14:val="tx1"/>
                  </w14:solidFill>
                </w14:textFill>
              </w:rPr>
              <w:t>CSBM</w:t>
            </w:r>
          </w:p>
        </w:tc>
      </w:tr>
    </w:tbl>
    <w:p w14:paraId="29E988D3">
      <w:pPr>
        <w:pStyle w:val="51"/>
        <w:framePr w:wrap="around" w:x="1305" w:y="2269"/>
        <w:rPr>
          <w:rFonts w:hint="eastAsia" w:ascii="黑体" w:hAnsi="黑体" w:eastAsia="黑体"/>
          <w:b w:val="0"/>
          <w:bCs w:val="0"/>
          <w:color w:val="000000" w:themeColor="text1"/>
          <w:w w:val="100"/>
          <w:sz w:val="48"/>
          <w:szCs w:val="48"/>
          <w14:textFill>
            <w14:solidFill>
              <w14:schemeClr w14:val="tx1"/>
            </w14:solidFill>
          </w14:textFill>
        </w:rPr>
      </w:pPr>
      <w:r>
        <w:rPr>
          <w:rFonts w:hint="eastAsia" w:ascii="黑体" w:hAnsi="黑体" w:eastAsia="黑体"/>
          <w:b w:val="0"/>
          <w:bCs w:val="0"/>
          <w:color w:val="000000" w:themeColor="text1"/>
          <w:w w:val="100"/>
          <w:sz w:val="48"/>
          <w:szCs w:val="48"/>
          <w14:textFill>
            <w14:solidFill>
              <w14:schemeClr w14:val="tx1"/>
            </w14:solidFill>
          </w14:textFill>
        </w:rPr>
        <w:t>团体标准</w:t>
      </w:r>
    </w:p>
    <w:p w14:paraId="63D0F47E">
      <w:pPr>
        <w:pStyle w:val="52"/>
        <w:rPr>
          <w:rFonts w:hint="default" w:hAnsi="黑体" w:eastAsia="黑体"/>
          <w:color w:val="000000" w:themeColor="text1"/>
          <w:lang w:val="en-US" w:eastAsia="zh-CN"/>
          <w14:textFill>
            <w14:solidFill>
              <w14:schemeClr w14:val="tx1"/>
            </w14:solidFill>
          </w14:textFill>
        </w:rPr>
      </w:pPr>
      <w:r>
        <w:rPr>
          <w:rFonts w:hAnsi="黑体"/>
          <w:color w:val="000000" w:themeColor="text1"/>
          <w14:textFill>
            <w14:solidFill>
              <w14:schemeClr w14:val="tx1"/>
            </w14:solidFill>
          </w14:textFill>
        </w:rPr>
        <w:t>T/CSBM 00</w:t>
      </w:r>
      <w:r>
        <w:rPr>
          <w:rFonts w:hint="eastAsia" w:hAnsi="黑体"/>
          <w:color w:val="000000" w:themeColor="text1"/>
          <w:lang w:val="en-US" w:eastAsia="zh-CN"/>
          <w14:textFill>
            <w14:solidFill>
              <w14:schemeClr w14:val="tx1"/>
            </w14:solidFill>
          </w14:textFill>
        </w:rPr>
        <w:t>XX</w:t>
      </w:r>
      <w:r>
        <w:rPr>
          <w:rFonts w:hAnsi="黑体"/>
          <w:color w:val="000000" w:themeColor="text1"/>
          <w14:textFill>
            <w14:solidFill>
              <w14:schemeClr w14:val="tx1"/>
            </w14:solidFill>
          </w14:textFill>
        </w:rPr>
        <w:t>—20</w:t>
      </w:r>
      <w:r>
        <w:rPr>
          <w:rFonts w:hint="eastAsia" w:hAnsi="黑体"/>
          <w:color w:val="000000" w:themeColor="text1"/>
          <w:lang w:val="en-US" w:eastAsia="zh-CN"/>
          <w14:textFill>
            <w14:solidFill>
              <w14:schemeClr w14:val="tx1"/>
            </w14:solidFill>
          </w14:textFill>
        </w:rPr>
        <w:t>XX</w:t>
      </w:r>
    </w:p>
    <w:p w14:paraId="13A1AD04">
      <w:pPr>
        <w:pStyle w:val="53"/>
        <w:rPr>
          <w:rFonts w:hint="eastAsia" w:hAnsi="黑体"/>
          <w:color w:val="000000" w:themeColor="text1"/>
          <w14:textFill>
            <w14:solidFill>
              <w14:schemeClr w14:val="tx1"/>
            </w14:solidFill>
          </w14:textFill>
        </w:rPr>
      </w:pPr>
      <w:r>
        <w:rPr>
          <w:rFonts w:hAnsi="黑体"/>
          <w:color w:val="000000" w:themeColor="text1"/>
          <w14:textFill>
            <w14:solidFill>
              <w14:schemeClr w14:val="tx1"/>
            </w14:solidFill>
          </w14:textFill>
        </w:rPr>
        <w:fldChar w:fldCharType="begin">
          <w:ffData>
            <w:name w:val="OSTD_CODE"/>
            <w:enabled/>
            <w:calcOnExit w:val="0"/>
            <w:textInput/>
          </w:ffData>
        </w:fldChar>
      </w:r>
      <w:bookmarkStart w:id="1" w:name="OSTD_CODE"/>
      <w:r>
        <w:rPr>
          <w:rFonts w:hAnsi="黑体"/>
          <w:color w:val="000000" w:themeColor="text1"/>
          <w14:textFill>
            <w14:solidFill>
              <w14:schemeClr w14:val="tx1"/>
            </w14:solidFill>
          </w14:textFill>
        </w:rPr>
        <w:instrText xml:space="preserve"> FORMTEXT </w:instrText>
      </w:r>
      <w:r>
        <w:rPr>
          <w:rFonts w:hAnsi="黑体"/>
          <w:color w:val="000000" w:themeColor="text1"/>
          <w14:textFill>
            <w14:solidFill>
              <w14:schemeClr w14:val="tx1"/>
            </w14:solidFill>
          </w14:textFill>
        </w:rPr>
        <w:fldChar w:fldCharType="separate"/>
      </w:r>
      <w:r>
        <w:rPr>
          <w:rFonts w:hAnsi="黑体"/>
          <w:color w:val="000000" w:themeColor="text1"/>
          <w14:textFill>
            <w14:solidFill>
              <w14:schemeClr w14:val="tx1"/>
            </w14:solidFill>
          </w14:textFill>
        </w:rPr>
        <w:t>     </w:t>
      </w:r>
      <w:r>
        <w:rPr>
          <w:rFonts w:hAnsi="黑体"/>
          <w:color w:val="000000" w:themeColor="text1"/>
          <w14:textFill>
            <w14:solidFill>
              <w14:schemeClr w14:val="tx1"/>
            </w14:solidFill>
          </w14:textFill>
        </w:rPr>
        <w:fldChar w:fldCharType="end"/>
      </w:r>
      <w:bookmarkEnd w:id="1"/>
    </w:p>
    <w:p w14:paraId="5A0E9D59">
      <w:pPr>
        <w:pStyle w:val="47"/>
        <w:rPr>
          <w:rFonts w:ascii="Times New Roman"/>
        </w:rPr>
        <w:sectPr>
          <w:footerReference r:id="rId3" w:type="even"/>
          <w:type w:val="continuous"/>
          <w:pgSz w:w="11906" w:h="16838"/>
          <w:pgMar w:top="567" w:right="1134" w:bottom="1134" w:left="1417" w:header="0" w:footer="0" w:gutter="0"/>
          <w:pgNumType w:start="1"/>
          <w:cols w:space="425" w:num="1"/>
          <w:docGrid w:type="lines" w:linePitch="312" w:charSpace="0"/>
        </w:sectPr>
      </w:pPr>
      <w:r>
        <w:rPr>
          <w:rFonts w:ascii="Times New Roman"/>
        </w:rPr>
        <mc:AlternateContent>
          <mc:Choice Requires="wps">
            <w:drawing>
              <wp:anchor distT="0" distB="0" distL="114300" distR="114300" simplePos="0" relativeHeight="251660288" behindDoc="0" locked="0" layoutInCell="1" allowOverlap="1">
                <wp:simplePos x="0" y="0"/>
                <wp:positionH relativeFrom="column">
                  <wp:posOffset>-635</wp:posOffset>
                </wp:positionH>
                <wp:positionV relativeFrom="paragraph">
                  <wp:posOffset>2339975</wp:posOffset>
                </wp:positionV>
                <wp:extent cx="6120130" cy="0"/>
                <wp:effectExtent l="0" t="4445" r="0" b="5080"/>
                <wp:wrapNone/>
                <wp:docPr id="42" name="Line 11"/>
                <wp:cNvGraphicFramePr/>
                <a:graphic xmlns:a="http://schemas.openxmlformats.org/drawingml/2006/main">
                  <a:graphicData uri="http://schemas.microsoft.com/office/word/2010/wordprocessingShape">
                    <wps:wsp>
                      <wps:cNvCnPr>
                        <a:cxnSpLocks noChangeShapeType="1"/>
                      </wps:cNvCnPr>
                      <wps:spPr bwMode="auto">
                        <a:xfrm>
                          <a:off x="0" y="0"/>
                          <a:ext cx="6120130" cy="0"/>
                        </a:xfrm>
                        <a:prstGeom prst="line">
                          <a:avLst/>
                        </a:prstGeom>
                        <a:noFill/>
                        <a:ln w="9525">
                          <a:solidFill>
                            <a:srgbClr val="000000"/>
                          </a:solidFill>
                          <a:round/>
                        </a:ln>
                      </wps:spPr>
                      <wps:bodyPr/>
                    </wps:wsp>
                  </a:graphicData>
                </a:graphic>
              </wp:anchor>
            </w:drawing>
          </mc:Choice>
          <mc:Fallback>
            <w:pict>
              <v:line id="Line 11" o:spid="_x0000_s1026" o:spt="20" style="position:absolute;left:0pt;margin-left:-0.05pt;margin-top:184.25pt;height:0pt;width:481.9pt;z-index:251660288;mso-width-relative:page;mso-height-relative:page;" filled="f" stroked="t" coordsize="21600,21600" o:gfxdata="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">
                <v:fill on="f" focussize="0,0"/>
                <v:stroke color="#000000" joinstyle="round"/>
                <v:imagedata o:title=""/>
                <o:lock v:ext="edit" aspectratio="f"/>
              </v:line>
            </w:pict>
          </mc:Fallback>
        </mc:AlternateContent>
      </w:r>
    </w:p>
    <w:p w14:paraId="73D72551">
      <w:pPr>
        <w:pStyle w:val="55"/>
        <w:spacing w:before="156" w:after="156" w:line="240" w:lineRule="auto"/>
        <w:rPr>
          <w:rFonts w:ascii="黑体"/>
          <w:sz w:val="52"/>
          <w:szCs w:val="20"/>
        </w:rPr>
      </w:pPr>
      <w:bookmarkStart w:id="2" w:name="OLE_LINK23"/>
      <w:bookmarkStart w:id="3" w:name="YZBS"/>
      <w:r>
        <w:rPr>
          <w:rFonts w:hint="eastAsia" w:ascii="黑体"/>
          <w:sz w:val="48"/>
          <w:szCs w:val="18"/>
        </w:rPr>
        <w:t>医疗器械用软骨素钠</w:t>
      </w:r>
    </w:p>
    <w:bookmarkEnd w:id="2"/>
    <w:p w14:paraId="1FBF9022">
      <w:pPr>
        <w:pStyle w:val="55"/>
        <w:spacing w:before="156" w:after="156"/>
        <w:rPr>
          <w:sz w:val="36"/>
          <w:szCs w:val="36"/>
        </w:rPr>
      </w:pPr>
      <w:r>
        <w:rPr>
          <w:rFonts w:hint="eastAsia"/>
          <w:sz w:val="36"/>
          <w:szCs w:val="36"/>
        </w:rPr>
        <w:t>Chondroitin Sodium for Medical Devices</w:t>
      </w:r>
    </w:p>
    <w:bookmarkEnd w:id="3"/>
    <w:tbl>
      <w:tblPr>
        <w:tblStyle w:val="12"/>
        <w:tblW w:w="985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855"/>
      </w:tblGrid>
      <w:tr w14:paraId="649C2A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855" w:type="dxa"/>
            <w:tcBorders>
              <w:top w:val="nil"/>
              <w:left w:val="nil"/>
              <w:bottom w:val="nil"/>
              <w:right w:val="nil"/>
            </w:tcBorders>
            <w:shd w:val="clear" w:color="auto" w:fill="auto"/>
          </w:tcPr>
          <w:p w14:paraId="13093DFF">
            <w:pPr>
              <w:pStyle w:val="55"/>
              <w:spacing w:before="156" w:after="156"/>
              <w:jc w:val="center"/>
              <w:rPr>
                <w:rFonts w:hint="default"/>
                <w:lang w:val="en-US"/>
              </w:rPr>
            </w:pPr>
            <w:r>
              <mc:AlternateContent>
                <mc:Choice Requires="wps">
                  <w:drawing>
                    <wp:anchor distT="0" distB="0" distL="114300" distR="114300" simplePos="0" relativeHeight="251663360" behindDoc="1" locked="1" layoutInCell="1" allowOverlap="1">
                      <wp:simplePos x="0" y="0"/>
                      <wp:positionH relativeFrom="column">
                        <wp:posOffset>2200910</wp:posOffset>
                      </wp:positionH>
                      <wp:positionV relativeFrom="paragraph">
                        <wp:posOffset>573405</wp:posOffset>
                      </wp:positionV>
                      <wp:extent cx="1905000" cy="254000"/>
                      <wp:effectExtent l="0" t="0" r="0" b="0"/>
                      <wp:wrapNone/>
                      <wp:docPr id="45" name="RQ"/>
                      <wp:cNvGraphicFramePr/>
                      <a:graphic xmlns:a="http://schemas.openxmlformats.org/drawingml/2006/main">
                        <a:graphicData uri="http://schemas.microsoft.com/office/word/2010/wordprocessingShape">
                          <wps:wsp>
                            <wps:cNvSpPr>
                              <a:spLocks noChangeArrowheads="1"/>
                            </wps:cNvSpPr>
                            <wps:spPr bwMode="auto">
                              <a:xfrm>
                                <a:off x="0" y="0"/>
                                <a:ext cx="1905000" cy="254000"/>
                              </a:xfrm>
                              <a:prstGeom prst="rect">
                                <a:avLst/>
                              </a:prstGeom>
                              <a:solidFill>
                                <a:srgbClr val="FFFFFF"/>
                              </a:solidFill>
                              <a:ln>
                                <a:noFill/>
                              </a:ln>
                            </wps:spPr>
                            <wps:bodyPr rot="0" vert="horz" wrap="square" lIns="91440" tIns="45720" rIns="91440" bIns="45720" anchor="t" anchorCtr="0" upright="1">
                              <a:noAutofit/>
                            </wps:bodyPr>
                          </wps:wsp>
                        </a:graphicData>
                      </a:graphic>
                    </wp:anchor>
                  </w:drawing>
                </mc:Choice>
                <mc:Fallback>
                  <w:pict>
                    <v:rect id="RQ" o:spid="_x0000_s1026" o:spt="1" style="position:absolute;left:0pt;margin-left:173.3pt;margin-top:45.15pt;height:20pt;width:150pt;z-index:-251653120;mso-width-relative:page;mso-height-relative:page;" fillcolor="#FFFFFF" filled="t" stroked="f" coordsize="21600,21600" o:gfxdata="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BYmuktUAAAAKAQAADwAAAAAAAAABACAAAAAiAAAA&#10;ZHJzL2Rvd25yZXYueG1sUEsBAhQAFAAAAAgAh07iQOlIXzMKAgAAIQQAAA4AAAAAAAAAAQAgAAAA&#10;JAEAAGRycy9lMm9Eb2MueG1sUEsFBgAAAAAGAAYAWQEAAKAFAAAAAA==&#10;">
                      <v:fill on="t" focussize="0,0"/>
                      <v:stroke on="f"/>
                      <v:imagedata o:title=""/>
                      <o:lock v:ext="edit" aspectratio="f"/>
                      <w10:anchorlock/>
                    </v:rect>
                  </w:pict>
                </mc:Fallback>
              </mc:AlternateContent>
            </w:r>
            <w:r>
              <w:rPr>
                <w:rFonts w:hint="eastAsia"/>
                <w:lang w:eastAsia="zh-CN"/>
              </w:rPr>
              <w:t>（</w:t>
            </w:r>
            <w:r>
              <w:rPr>
                <w:rFonts w:hint="eastAsia"/>
                <w:lang w:val="en-US" w:eastAsia="zh-CN"/>
              </w:rPr>
              <w:t>征求意见稿）</w:t>
            </w:r>
          </w:p>
        </w:tc>
      </w:tr>
      <w:tr w14:paraId="12C343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855" w:type="dxa"/>
            <w:tcBorders>
              <w:top w:val="nil"/>
              <w:left w:val="nil"/>
              <w:bottom w:val="nil"/>
              <w:right w:val="nil"/>
            </w:tcBorders>
            <w:shd w:val="clear" w:color="auto" w:fill="auto"/>
          </w:tcPr>
          <w:p w14:paraId="561F8878">
            <w:pPr>
              <w:pStyle w:val="57"/>
              <w:spacing w:before="312" w:after="312"/>
              <w:jc w:val="both"/>
              <w:rPr>
                <w:rFonts w:ascii="Times New Roman"/>
              </w:rPr>
            </w:pPr>
          </w:p>
        </w:tc>
      </w:tr>
    </w:tbl>
    <w:p w14:paraId="050504E8">
      <w:pPr>
        <w:pStyle w:val="60"/>
        <w:framePr w:wrap="around" w:hAnchor="page" w:x="1351" w:y="14071"/>
      </w:pPr>
      <w:bookmarkStart w:id="4" w:name="FY"/>
      <w:r>
        <w:rPr>
          <w:sz w:val="30"/>
          <w:szCs w:val="30"/>
        </w:rPr>
        <w:fldChar w:fldCharType="begin">
          <w:ffData>
            <w:name w:val="FY"/>
            <w:enabled/>
            <w:calcOnExit w:val="0"/>
            <w:textInput>
              <w:default w:val="XXXX"/>
              <w:maxLength w:val="4"/>
            </w:textInput>
          </w:ffData>
        </w:fldChar>
      </w:r>
      <w:r>
        <w:rPr>
          <w:sz w:val="30"/>
          <w:szCs w:val="30"/>
        </w:rPr>
        <w:instrText xml:space="preserve"> FORMTEXT </w:instrText>
      </w:r>
      <w:r>
        <w:rPr>
          <w:sz w:val="30"/>
          <w:szCs w:val="30"/>
        </w:rPr>
        <w:fldChar w:fldCharType="separate"/>
      </w:r>
      <w:r>
        <w:rPr>
          <w:sz w:val="30"/>
          <w:szCs w:val="30"/>
        </w:rPr>
        <w:t>XXXX</w:t>
      </w:r>
      <w:r>
        <w:rPr>
          <w:sz w:val="30"/>
          <w:szCs w:val="30"/>
        </w:rPr>
        <w:fldChar w:fldCharType="end"/>
      </w:r>
      <w:bookmarkEnd w:id="4"/>
      <w:r>
        <w:rPr>
          <w:sz w:val="30"/>
          <w:szCs w:val="30"/>
        </w:rPr>
        <w:t xml:space="preserve"> - </w:t>
      </w:r>
      <w:r>
        <w:rPr>
          <w:sz w:val="30"/>
          <w:szCs w:val="30"/>
        </w:rPr>
        <w:fldChar w:fldCharType="begin">
          <w:ffData>
            <w:name w:val="FM"/>
            <w:enabled/>
            <w:calcOnExit w:val="0"/>
            <w:textInput>
              <w:default w:val="XX"/>
              <w:maxLength w:val="2"/>
            </w:textInput>
          </w:ffData>
        </w:fldChar>
      </w:r>
      <w:r>
        <w:rPr>
          <w:sz w:val="30"/>
          <w:szCs w:val="30"/>
        </w:rPr>
        <w:instrText xml:space="preserve"> FORMTEXT </w:instrText>
      </w:r>
      <w:r>
        <w:rPr>
          <w:sz w:val="30"/>
          <w:szCs w:val="30"/>
        </w:rPr>
        <w:fldChar w:fldCharType="separate"/>
      </w:r>
      <w:r>
        <w:rPr>
          <w:sz w:val="30"/>
          <w:szCs w:val="30"/>
        </w:rPr>
        <w:t>XX</w:t>
      </w:r>
      <w:r>
        <w:rPr>
          <w:sz w:val="30"/>
          <w:szCs w:val="30"/>
        </w:rPr>
        <w:fldChar w:fldCharType="end"/>
      </w:r>
      <w:r>
        <w:rPr>
          <w:sz w:val="30"/>
          <w:szCs w:val="30"/>
        </w:rPr>
        <w:t xml:space="preserve"> - </w:t>
      </w:r>
      <w:bookmarkStart w:id="5" w:name="FD"/>
      <w:r>
        <w:rPr>
          <w:sz w:val="30"/>
          <w:szCs w:val="30"/>
        </w:rPr>
        <w:fldChar w:fldCharType="begin">
          <w:ffData>
            <w:name w:val="FD"/>
            <w:enabled/>
            <w:calcOnExit w:val="0"/>
            <w:textInput>
              <w:default w:val="XX"/>
              <w:maxLength w:val="2"/>
            </w:textInput>
          </w:ffData>
        </w:fldChar>
      </w:r>
      <w:r>
        <w:rPr>
          <w:sz w:val="30"/>
          <w:szCs w:val="30"/>
        </w:rPr>
        <w:instrText xml:space="preserve"> FORMTEXT </w:instrText>
      </w:r>
      <w:r>
        <w:rPr>
          <w:sz w:val="30"/>
          <w:szCs w:val="30"/>
        </w:rPr>
        <w:fldChar w:fldCharType="separate"/>
      </w:r>
      <w:r>
        <w:rPr>
          <w:sz w:val="30"/>
          <w:szCs w:val="30"/>
        </w:rPr>
        <w:t>XX</w:t>
      </w:r>
      <w:r>
        <w:rPr>
          <w:sz w:val="30"/>
          <w:szCs w:val="30"/>
        </w:rPr>
        <w:fldChar w:fldCharType="end"/>
      </w:r>
      <w:bookmarkEnd w:id="5"/>
      <w:r>
        <w:rPr>
          <w:sz w:val="30"/>
          <w:szCs w:val="30"/>
        </w:rPr>
        <w:t>发布</w:t>
      </w:r>
      <w:r>
        <mc:AlternateContent>
          <mc:Choice Requires="wps">
            <w:drawing>
              <wp:anchor distT="0" distB="0" distL="114300" distR="114300" simplePos="0" relativeHeight="251665408" behindDoc="0" locked="1" layoutInCell="1" allowOverlap="1">
                <wp:simplePos x="0" y="0"/>
                <wp:positionH relativeFrom="column">
                  <wp:posOffset>-635</wp:posOffset>
                </wp:positionH>
                <wp:positionV relativeFrom="page">
                  <wp:posOffset>9251950</wp:posOffset>
                </wp:positionV>
                <wp:extent cx="6120130" cy="0"/>
                <wp:effectExtent l="0" t="4445" r="0" b="5080"/>
                <wp:wrapNone/>
                <wp:docPr id="43" name="Line 10"/>
                <wp:cNvGraphicFramePr/>
                <a:graphic xmlns:a="http://schemas.openxmlformats.org/drawingml/2006/main">
                  <a:graphicData uri="http://schemas.microsoft.com/office/word/2010/wordprocessingShape">
                    <wps:wsp>
                      <wps:cNvCnPr>
                        <a:cxnSpLocks noChangeShapeType="1"/>
                      </wps:cNvCnPr>
                      <wps:spPr bwMode="auto">
                        <a:xfrm>
                          <a:off x="0" y="0"/>
                          <a:ext cx="6120130" cy="0"/>
                        </a:xfrm>
                        <a:prstGeom prst="line">
                          <a:avLst/>
                        </a:prstGeom>
                        <a:noFill/>
                        <a:ln w="9525">
                          <a:solidFill>
                            <a:srgbClr val="000000"/>
                          </a:solidFill>
                          <a:round/>
                        </a:ln>
                      </wps:spPr>
                      <wps:bodyPr/>
                    </wps:wsp>
                  </a:graphicData>
                </a:graphic>
              </wp:anchor>
            </w:drawing>
          </mc:Choice>
          <mc:Fallback>
            <w:pict>
              <v:line id="Line 10" o:spid="_x0000_s1026" o:spt="20" style="position:absolute;left:0pt;margin-left:-0.05pt;margin-top:728.5pt;height:0pt;width:481.9pt;mso-position-vertical-relative:page;z-index:251665408;mso-width-relative:page;mso-height-relative:page;" filled="f" stroked="t" coordsize="21600,21600" o:gfxdata="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CWHazzWAAAACwEAAA8AAAAAAAAAAQAgAAAAIgAAAGRycy9k&#10;b3ducmV2LnhtbFBLAQIUABQAAAAIAIdO4kDewLGAywEAAKEDAAAOAAAAAAAAAAEAIAAAACUBAABk&#10;cnMvZTJvRG9jLnhtbFBLBQYAAAAABgAGAFkBAABiBQAAAAA=&#10;">
                <v:fill on="f" focussize="0,0"/>
                <v:stroke color="#000000" joinstyle="round"/>
                <v:imagedata o:title=""/>
                <o:lock v:ext="edit" aspectratio="f"/>
                <w10:anchorlock/>
              </v:line>
            </w:pict>
          </mc:Fallback>
        </mc:AlternateContent>
      </w:r>
    </w:p>
    <w:p w14:paraId="1AABCCC8">
      <w:pPr>
        <w:pStyle w:val="62"/>
        <w:framePr w:wrap="around"/>
        <w:rPr>
          <w:rFonts w:ascii="Times New Roman"/>
        </w:rPr>
      </w:pPr>
      <w:r>
        <w:rPr>
          <w:rFonts w:hint="eastAsia" w:asciiTheme="majorEastAsia" w:hAnsiTheme="majorEastAsia" w:eastAsiaTheme="majorEastAsia"/>
          <w:sz w:val="30"/>
          <w:szCs w:val="30"/>
        </w:rPr>
        <w:t>中国生物材料学会</w:t>
      </w:r>
      <w:r>
        <w:rPr>
          <w:rFonts w:hint="eastAsia" w:asciiTheme="majorEastAsia" w:hAnsiTheme="majorEastAsia" w:eastAsiaTheme="majorEastAsia"/>
          <w:sz w:val="30"/>
          <w:szCs w:val="30"/>
          <w:lang w:val="en-US" w:eastAsia="zh-CN"/>
        </w:rPr>
        <w:t xml:space="preserve">   </w:t>
      </w:r>
      <w:r>
        <w:rPr>
          <w:rStyle w:val="64"/>
          <w:rFonts w:ascii="Times New Roman"/>
          <w:sz w:val="30"/>
          <w:szCs w:val="30"/>
        </w:rPr>
        <w:t>发布</w:t>
      </w:r>
    </w:p>
    <w:p w14:paraId="227603F9">
      <w:pPr>
        <w:pStyle w:val="65"/>
        <w:framePr w:wrap="around" w:hAnchor="page" w:x="6931" w:y="13981"/>
        <w:rPr>
          <w:sz w:val="30"/>
          <w:szCs w:val="30"/>
        </w:rPr>
      </w:pPr>
      <w:bookmarkStart w:id="6" w:name="SY"/>
      <w:r>
        <w:rPr>
          <w:sz w:val="30"/>
          <w:szCs w:val="30"/>
        </w:rPr>
        <w:fldChar w:fldCharType="begin">
          <w:ffData>
            <w:name w:val="SY"/>
            <w:enabled/>
            <w:calcOnExit w:val="0"/>
            <w:textInput>
              <w:default w:val="XXXX"/>
              <w:maxLength w:val="4"/>
            </w:textInput>
          </w:ffData>
        </w:fldChar>
      </w:r>
      <w:r>
        <w:rPr>
          <w:sz w:val="30"/>
          <w:szCs w:val="30"/>
        </w:rPr>
        <w:instrText xml:space="preserve"> FORMTEXT </w:instrText>
      </w:r>
      <w:r>
        <w:rPr>
          <w:sz w:val="30"/>
          <w:szCs w:val="30"/>
        </w:rPr>
        <w:fldChar w:fldCharType="separate"/>
      </w:r>
      <w:r>
        <w:rPr>
          <w:sz w:val="30"/>
          <w:szCs w:val="30"/>
        </w:rPr>
        <w:t>XXXX</w:t>
      </w:r>
      <w:r>
        <w:rPr>
          <w:sz w:val="30"/>
          <w:szCs w:val="30"/>
        </w:rPr>
        <w:fldChar w:fldCharType="end"/>
      </w:r>
      <w:bookmarkEnd w:id="6"/>
      <w:r>
        <w:rPr>
          <w:sz w:val="30"/>
          <w:szCs w:val="30"/>
        </w:rPr>
        <w:t xml:space="preserve"> - </w:t>
      </w:r>
      <w:bookmarkStart w:id="7" w:name="SM"/>
      <w:r>
        <w:rPr>
          <w:sz w:val="30"/>
          <w:szCs w:val="30"/>
        </w:rPr>
        <w:fldChar w:fldCharType="begin">
          <w:ffData>
            <w:name w:val="SM"/>
            <w:enabled/>
            <w:calcOnExit w:val="0"/>
            <w:textInput>
              <w:default w:val="XX"/>
              <w:maxLength w:val="2"/>
            </w:textInput>
          </w:ffData>
        </w:fldChar>
      </w:r>
      <w:r>
        <w:rPr>
          <w:sz w:val="30"/>
          <w:szCs w:val="30"/>
        </w:rPr>
        <w:instrText xml:space="preserve"> FORMTEXT </w:instrText>
      </w:r>
      <w:r>
        <w:rPr>
          <w:sz w:val="30"/>
          <w:szCs w:val="30"/>
        </w:rPr>
        <w:fldChar w:fldCharType="separate"/>
      </w:r>
      <w:r>
        <w:rPr>
          <w:sz w:val="30"/>
          <w:szCs w:val="30"/>
        </w:rPr>
        <w:t>XX</w:t>
      </w:r>
      <w:r>
        <w:rPr>
          <w:sz w:val="30"/>
          <w:szCs w:val="30"/>
        </w:rPr>
        <w:fldChar w:fldCharType="end"/>
      </w:r>
      <w:bookmarkEnd w:id="7"/>
      <w:r>
        <w:rPr>
          <w:sz w:val="30"/>
          <w:szCs w:val="30"/>
        </w:rPr>
        <w:t xml:space="preserve"> - </w:t>
      </w:r>
      <w:bookmarkStart w:id="8" w:name="SD"/>
      <w:r>
        <w:rPr>
          <w:sz w:val="30"/>
          <w:szCs w:val="30"/>
        </w:rPr>
        <w:fldChar w:fldCharType="begin">
          <w:ffData>
            <w:name w:val="SD"/>
            <w:enabled/>
            <w:calcOnExit w:val="0"/>
            <w:textInput>
              <w:default w:val="XX"/>
              <w:maxLength w:val="2"/>
            </w:textInput>
          </w:ffData>
        </w:fldChar>
      </w:r>
      <w:r>
        <w:rPr>
          <w:sz w:val="30"/>
          <w:szCs w:val="30"/>
        </w:rPr>
        <w:instrText xml:space="preserve"> FORMTEXT </w:instrText>
      </w:r>
      <w:r>
        <w:rPr>
          <w:sz w:val="30"/>
          <w:szCs w:val="30"/>
        </w:rPr>
        <w:fldChar w:fldCharType="separate"/>
      </w:r>
      <w:r>
        <w:rPr>
          <w:sz w:val="30"/>
          <w:szCs w:val="30"/>
        </w:rPr>
        <w:t>XX</w:t>
      </w:r>
      <w:r>
        <w:rPr>
          <w:sz w:val="30"/>
          <w:szCs w:val="30"/>
        </w:rPr>
        <w:fldChar w:fldCharType="end"/>
      </w:r>
      <w:bookmarkEnd w:id="8"/>
      <w:r>
        <w:rPr>
          <w:sz w:val="30"/>
          <w:szCs w:val="30"/>
        </w:rPr>
        <w:t>实施</w:t>
      </w:r>
    </w:p>
    <w:p w14:paraId="49175635">
      <w:pPr>
        <w:spacing w:line="360" w:lineRule="auto"/>
        <w:ind w:firstLine="2527" w:firstLineChars="200"/>
        <w:jc w:val="right"/>
        <w:rPr>
          <w:rFonts w:ascii="Times New Roman" w:hAnsi="Times New Roman" w:eastAsia="宋体" w:cs="Times New Roman"/>
          <w:b/>
          <w:color w:val="000000" w:themeColor="text1"/>
          <w:w w:val="150"/>
          <w:sz w:val="84"/>
          <w:szCs w:val="84"/>
          <w14:textFill>
            <w14:solidFill>
              <w14:schemeClr w14:val="tx1"/>
            </w14:solidFill>
          </w14:textFill>
        </w:rPr>
        <w:sectPr>
          <w:headerReference r:id="rId6" w:type="first"/>
          <w:headerReference r:id="rId4" w:type="default"/>
          <w:headerReference r:id="rId5" w:type="even"/>
          <w:type w:val="continuous"/>
          <w:pgSz w:w="11906" w:h="16838"/>
          <w:pgMar w:top="1440" w:right="1800" w:bottom="1440" w:left="1800" w:header="851" w:footer="992" w:gutter="0"/>
          <w:cols w:space="425" w:num="1"/>
          <w:docGrid w:type="lines" w:linePitch="312" w:charSpace="0"/>
        </w:sectPr>
      </w:pPr>
      <w:bookmarkStart w:id="43" w:name="_GoBack"/>
      <w:bookmarkEnd w:id="43"/>
    </w:p>
    <w:bookmarkEnd w:id="0"/>
    <w:p w14:paraId="301FCA5E">
      <w:pPr>
        <w:jc w:val="center"/>
        <w:rPr>
          <w:rFonts w:ascii="Times New Roman" w:hAnsi="Times New Roman" w:eastAsia="宋体" w:cs="Times New Roman"/>
          <w:color w:val="FF0000"/>
        </w:rPr>
      </w:pPr>
    </w:p>
    <w:p w14:paraId="01E0FE5C">
      <w:pPr>
        <w:rPr>
          <w:rFonts w:ascii="Times New Roman" w:hAnsi="Times New Roman" w:eastAsia="宋体" w:cs="Times New Roman"/>
          <w:b/>
          <w:bCs/>
          <w:color w:val="FF0000"/>
          <w:sz w:val="24"/>
        </w:rPr>
      </w:pPr>
    </w:p>
    <w:p w14:paraId="579E7D12">
      <w:pPr>
        <w:spacing w:line="360" w:lineRule="auto"/>
        <w:jc w:val="center"/>
        <w:outlineLvl w:val="0"/>
        <w:rPr>
          <w:rFonts w:ascii="Times New Roman" w:hAnsi="Times New Roman" w:eastAsia="黑体" w:cs="Times New Roman"/>
          <w:color w:val="000000" w:themeColor="text1"/>
          <w:szCs w:val="21"/>
          <w14:textFill>
            <w14:solidFill>
              <w14:schemeClr w14:val="tx1"/>
            </w14:solidFill>
          </w14:textFill>
        </w:rPr>
      </w:pPr>
      <w:bookmarkStart w:id="9" w:name="_Toc27671"/>
      <w:r>
        <w:rPr>
          <w:rFonts w:ascii="Times New Roman" w:hAnsi="Times New Roman" w:eastAsia="黑体" w:cs="Times New Roman"/>
          <w:color w:val="000000" w:themeColor="text1"/>
          <w:szCs w:val="21"/>
          <w14:textFill>
            <w14:solidFill>
              <w14:schemeClr w14:val="tx1"/>
            </w14:solidFill>
          </w14:textFill>
        </w:rPr>
        <w:t>前   言</w:t>
      </w:r>
      <w:bookmarkEnd w:id="9"/>
    </w:p>
    <w:p w14:paraId="50A27253">
      <w:pPr>
        <w:spacing w:line="360" w:lineRule="auto"/>
        <w:ind w:firstLine="420" w:firstLineChars="200"/>
        <w:jc w:val="left"/>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szCs w:val="21"/>
          <w14:textFill>
            <w14:solidFill>
              <w14:schemeClr w14:val="tx1"/>
            </w14:solidFill>
          </w14:textFill>
        </w:rPr>
        <w:t>本文件按照GB/T 1.1—2020《标准化工作导则  第1部分：标准化文件的结构和起草规则》的规定起草。</w:t>
      </w:r>
    </w:p>
    <w:p w14:paraId="7D0704F9">
      <w:pPr>
        <w:pStyle w:val="24"/>
        <w:snapToGrid w:val="0"/>
        <w:spacing w:line="360" w:lineRule="auto"/>
        <w:ind w:firstLine="420"/>
        <w:jc w:val="left"/>
        <w:rPr>
          <w:rFonts w:ascii="Times New Roman"/>
          <w:color w:val="000000" w:themeColor="text1"/>
          <w:szCs w:val="21"/>
          <w14:textFill>
            <w14:solidFill>
              <w14:schemeClr w14:val="tx1"/>
            </w14:solidFill>
          </w14:textFill>
        </w:rPr>
      </w:pPr>
      <w:r>
        <w:rPr>
          <w:rFonts w:ascii="Times New Roman"/>
          <w:color w:val="000000" w:themeColor="text1"/>
          <w:szCs w:val="21"/>
          <w14:textFill>
            <w14:solidFill>
              <w14:schemeClr w14:val="tx1"/>
            </w14:solidFill>
          </w14:textFill>
        </w:rPr>
        <w:t>请注意本文件的某些内容可能涉及专利。本文件的发布机构不承担识别专利的责任。</w:t>
      </w:r>
    </w:p>
    <w:p w14:paraId="74CD4252">
      <w:pPr>
        <w:spacing w:line="360" w:lineRule="auto"/>
        <w:ind w:firstLine="420" w:firstLineChars="200"/>
        <w:jc w:val="left"/>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szCs w:val="21"/>
          <w14:textFill>
            <w14:solidFill>
              <w14:schemeClr w14:val="tx1"/>
            </w14:solidFill>
          </w14:textFill>
        </w:rPr>
        <w:t>本文件由</w:t>
      </w:r>
      <w:r>
        <w:rPr>
          <w:rFonts w:hint="eastAsia" w:ascii="Times New Roman" w:hAnsi="Times New Roman" w:eastAsia="宋体" w:cs="Times New Roman"/>
          <w:color w:val="000000" w:themeColor="text1"/>
          <w:szCs w:val="21"/>
          <w:lang w:val="en-US" w:eastAsia="zh-CN"/>
          <w14:textFill>
            <w14:solidFill>
              <w14:schemeClr w14:val="tx1"/>
            </w14:solidFill>
          </w14:textFill>
        </w:rPr>
        <w:t>中国生物材料学会</w:t>
      </w:r>
      <w:r>
        <w:rPr>
          <w:rFonts w:ascii="Times New Roman" w:hAnsi="Times New Roman" w:eastAsia="宋体" w:cs="Times New Roman"/>
          <w:color w:val="000000" w:themeColor="text1"/>
          <w:szCs w:val="21"/>
          <w14:textFill>
            <w14:solidFill>
              <w14:schemeClr w14:val="tx1"/>
            </w14:solidFill>
          </w14:textFill>
        </w:rPr>
        <w:t>提出。</w:t>
      </w:r>
    </w:p>
    <w:p w14:paraId="1ECCF9AE">
      <w:pPr>
        <w:spacing w:line="360" w:lineRule="atLeast"/>
        <w:ind w:firstLine="420" w:firstLineChars="200"/>
        <w:jc w:val="left"/>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本文件由中国生物材料学会标准</w:t>
      </w:r>
      <w:r>
        <w:rPr>
          <w:rFonts w:hint="eastAsia" w:ascii="Times New Roman" w:hAnsi="Times New Roman" w:cs="Times New Roman"/>
          <w:color w:val="000000" w:themeColor="text1"/>
          <w:szCs w:val="21"/>
          <w:lang w:val="en-US" w:eastAsia="zh-CN"/>
          <w14:textFill>
            <w14:solidFill>
              <w14:schemeClr w14:val="tx1"/>
            </w14:solidFill>
          </w14:textFill>
        </w:rPr>
        <w:t>工作</w:t>
      </w:r>
      <w:r>
        <w:rPr>
          <w:rFonts w:ascii="Times New Roman" w:hAnsi="Times New Roman" w:cs="Times New Roman"/>
          <w:color w:val="000000" w:themeColor="text1"/>
          <w:szCs w:val="21"/>
          <w14:textFill>
            <w14:solidFill>
              <w14:schemeClr w14:val="tx1"/>
            </w14:solidFill>
          </w14:textFill>
        </w:rPr>
        <w:t>委员会</w:t>
      </w:r>
      <w:r>
        <w:rPr>
          <w:rFonts w:ascii="Times New Roman" w:hAnsi="Times New Roman" w:eastAsia="宋体" w:cs="Times New Roman"/>
          <w:color w:val="000000" w:themeColor="text1"/>
          <w:szCs w:val="21"/>
          <w14:textFill>
            <w14:solidFill>
              <w14:schemeClr w14:val="tx1"/>
            </w14:solidFill>
          </w14:textFill>
        </w:rPr>
        <w:t>归口。</w:t>
      </w:r>
    </w:p>
    <w:p w14:paraId="2567F267">
      <w:pPr>
        <w:spacing w:line="360" w:lineRule="auto"/>
        <w:ind w:firstLine="420" w:firstLineChars="200"/>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szCs w:val="21"/>
          <w14:textFill>
            <w14:solidFill>
              <w14:schemeClr w14:val="tx1"/>
            </w14:solidFill>
          </w14:textFill>
        </w:rPr>
        <w:t>本文件起草单位：</w:t>
      </w:r>
      <w:r>
        <w:rPr>
          <w:rFonts w:hint="eastAsia" w:ascii="Times New Roman" w:hAnsi="Times New Roman" w:eastAsia="宋体" w:cs="Times New Roman"/>
          <w:color w:val="000000" w:themeColor="text1"/>
          <w:szCs w:val="21"/>
          <w14:textFill>
            <w14:solidFill>
              <w14:schemeClr w14:val="tx1"/>
            </w14:solidFill>
          </w14:textFill>
        </w:rPr>
        <w:t>华熙生物科技股份有限公司，山东省食品药品检验研究院，四川医疗器械生物材料和制品检验中心有限公司，中国计量科学研究院，沈阳康恩德医疗科技有限公司，珍视明（江西）药业股份有限公司，上海蒂螺医疗器械股份有限公司，甘肃康视达科技集团有限公司，嘉兴力山明朗生物医药科技有限公司。</w:t>
      </w:r>
    </w:p>
    <w:p w14:paraId="250CBD0D">
      <w:pPr>
        <w:spacing w:line="360" w:lineRule="auto"/>
        <w:ind w:firstLine="420" w:firstLineChars="200"/>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szCs w:val="21"/>
          <w14:textFill>
            <w14:solidFill>
              <w14:schemeClr w14:val="tx1"/>
            </w14:solidFill>
          </w14:textFill>
        </w:rPr>
        <w:t xml:space="preserve">本文件主要起草人： </w:t>
      </w:r>
    </w:p>
    <w:p w14:paraId="7BBA66CF">
      <w:pPr>
        <w:spacing w:line="360" w:lineRule="auto"/>
        <w:ind w:firstLine="480" w:firstLineChars="200"/>
        <w:rPr>
          <w:rFonts w:ascii="Times New Roman" w:hAnsi="Times New Roman" w:eastAsia="宋体" w:cs="Times New Roman"/>
          <w:color w:val="FF0000"/>
          <w:sz w:val="24"/>
        </w:rPr>
      </w:pPr>
    </w:p>
    <w:p w14:paraId="142AB289">
      <w:pPr>
        <w:spacing w:line="360" w:lineRule="auto"/>
        <w:jc w:val="center"/>
        <w:rPr>
          <w:rFonts w:ascii="Times New Roman" w:hAnsi="Times New Roman" w:eastAsia="宋体" w:cs="Times New Roman"/>
          <w:b/>
          <w:bCs/>
          <w:color w:val="FF0000"/>
          <w:sz w:val="36"/>
          <w:szCs w:val="36"/>
        </w:rPr>
        <w:sectPr>
          <w:headerReference r:id="rId9" w:type="first"/>
          <w:headerReference r:id="rId7" w:type="default"/>
          <w:footerReference r:id="rId10" w:type="default"/>
          <w:headerReference r:id="rId8" w:type="even"/>
          <w:pgSz w:w="11906" w:h="16838"/>
          <w:pgMar w:top="1440" w:right="1800" w:bottom="1440" w:left="1800" w:header="851" w:footer="992" w:gutter="0"/>
          <w:pgNumType w:fmt="upperRoman"/>
          <w:cols w:space="425" w:num="1"/>
          <w:docGrid w:type="lines" w:linePitch="312" w:charSpace="0"/>
        </w:sectPr>
      </w:pPr>
    </w:p>
    <w:sdt>
      <w:sdtPr>
        <w:rPr>
          <w:rFonts w:ascii="Times New Roman" w:hAnsi="Times New Roman" w:eastAsia="宋体"/>
          <w:color w:val="FF0000"/>
        </w:rPr>
        <w:tag w:val="NEW_STAND_NAME"/>
        <w:id w:val="595910757"/>
        <w:lock w:val="sdtLocked"/>
        <w:placeholder>
          <w:docPart w:val="{72c788d3-8554-4bcc-954b-4a460fd101bd}"/>
        </w:placeholder>
      </w:sdtPr>
      <w:sdtEndPr>
        <w:rPr>
          <w:rFonts w:ascii="Times New Roman" w:hAnsi="Times New Roman" w:eastAsia="黑体"/>
          <w:color w:val="000000" w:themeColor="text1"/>
          <w14:textFill>
            <w14:solidFill>
              <w14:schemeClr w14:val="tx1"/>
            </w14:solidFill>
          </w14:textFill>
        </w:rPr>
      </w:sdtEndPr>
      <w:sdtContent>
        <w:p w14:paraId="521CD398">
          <w:pPr>
            <w:pStyle w:val="22"/>
            <w:spacing w:before="240" w:beforeLines="100" w:after="528" w:afterLines="220"/>
            <w:rPr>
              <w:rFonts w:ascii="Times New Roman" w:hAnsi="Times New Roman"/>
              <w:color w:val="000000" w:themeColor="text1"/>
              <w14:textFill>
                <w14:solidFill>
                  <w14:schemeClr w14:val="tx1"/>
                </w14:solidFill>
              </w14:textFill>
            </w:rPr>
          </w:pPr>
          <w:bookmarkStart w:id="10" w:name="NEW_STAND_NAME"/>
          <w:r>
            <w:rPr>
              <w:rFonts w:ascii="Times New Roman" w:hAnsi="Times New Roman"/>
              <w:color w:val="000000" w:themeColor="text1"/>
              <w14:textFill>
                <w14:solidFill>
                  <w14:schemeClr w14:val="tx1"/>
                </w14:solidFill>
              </w14:textFill>
            </w:rPr>
            <w:t>医疗器械用软骨素钠</w:t>
          </w:r>
        </w:p>
      </w:sdtContent>
    </w:sdt>
    <w:bookmarkEnd w:id="10"/>
    <w:p w14:paraId="771F3D9B">
      <w:pPr>
        <w:pStyle w:val="23"/>
        <w:spacing w:before="240" w:after="240"/>
        <w:rPr>
          <w:rFonts w:ascii="Times New Roman"/>
          <w:color w:val="000000" w:themeColor="text1"/>
          <w14:textFill>
            <w14:solidFill>
              <w14:schemeClr w14:val="tx1"/>
            </w14:solidFill>
          </w14:textFill>
        </w:rPr>
      </w:pPr>
      <w:bookmarkStart w:id="11" w:name="_Toc97195091"/>
      <w:bookmarkStart w:id="12" w:name="_Toc26648465"/>
      <w:bookmarkStart w:id="13" w:name="_Toc24884218"/>
      <w:bookmarkStart w:id="14" w:name="_Toc26986530"/>
      <w:bookmarkStart w:id="15" w:name="_Toc22494"/>
      <w:bookmarkStart w:id="16" w:name="_Toc26718930"/>
      <w:bookmarkStart w:id="17" w:name="_Toc17233333"/>
      <w:bookmarkStart w:id="18" w:name="_Toc24884211"/>
      <w:bookmarkStart w:id="19" w:name="_Toc17233325"/>
      <w:bookmarkStart w:id="20" w:name="_Toc26986771"/>
      <w:r>
        <w:rPr>
          <w:rFonts w:ascii="Times New Roman"/>
          <w:color w:val="000000" w:themeColor="text1"/>
          <w14:textFill>
            <w14:solidFill>
              <w14:schemeClr w14:val="tx1"/>
            </w14:solidFill>
          </w14:textFill>
        </w:rPr>
        <w:t>范围</w:t>
      </w:r>
      <w:bookmarkEnd w:id="11"/>
      <w:bookmarkEnd w:id="12"/>
      <w:bookmarkEnd w:id="13"/>
      <w:bookmarkEnd w:id="14"/>
      <w:bookmarkEnd w:id="15"/>
      <w:bookmarkEnd w:id="16"/>
      <w:bookmarkEnd w:id="17"/>
      <w:bookmarkEnd w:id="18"/>
      <w:bookmarkEnd w:id="19"/>
      <w:bookmarkEnd w:id="20"/>
    </w:p>
    <w:p w14:paraId="7F29093F">
      <w:pPr>
        <w:pStyle w:val="24"/>
        <w:spacing w:before="240" w:beforeLines="100" w:after="240" w:afterLines="100"/>
        <w:ind w:firstLine="420"/>
        <w:rPr>
          <w:rFonts w:ascii="Times New Roman"/>
          <w:color w:val="000000" w:themeColor="text1"/>
          <w14:textFill>
            <w14:solidFill>
              <w14:schemeClr w14:val="tx1"/>
            </w14:solidFill>
          </w14:textFill>
        </w:rPr>
      </w:pPr>
      <w:bookmarkStart w:id="21" w:name="_Toc24884219"/>
      <w:bookmarkStart w:id="22" w:name="_Toc26648466"/>
      <w:bookmarkStart w:id="23" w:name="_Toc17233326"/>
      <w:bookmarkStart w:id="24" w:name="_Toc17233334"/>
      <w:bookmarkStart w:id="25" w:name="_Toc24884212"/>
      <w:r>
        <w:rPr>
          <w:rFonts w:ascii="Times New Roman"/>
          <w:color w:val="000000" w:themeColor="text1"/>
          <w14:textFill>
            <w14:solidFill>
              <w14:schemeClr w14:val="tx1"/>
            </w14:solidFill>
          </w14:textFill>
        </w:rPr>
        <w:t>本文件规定了医疗器械级原料软骨素钠的要求、检验规则、标志、包装、运输、贮存、有效期，描述了相应的试验方法。</w:t>
      </w:r>
    </w:p>
    <w:p w14:paraId="4A2402EC">
      <w:pPr>
        <w:pStyle w:val="24"/>
        <w:spacing w:before="240" w:beforeLines="100" w:after="240" w:afterLines="100"/>
        <w:ind w:firstLine="420"/>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t>本文件适用于微生物发酵制得的、用作医疗器械用的软骨素钠。</w:t>
      </w:r>
    </w:p>
    <w:p w14:paraId="6B15EB48">
      <w:pPr>
        <w:pStyle w:val="23"/>
        <w:spacing w:before="240" w:after="240"/>
        <w:rPr>
          <w:rFonts w:ascii="Times New Roman"/>
          <w:color w:val="000000" w:themeColor="text1"/>
          <w14:textFill>
            <w14:solidFill>
              <w14:schemeClr w14:val="tx1"/>
            </w14:solidFill>
          </w14:textFill>
        </w:rPr>
      </w:pPr>
      <w:bookmarkStart w:id="26" w:name="_Toc97195092"/>
      <w:bookmarkStart w:id="27" w:name="_Toc26986772"/>
      <w:bookmarkStart w:id="28" w:name="_Toc14439"/>
      <w:bookmarkStart w:id="29" w:name="_Toc26718931"/>
      <w:bookmarkStart w:id="30" w:name="_Toc26986531"/>
      <w:r>
        <w:rPr>
          <w:rFonts w:ascii="Times New Roman"/>
          <w:color w:val="000000" w:themeColor="text1"/>
          <w14:textFill>
            <w14:solidFill>
              <w14:schemeClr w14:val="tx1"/>
            </w14:solidFill>
          </w14:textFill>
        </w:rPr>
        <w:t>规范性引用文件</w:t>
      </w:r>
      <w:bookmarkEnd w:id="21"/>
      <w:bookmarkEnd w:id="22"/>
      <w:bookmarkEnd w:id="23"/>
      <w:bookmarkEnd w:id="24"/>
      <w:bookmarkEnd w:id="25"/>
      <w:bookmarkEnd w:id="26"/>
      <w:bookmarkEnd w:id="27"/>
      <w:bookmarkEnd w:id="28"/>
      <w:bookmarkEnd w:id="29"/>
      <w:bookmarkEnd w:id="30"/>
    </w:p>
    <w:sdt>
      <w:sdtPr>
        <w:rPr>
          <w:rFonts w:ascii="Times New Roman"/>
          <w:color w:val="000000" w:themeColor="text1"/>
          <w14:textFill>
            <w14:solidFill>
              <w14:schemeClr w14:val="tx1"/>
            </w14:solidFill>
          </w14:textFill>
        </w:rPr>
        <w:id w:val="715848253"/>
        <w:placeholder>
          <w:docPart w:val="{bff5b573-3dd9-4598-aca0-7a93752c78e9}"/>
        </w:placeholder>
        <w:dropDownList>
          <w:listItem w:displayText="下列文件中的内容通过文中的规范性引用而构成本文件必不可少的条款。其中，注日期的引用文件，仅该日期对应的版本适用于本文件；不注日期的引用文件，其最新版本（包括所有的修改单）适用于本文件。" w:value="下列文件中的内容通过文中的规范性引用而构成本文件必不可少的条款。其中，注日期的引用文件，仅该日期对应的版本适用于本文件；不注日期的引用文件，其最新版本（包括所有的修改单）适用于本文件。"/>
          <w:listItem w:displayText="本文件没有规范性引用文件。" w:value="本文件没有规范性引用文件。"/>
        </w:dropDownList>
      </w:sdtPr>
      <w:sdtEndPr>
        <w:rPr>
          <w:rFonts w:ascii="Times New Roman"/>
          <w:color w:val="000000" w:themeColor="text1"/>
          <w14:textFill>
            <w14:solidFill>
              <w14:schemeClr w14:val="tx1"/>
            </w14:solidFill>
          </w14:textFill>
        </w:rPr>
      </w:sdtEndPr>
      <w:sdtContent>
        <w:p w14:paraId="04ACB7E2">
          <w:pPr>
            <w:pStyle w:val="24"/>
            <w:spacing w:before="240" w:beforeLines="100" w:after="240" w:afterLines="100"/>
            <w:ind w:firstLine="420"/>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t>下列文件中的内容通过文中的规范性引用而构成本文件必不可少的条款。其中，注日期的引用文件，仅该日期对应的版本适用于本文件；不注日期的引用文件，其最新版本（包括所有的修改单）适用于本文件。</w:t>
          </w:r>
        </w:p>
      </w:sdtContent>
    </w:sdt>
    <w:p w14:paraId="5A429382">
      <w:pPr>
        <w:pStyle w:val="24"/>
        <w:spacing w:before="240" w:beforeLines="100" w:after="240" w:afterLines="100"/>
        <w:ind w:firstLine="420"/>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t>GB/T 191   包装储运图示标志</w:t>
      </w:r>
    </w:p>
    <w:p w14:paraId="7E61FC5E">
      <w:pPr>
        <w:pStyle w:val="24"/>
        <w:spacing w:before="240" w:beforeLines="100" w:after="240" w:afterLines="100"/>
        <w:ind w:firstLine="420"/>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t>GB/T 6679  固体化工产品采样通则</w:t>
      </w:r>
    </w:p>
    <w:p w14:paraId="030C1E6C">
      <w:pPr>
        <w:pStyle w:val="24"/>
        <w:spacing w:before="240" w:beforeLines="100" w:after="240" w:afterLines="100"/>
        <w:ind w:firstLine="420"/>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t>GB/T 6682  分析实验室用水规格和试验方法</w:t>
      </w:r>
    </w:p>
    <w:p w14:paraId="05D7CEA7">
      <w:pPr>
        <w:pStyle w:val="24"/>
        <w:spacing w:before="240" w:beforeLines="100" w:after="240" w:afterLines="100"/>
        <w:ind w:firstLine="420"/>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t>GB 7718  食品安全国家标准  预包装食品标签通则</w:t>
      </w:r>
    </w:p>
    <w:p w14:paraId="4F7D02FD">
      <w:pPr>
        <w:pStyle w:val="2"/>
        <w:ind w:firstLine="420" w:firstLineChars="200"/>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t>中华人民共和国药典（2025年版）四部</w:t>
      </w:r>
    </w:p>
    <w:p w14:paraId="06681304">
      <w:pPr>
        <w:pStyle w:val="23"/>
        <w:spacing w:before="240" w:after="240"/>
        <w:rPr>
          <w:rFonts w:ascii="Times New Roman"/>
          <w:color w:val="000000" w:themeColor="text1"/>
          <w14:textFill>
            <w14:solidFill>
              <w14:schemeClr w14:val="tx1"/>
            </w14:solidFill>
          </w14:textFill>
        </w:rPr>
      </w:pPr>
      <w:bookmarkStart w:id="31" w:name="_Toc16354"/>
      <w:bookmarkStart w:id="32" w:name="_Toc97195093"/>
      <w:r>
        <w:rPr>
          <w:rFonts w:ascii="Times New Roman"/>
          <w:color w:val="000000" w:themeColor="text1"/>
          <w:szCs w:val="21"/>
          <w14:textFill>
            <w14:solidFill>
              <w14:schemeClr w14:val="tx1"/>
            </w14:solidFill>
          </w14:textFill>
        </w:rPr>
        <w:t>术语和定义</w:t>
      </w:r>
      <w:bookmarkEnd w:id="31"/>
      <w:bookmarkEnd w:id="32"/>
    </w:p>
    <w:sdt>
      <w:sdtPr>
        <w:rPr>
          <w:rFonts w:ascii="Times New Roman"/>
          <w:color w:val="000000" w:themeColor="text1"/>
          <w14:textFill>
            <w14:solidFill>
              <w14:schemeClr w14:val="tx1"/>
            </w14:solidFill>
          </w14:textFill>
        </w:rPr>
        <w:id w:val="-1909835108"/>
        <w:placeholder>
          <w:docPart w:val="{bb53f2c8-d2de-4ac7-ac47-48850b483ba0}"/>
        </w:placeholder>
        <w:comboBox>
          <w:listItem w:displayText="请选择适当的引导语" w:value="请选择适当的引导语"/>
          <w:listItem w:displayText="下列术语和定义适用于本文件。" w:value="下列术语和定义适用于本文件。"/>
          <w:listItem w:displayText="……界定的术语和定义适用于本文件。" w:value="……界定的术语和定义适用于本文件。"/>
          <w:listItem w:displayText="……界定的以及下列术语和定义适用于本文件。" w:value="……界定的以及下列术语和定义适用于本文件。"/>
          <w:listItem w:displayText="本文件没有需要界定的术语和定义。" w:value="本文件没有需要界定的术语和定义。"/>
        </w:comboBox>
      </w:sdtPr>
      <w:sdtEndPr>
        <w:rPr>
          <w:rFonts w:ascii="Times New Roman"/>
          <w:color w:val="FF0000"/>
        </w:rPr>
      </w:sdtEndPr>
      <w:sdtContent>
        <w:p w14:paraId="26531963">
          <w:pPr>
            <w:pStyle w:val="24"/>
            <w:spacing w:before="240" w:beforeLines="100" w:after="240" w:afterLines="100"/>
            <w:ind w:firstLine="420"/>
            <w:rPr>
              <w:rFonts w:ascii="Times New Roman"/>
              <w:color w:val="FF0000"/>
            </w:rPr>
          </w:pPr>
          <w:bookmarkStart w:id="33" w:name="_Toc26986532"/>
          <w:bookmarkEnd w:id="33"/>
          <w:r>
            <w:rPr>
              <w:rFonts w:ascii="Times New Roman"/>
              <w:color w:val="000000" w:themeColor="text1"/>
              <w14:textFill>
                <w14:solidFill>
                  <w14:schemeClr w14:val="tx1"/>
                </w14:solidFill>
              </w14:textFill>
            </w:rPr>
            <w:t>下列术语和定义适用于本文件。</w:t>
          </w:r>
        </w:p>
      </w:sdtContent>
    </w:sdt>
    <w:p w14:paraId="062489C3">
      <w:pPr>
        <w:pStyle w:val="25"/>
        <w:spacing w:before="240" w:beforeLines="100" w:after="240" w:afterLines="100"/>
        <w:ind w:left="420" w:hanging="420" w:hangingChars="200"/>
        <w:rPr>
          <w:rFonts w:ascii="Times New Roman"/>
          <w:color w:val="FF0000"/>
        </w:rPr>
      </w:pPr>
      <w:r>
        <w:rPr>
          <w:rFonts w:ascii="Times New Roman" w:eastAsia="黑体"/>
          <w:color w:val="000000" w:themeColor="text1"/>
          <w14:textFill>
            <w14:solidFill>
              <w14:schemeClr w14:val="tx1"/>
            </w14:solidFill>
          </w14:textFill>
        </w:rPr>
        <w:t>软骨素钠 sodium chondroitin</w:t>
      </w:r>
    </w:p>
    <w:p w14:paraId="6455C553">
      <w:pPr>
        <w:pStyle w:val="24"/>
        <w:spacing w:before="240" w:beforeLines="100" w:after="240" w:afterLines="100"/>
        <w:ind w:firstLine="420"/>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t>一种黏多糖类物质，由D-葡糖醛酸和N-乙酰半乳糖胺经β-1，3和β-1，4 糖苷键交替连接聚合而成，易溶于水。</w:t>
      </w:r>
    </w:p>
    <w:p w14:paraId="126898A8">
      <w:pPr>
        <w:pStyle w:val="23"/>
        <w:spacing w:before="240" w:after="240"/>
        <w:rPr>
          <w:rFonts w:ascii="Times New Roman"/>
          <w:color w:val="000000" w:themeColor="text1"/>
          <w14:textFill>
            <w14:solidFill>
              <w14:schemeClr w14:val="tx1"/>
            </w14:solidFill>
          </w14:textFill>
        </w:rPr>
      </w:pPr>
      <w:bookmarkStart w:id="34" w:name="_Toc12314"/>
      <w:r>
        <w:rPr>
          <w:rFonts w:ascii="Times New Roman"/>
          <w:color w:val="000000" w:themeColor="text1"/>
          <w14:textFill>
            <w14:solidFill>
              <w14:schemeClr w14:val="tx1"/>
            </w14:solidFill>
          </w14:textFill>
        </w:rPr>
        <w:t>分子式、CAS号、相对分子质量、结构式</w:t>
      </w:r>
      <w:bookmarkEnd w:id="34"/>
    </w:p>
    <w:p w14:paraId="448E12D6">
      <w:pPr>
        <w:pStyle w:val="27"/>
        <w:spacing w:before="240" w:beforeLines="100" w:after="240" w:afterLines="100"/>
        <w:rPr>
          <w:rFonts w:ascii="Times New Roman" w:eastAsia="宋体"/>
          <w:b/>
          <w:bCs/>
          <w:color w:val="000000" w:themeColor="text1"/>
          <w14:textFill>
            <w14:solidFill>
              <w14:schemeClr w14:val="tx1"/>
            </w14:solidFill>
          </w14:textFill>
        </w:rPr>
      </w:pPr>
      <w:r>
        <w:rPr>
          <w:rFonts w:ascii="Times New Roman" w:eastAsia="宋体"/>
          <w:b/>
          <w:bCs/>
          <w:color w:val="000000" w:themeColor="text1"/>
          <w14:textFill>
            <w14:solidFill>
              <w14:schemeClr w14:val="tx1"/>
            </w14:solidFill>
          </w14:textFill>
        </w:rPr>
        <w:t>分子式</w:t>
      </w:r>
    </w:p>
    <w:p w14:paraId="4740DA66">
      <w:pPr>
        <w:pStyle w:val="24"/>
        <w:ind w:firstLine="420"/>
        <w:rPr>
          <w:rFonts w:ascii="Times New Roman"/>
        </w:rPr>
      </w:pPr>
      <w:r>
        <w:rPr>
          <w:rFonts w:ascii="Times New Roman"/>
        </w:rPr>
        <w:t>(C</w:t>
      </w:r>
      <w:r>
        <w:rPr>
          <w:rFonts w:ascii="Times New Roman"/>
          <w:vertAlign w:val="subscript"/>
        </w:rPr>
        <w:t>14</w:t>
      </w:r>
      <w:r>
        <w:rPr>
          <w:rFonts w:ascii="Times New Roman"/>
        </w:rPr>
        <w:t>H</w:t>
      </w:r>
      <w:r>
        <w:rPr>
          <w:rFonts w:ascii="Times New Roman"/>
          <w:vertAlign w:val="subscript"/>
        </w:rPr>
        <w:t>20</w:t>
      </w:r>
      <w:r>
        <w:rPr>
          <w:rFonts w:ascii="Times New Roman"/>
        </w:rPr>
        <w:t>NO</w:t>
      </w:r>
      <w:r>
        <w:rPr>
          <w:rFonts w:ascii="Times New Roman"/>
          <w:vertAlign w:val="subscript"/>
        </w:rPr>
        <w:t>11</w:t>
      </w:r>
      <w:r>
        <w:rPr>
          <w:rFonts w:ascii="Times New Roman"/>
        </w:rPr>
        <w:t>Na)n（其中n为二糖单元数量，随聚合度不同而变化）</w:t>
      </w:r>
    </w:p>
    <w:p w14:paraId="0DE3C407">
      <w:pPr>
        <w:pStyle w:val="27"/>
        <w:spacing w:before="240" w:beforeLines="100" w:after="240" w:afterLines="100"/>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t>CAS号</w:t>
      </w:r>
    </w:p>
    <w:p w14:paraId="4D38D0E0">
      <w:pPr>
        <w:pStyle w:val="27"/>
        <w:numPr>
          <w:ilvl w:val="2"/>
          <w:numId w:val="0"/>
        </w:numPr>
        <w:spacing w:before="240" w:beforeLines="100" w:after="240" w:afterLines="100"/>
        <w:ind w:firstLine="420" w:firstLineChars="200"/>
        <w:rPr>
          <w:rFonts w:ascii="Times New Roman" w:eastAsia="宋体"/>
          <w:color w:val="000000" w:themeColor="text1"/>
          <w14:textFill>
            <w14:solidFill>
              <w14:schemeClr w14:val="tx1"/>
            </w14:solidFill>
          </w14:textFill>
        </w:rPr>
      </w:pPr>
      <w:r>
        <w:rPr>
          <w:rFonts w:ascii="Times New Roman" w:eastAsia="宋体"/>
          <w:color w:val="000000" w:themeColor="text1"/>
          <w14:textFill>
            <w14:solidFill>
              <w14:schemeClr w14:val="tx1"/>
            </w14:solidFill>
          </w14:textFill>
        </w:rPr>
        <w:t>54328-35-7</w:t>
      </w:r>
    </w:p>
    <w:p w14:paraId="486135BD">
      <w:pPr>
        <w:pStyle w:val="27"/>
        <w:spacing w:before="240" w:beforeLines="100" w:after="240" w:afterLines="100"/>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t>相对分子质量</w:t>
      </w:r>
    </w:p>
    <w:p w14:paraId="72813420">
      <w:pPr>
        <w:pStyle w:val="27"/>
        <w:numPr>
          <w:ilvl w:val="2"/>
          <w:numId w:val="0"/>
        </w:numPr>
        <w:spacing w:before="240" w:beforeLines="100" w:after="240" w:afterLines="100"/>
        <w:ind w:firstLine="420" w:firstLineChars="200"/>
        <w:rPr>
          <w:rFonts w:ascii="Times New Roman" w:eastAsia="宋体"/>
          <w:color w:val="000000" w:themeColor="text1"/>
          <w14:textFill>
            <w14:solidFill>
              <w14:schemeClr w14:val="tx1"/>
            </w14:solidFill>
          </w14:textFill>
        </w:rPr>
      </w:pPr>
      <w:r>
        <w:rPr>
          <w:rFonts w:ascii="Times New Roman" w:eastAsia="宋体"/>
          <w:color w:val="000000" w:themeColor="text1"/>
          <w14:textFill>
            <w14:solidFill>
              <w14:schemeClr w14:val="tx1"/>
            </w14:solidFill>
          </w14:textFill>
        </w:rPr>
        <w:t>约401.3*n，n≤1247</w:t>
      </w:r>
    </w:p>
    <w:p w14:paraId="49AEDF37">
      <w:pPr>
        <w:pStyle w:val="27"/>
        <w:spacing w:before="240" w:beforeLines="100" w:after="240" w:afterLines="100"/>
        <w:rPr>
          <w:rFonts w:ascii="Times New Roman"/>
        </w:rPr>
      </w:pPr>
      <w:r>
        <w:rPr>
          <w:rFonts w:ascii="Times New Roman"/>
        </w:rPr>
        <w:t>结构式</w:t>
      </w:r>
    </w:p>
    <w:p w14:paraId="22C5258A">
      <w:pPr>
        <w:pStyle w:val="24"/>
        <w:spacing w:before="240" w:beforeLines="100" w:after="240" w:afterLines="100"/>
        <w:ind w:firstLine="0" w:firstLineChars="0"/>
        <w:jc w:val="left"/>
        <w:rPr>
          <w:rFonts w:ascii="Times New Roman"/>
          <w:color w:val="FF0000"/>
        </w:rPr>
      </w:pPr>
      <w:r>
        <w:rPr>
          <w:rFonts w:ascii="Times New Roman"/>
          <w:color w:val="FF0000"/>
        </w:rPr>
        <w:drawing>
          <wp:inline distT="0" distB="0" distL="0" distR="0">
            <wp:extent cx="3324225" cy="155321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6">
                      <a:extLst>
                        <a:ext uri="{28A0092B-C50C-407E-A947-70E740481C1C}">
                          <a14:useLocalDpi xmlns:a14="http://schemas.microsoft.com/office/drawing/2010/main" val="0"/>
                        </a:ext>
                      </a:extLst>
                    </a:blip>
                    <a:stretch>
                      <a:fillRect/>
                    </a:stretch>
                  </pic:blipFill>
                  <pic:spPr>
                    <a:xfrm>
                      <a:off x="0" y="0"/>
                      <a:ext cx="3330906" cy="1556499"/>
                    </a:xfrm>
                    <a:prstGeom prst="rect">
                      <a:avLst/>
                    </a:prstGeom>
                  </pic:spPr>
                </pic:pic>
              </a:graphicData>
            </a:graphic>
          </wp:inline>
        </w:drawing>
      </w:r>
    </w:p>
    <w:p w14:paraId="2D4409BF">
      <w:pPr>
        <w:pStyle w:val="23"/>
        <w:spacing w:before="240" w:after="240"/>
        <w:rPr>
          <w:rFonts w:ascii="Times New Roman"/>
          <w:color w:val="000000" w:themeColor="text1"/>
          <w14:textFill>
            <w14:solidFill>
              <w14:schemeClr w14:val="tx1"/>
            </w14:solidFill>
          </w14:textFill>
        </w:rPr>
      </w:pPr>
      <w:bookmarkStart w:id="35" w:name="_Toc1449"/>
      <w:r>
        <w:rPr>
          <w:rFonts w:ascii="Times New Roman"/>
          <w:color w:val="000000" w:themeColor="text1"/>
          <w14:textFill>
            <w14:solidFill>
              <w14:schemeClr w14:val="tx1"/>
            </w14:solidFill>
          </w14:textFill>
        </w:rPr>
        <w:t>要求</w:t>
      </w:r>
      <w:bookmarkEnd w:id="35"/>
    </w:p>
    <w:p w14:paraId="203575FC">
      <w:pPr>
        <w:pStyle w:val="27"/>
        <w:spacing w:before="240" w:beforeLines="100" w:after="240" w:afterLines="100"/>
        <w:rPr>
          <w:rFonts w:ascii="Times New Roman" w:eastAsia="宋体"/>
          <w:color w:val="000000" w:themeColor="text1"/>
          <w14:textFill>
            <w14:solidFill>
              <w14:schemeClr w14:val="tx1"/>
            </w14:solidFill>
          </w14:textFill>
        </w:rPr>
      </w:pPr>
      <w:r>
        <w:rPr>
          <w:rFonts w:ascii="Times New Roman"/>
          <w:color w:val="000000" w:themeColor="text1"/>
          <w14:textFill>
            <w14:solidFill>
              <w14:schemeClr w14:val="tx1"/>
            </w14:solidFill>
          </w14:textFill>
        </w:rPr>
        <w:t>性状</w:t>
      </w:r>
    </w:p>
    <w:p w14:paraId="6B7B0FD7">
      <w:pPr>
        <w:spacing w:before="240" w:beforeLines="100" w:after="240" w:afterLines="100"/>
        <w:ind w:firstLine="420"/>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t>白色或类白色粉末或颗粒。</w:t>
      </w:r>
    </w:p>
    <w:p w14:paraId="4ABE5789">
      <w:pPr>
        <w:pStyle w:val="27"/>
        <w:spacing w:before="240" w:beforeLines="100" w:after="240" w:afterLines="100"/>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t>鉴别</w:t>
      </w:r>
    </w:p>
    <w:p w14:paraId="5CF9EA50">
      <w:pPr>
        <w:pStyle w:val="28"/>
        <w:spacing w:before="240" w:beforeLines="100" w:after="240" w:afterLines="100"/>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t>试样红外光谱图应与对照品谱图（</w:t>
      </w:r>
      <w:r>
        <w:rPr>
          <w:rFonts w:ascii="Times New Roman"/>
        </w:rPr>
        <w:t>附参比红外图谱）</w:t>
      </w:r>
      <w:r>
        <w:rPr>
          <w:rFonts w:ascii="Times New Roman"/>
          <w:color w:val="000000" w:themeColor="text1"/>
          <w14:textFill>
            <w14:solidFill>
              <w14:schemeClr w14:val="tx1"/>
            </w14:solidFill>
          </w14:textFill>
        </w:rPr>
        <w:t>一致，见附录A。</w:t>
      </w:r>
    </w:p>
    <w:p w14:paraId="0972950A">
      <w:pPr>
        <w:pStyle w:val="28"/>
        <w:spacing w:before="240" w:beforeLines="100" w:after="240" w:afterLines="100"/>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t>试样应显钠盐的鉴别反应。</w:t>
      </w:r>
    </w:p>
    <w:p w14:paraId="52711A0E">
      <w:pPr>
        <w:pStyle w:val="27"/>
        <w:spacing w:before="240" w:beforeLines="100" w:after="240" w:afterLines="100"/>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t>含量</w:t>
      </w:r>
    </w:p>
    <w:p w14:paraId="28678989">
      <w:pPr>
        <w:pStyle w:val="24"/>
        <w:spacing w:before="240" w:beforeLines="100" w:after="240" w:afterLines="100"/>
        <w:ind w:firstLine="420"/>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t>按6.4进行试验，试样含量（以干品计）应为95.0%～105.0%。</w:t>
      </w:r>
    </w:p>
    <w:p w14:paraId="360B20D1">
      <w:pPr>
        <w:pStyle w:val="27"/>
        <w:spacing w:before="240" w:beforeLines="100" w:after="240" w:afterLines="100"/>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t>溶液澄清度与颜色</w:t>
      </w:r>
    </w:p>
    <w:p w14:paraId="594E3B36">
      <w:pPr>
        <w:pStyle w:val="24"/>
        <w:spacing w:before="240" w:beforeLines="100" w:after="240" w:afterLines="100"/>
        <w:ind w:firstLine="420"/>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t>按6.5进行试验，溶液应澄清，在600 nm波长处测定吸光度值A₆₀₀ₙₘ，应不大于0.01。</w:t>
      </w:r>
    </w:p>
    <w:p w14:paraId="220AF693">
      <w:pPr>
        <w:pStyle w:val="27"/>
        <w:spacing w:before="240" w:beforeLines="100" w:after="240" w:afterLines="100"/>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t>pH值</w:t>
      </w:r>
    </w:p>
    <w:p w14:paraId="42BD4235">
      <w:pPr>
        <w:pStyle w:val="24"/>
        <w:spacing w:before="240" w:beforeLines="100" w:after="240" w:afterLines="100"/>
        <w:ind w:firstLine="420"/>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t>按6.6进行试验，pH应为5.0～7.5。</w:t>
      </w:r>
    </w:p>
    <w:p w14:paraId="50D9CFC6">
      <w:pPr>
        <w:pStyle w:val="27"/>
        <w:spacing w:before="240" w:beforeLines="100" w:after="240" w:afterLines="100"/>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t>特性黏数</w:t>
      </w:r>
    </w:p>
    <w:p w14:paraId="4D9F618E">
      <w:pPr>
        <w:pStyle w:val="24"/>
        <w:spacing w:before="240" w:beforeLines="100" w:after="240" w:afterLines="100"/>
        <w:ind w:firstLine="420"/>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t>按6.7进行试验，特性黏数</w:t>
      </w:r>
      <w:r>
        <w:rPr>
          <w:rFonts w:hint="eastAsia"/>
        </w:rPr>
        <w:t>应在生产商标示范围内，单位为</w:t>
      </w:r>
      <w:r>
        <w:rPr>
          <w:rFonts w:ascii="Times New Roman"/>
        </w:rPr>
        <w:t>m</w:t>
      </w:r>
      <w:r>
        <w:rPr>
          <w:rFonts w:ascii="Times New Roman"/>
          <w:vertAlign w:val="superscript"/>
        </w:rPr>
        <w:t>3</w:t>
      </w:r>
      <w:r>
        <w:rPr>
          <w:rFonts w:ascii="Times New Roman"/>
        </w:rPr>
        <w:t>/kg</w:t>
      </w:r>
      <w:r>
        <w:rPr>
          <w:rFonts w:ascii="Times New Roman"/>
          <w:color w:val="000000" w:themeColor="text1"/>
          <w14:textFill>
            <w14:solidFill>
              <w14:schemeClr w14:val="tx1"/>
            </w14:solidFill>
          </w14:textFill>
        </w:rPr>
        <w:t>。</w:t>
      </w:r>
    </w:p>
    <w:p w14:paraId="3FF80C23">
      <w:pPr>
        <w:pStyle w:val="27"/>
        <w:spacing w:before="240" w:beforeLines="100" w:after="240" w:afterLines="100"/>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t>核酸</w:t>
      </w:r>
    </w:p>
    <w:p w14:paraId="27854EEC">
      <w:pPr>
        <w:pStyle w:val="24"/>
        <w:spacing w:before="240" w:beforeLines="100" w:after="240" w:afterLines="100"/>
        <w:ind w:firstLine="420"/>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t>按6.8进行试验，在260 nm波长处测定吸光度值A₂₆₀ₙₘ，应不大于0.5。</w:t>
      </w:r>
    </w:p>
    <w:p w14:paraId="2B3C7615">
      <w:pPr>
        <w:pStyle w:val="27"/>
        <w:numPr>
          <w:ilvl w:val="2"/>
          <w:numId w:val="0"/>
        </w:numPr>
        <w:spacing w:before="240" w:beforeLines="100" w:after="240" w:afterLines="100"/>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t>5.8 蛋白质含量</w:t>
      </w:r>
    </w:p>
    <w:p w14:paraId="6C0C508D">
      <w:pPr>
        <w:pStyle w:val="24"/>
        <w:spacing w:before="240" w:beforeLines="100" w:after="240" w:afterLines="100"/>
        <w:ind w:firstLine="420"/>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t>按6.9进行试验，试样蛋白质含量应不超过0.1%。</w:t>
      </w:r>
    </w:p>
    <w:p w14:paraId="19F3B5EC">
      <w:pPr>
        <w:pStyle w:val="27"/>
        <w:numPr>
          <w:ilvl w:val="2"/>
          <w:numId w:val="0"/>
        </w:numPr>
        <w:spacing w:before="240" w:beforeLines="100" w:after="240" w:afterLines="100"/>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t>5.9 氯化物含量</w:t>
      </w:r>
    </w:p>
    <w:p w14:paraId="3FE5B479">
      <w:pPr>
        <w:pStyle w:val="24"/>
        <w:spacing w:before="240" w:beforeLines="100" w:after="240" w:afterLines="100"/>
        <w:ind w:firstLine="420"/>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t>按6.10进行试验，试样氯化物含量应不超过0.5%。</w:t>
      </w:r>
    </w:p>
    <w:p w14:paraId="07C8AACA">
      <w:pPr>
        <w:pStyle w:val="27"/>
        <w:numPr>
          <w:ilvl w:val="2"/>
          <w:numId w:val="0"/>
        </w:numPr>
        <w:spacing w:before="240" w:beforeLines="100" w:after="240" w:afterLines="100"/>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t>5.10 铁含量</w:t>
      </w:r>
    </w:p>
    <w:p w14:paraId="1F35FDDE">
      <w:pPr>
        <w:pStyle w:val="24"/>
        <w:spacing w:before="240" w:beforeLines="100" w:after="240" w:afterLines="100"/>
        <w:ind w:firstLine="420"/>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t>按6.11进行试验，试样铁含量应不超过30</w:t>
      </w:r>
      <w:r>
        <w:rPr>
          <w:rFonts w:hint="eastAsia" w:ascii="Times New Roman"/>
          <w:color w:val="000000" w:themeColor="text1"/>
          <w14:textFill>
            <w14:solidFill>
              <w14:schemeClr w14:val="tx1"/>
            </w14:solidFill>
          </w14:textFill>
        </w:rPr>
        <w:t xml:space="preserve"> </w:t>
      </w:r>
      <w:r>
        <w:rPr>
          <w:rFonts w:ascii="Times New Roman"/>
          <w:color w:val="000000" w:themeColor="text1"/>
          <w14:textFill>
            <w14:solidFill>
              <w14:schemeClr w14:val="tx1"/>
            </w14:solidFill>
          </w14:textFill>
        </w:rPr>
        <w:t>μg</w:t>
      </w:r>
      <w:r>
        <w:rPr>
          <w:rFonts w:hint="eastAsia" w:ascii="Times New Roman"/>
          <w:color w:val="000000" w:themeColor="text1"/>
          <w14:textFill>
            <w14:solidFill>
              <w14:schemeClr w14:val="tx1"/>
            </w14:solidFill>
          </w14:textFill>
        </w:rPr>
        <w:t>/g</w:t>
      </w:r>
      <w:r>
        <w:rPr>
          <w:rFonts w:ascii="Times New Roman"/>
          <w:color w:val="000000" w:themeColor="text1"/>
          <w14:textFill>
            <w14:solidFill>
              <w14:schemeClr w14:val="tx1"/>
            </w14:solidFill>
          </w14:textFill>
        </w:rPr>
        <w:t>。</w:t>
      </w:r>
    </w:p>
    <w:p w14:paraId="1423D960">
      <w:pPr>
        <w:pStyle w:val="27"/>
        <w:numPr>
          <w:ilvl w:val="2"/>
          <w:numId w:val="0"/>
        </w:numPr>
        <w:spacing w:before="240" w:beforeLines="100" w:after="240" w:afterLines="100"/>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t>5.11 重金属</w:t>
      </w:r>
    </w:p>
    <w:p w14:paraId="553A1B28">
      <w:pPr>
        <w:pStyle w:val="24"/>
        <w:spacing w:before="240" w:beforeLines="100" w:after="240" w:afterLines="100"/>
        <w:ind w:firstLine="420"/>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t>按6.12进行试验，试样重金属含量应不超过20</w:t>
      </w:r>
      <w:r>
        <w:rPr>
          <w:rFonts w:hint="eastAsia" w:ascii="Times New Roman"/>
          <w:color w:val="000000" w:themeColor="text1"/>
          <w14:textFill>
            <w14:solidFill>
              <w14:schemeClr w14:val="tx1"/>
            </w14:solidFill>
          </w14:textFill>
        </w:rPr>
        <w:t xml:space="preserve"> </w:t>
      </w:r>
      <w:r>
        <w:rPr>
          <w:rFonts w:ascii="Times New Roman"/>
          <w:color w:val="000000" w:themeColor="text1"/>
          <w14:textFill>
            <w14:solidFill>
              <w14:schemeClr w14:val="tx1"/>
            </w14:solidFill>
          </w14:textFill>
        </w:rPr>
        <w:t>μg</w:t>
      </w:r>
      <w:r>
        <w:rPr>
          <w:rFonts w:hint="eastAsia" w:ascii="Times New Roman"/>
          <w:color w:val="000000" w:themeColor="text1"/>
          <w14:textFill>
            <w14:solidFill>
              <w14:schemeClr w14:val="tx1"/>
            </w14:solidFill>
          </w14:textFill>
        </w:rPr>
        <w:t>/g</w:t>
      </w:r>
      <w:r>
        <w:rPr>
          <w:rFonts w:ascii="Times New Roman"/>
          <w:color w:val="000000" w:themeColor="text1"/>
          <w14:textFill>
            <w14:solidFill>
              <w14:schemeClr w14:val="tx1"/>
            </w14:solidFill>
          </w14:textFill>
        </w:rPr>
        <w:t>。</w:t>
      </w:r>
    </w:p>
    <w:p w14:paraId="47E406C3">
      <w:pPr>
        <w:pStyle w:val="27"/>
        <w:numPr>
          <w:ilvl w:val="2"/>
          <w:numId w:val="0"/>
        </w:numPr>
        <w:spacing w:before="240" w:beforeLines="100" w:after="240" w:afterLines="100"/>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t>5.12 干燥失重</w:t>
      </w:r>
    </w:p>
    <w:p w14:paraId="5F735B29">
      <w:pPr>
        <w:pStyle w:val="24"/>
        <w:spacing w:before="240" w:beforeLines="100" w:after="240" w:afterLines="100"/>
        <w:ind w:firstLine="420"/>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t>按6.13进行试验，试样干燥失重应不超过12.0%。</w:t>
      </w:r>
    </w:p>
    <w:p w14:paraId="5067E2EE">
      <w:pPr>
        <w:pStyle w:val="27"/>
        <w:numPr>
          <w:ilvl w:val="2"/>
          <w:numId w:val="0"/>
        </w:numPr>
        <w:spacing w:before="240" w:beforeLines="100" w:after="240" w:afterLines="100"/>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t>5.13 细菌内毒素</w:t>
      </w:r>
    </w:p>
    <w:p w14:paraId="04FCE16C">
      <w:pPr>
        <w:pStyle w:val="24"/>
        <w:spacing w:before="240" w:beforeLines="100" w:after="240" w:afterLines="100"/>
        <w:ind w:firstLine="420"/>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t>按6.14进行试验，试样细菌内毒素含量应不超过0.05 EU/mg。</w:t>
      </w:r>
    </w:p>
    <w:p w14:paraId="492AA0E2">
      <w:pPr>
        <w:pStyle w:val="27"/>
        <w:numPr>
          <w:ilvl w:val="2"/>
          <w:numId w:val="0"/>
        </w:numPr>
        <w:spacing w:before="240" w:beforeLines="100" w:after="240" w:afterLines="100"/>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t>5.14 微生物限度</w:t>
      </w:r>
    </w:p>
    <w:p w14:paraId="5D8A2379">
      <w:pPr>
        <w:pStyle w:val="24"/>
        <w:spacing w:before="240" w:beforeLines="100" w:after="240" w:afterLines="100"/>
        <w:ind w:firstLine="420"/>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t>按6.15进行试验，每1 g试样中，需氧菌总数应不超过100 CFU，霉菌和酵母菌总数应不超过20 CFU，金黄色葡萄球菌、铜绿假单胞菌和大肠埃希菌应不得检出。</w:t>
      </w:r>
    </w:p>
    <w:p w14:paraId="6960BA84">
      <w:pPr>
        <w:pStyle w:val="27"/>
        <w:numPr>
          <w:ilvl w:val="2"/>
          <w:numId w:val="0"/>
        </w:numPr>
        <w:spacing w:before="240" w:beforeLines="100" w:after="240" w:afterLines="100"/>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t>5.15 乙醇残留</w:t>
      </w:r>
    </w:p>
    <w:p w14:paraId="58FAC814">
      <w:pPr>
        <w:pStyle w:val="24"/>
        <w:spacing w:before="240" w:beforeLines="100" w:after="240" w:afterLines="100"/>
        <w:ind w:firstLine="420"/>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t>按6.16进行试验，试样乙醇残留应不超过5000</w:t>
      </w:r>
      <w:r>
        <w:rPr>
          <w:rFonts w:hint="eastAsia" w:ascii="Times New Roman"/>
          <w:color w:val="000000" w:themeColor="text1"/>
          <w14:textFill>
            <w14:solidFill>
              <w14:schemeClr w14:val="tx1"/>
            </w14:solidFill>
          </w14:textFill>
        </w:rPr>
        <w:t xml:space="preserve"> </w:t>
      </w:r>
      <w:r>
        <w:rPr>
          <w:rFonts w:ascii="Times New Roman"/>
          <w:color w:val="000000" w:themeColor="text1"/>
          <w14:textFill>
            <w14:solidFill>
              <w14:schemeClr w14:val="tx1"/>
            </w14:solidFill>
          </w14:textFill>
        </w:rPr>
        <w:t>μg</w:t>
      </w:r>
      <w:r>
        <w:rPr>
          <w:rFonts w:hint="eastAsia" w:ascii="Times New Roman"/>
          <w:color w:val="000000" w:themeColor="text1"/>
          <w14:textFill>
            <w14:solidFill>
              <w14:schemeClr w14:val="tx1"/>
            </w14:solidFill>
          </w14:textFill>
        </w:rPr>
        <w:t>/g</w:t>
      </w:r>
      <w:r>
        <w:rPr>
          <w:rFonts w:ascii="Times New Roman"/>
          <w:color w:val="000000" w:themeColor="text1"/>
          <w14:textFill>
            <w14:solidFill>
              <w14:schemeClr w14:val="tx1"/>
            </w14:solidFill>
          </w14:textFill>
        </w:rPr>
        <w:t>。</w:t>
      </w:r>
    </w:p>
    <w:p w14:paraId="23FB9857">
      <w:pPr>
        <w:pStyle w:val="23"/>
        <w:spacing w:before="240" w:after="240"/>
        <w:rPr>
          <w:rFonts w:ascii="Times New Roman"/>
          <w:color w:val="000000" w:themeColor="text1"/>
          <w14:textFill>
            <w14:solidFill>
              <w14:schemeClr w14:val="tx1"/>
            </w14:solidFill>
          </w14:textFill>
        </w:rPr>
      </w:pPr>
      <w:bookmarkStart w:id="36" w:name="_Toc9162"/>
      <w:bookmarkStart w:id="37" w:name="_Toc151120713"/>
      <w:bookmarkStart w:id="38" w:name="_Toc149749324"/>
      <w:r>
        <w:rPr>
          <w:rFonts w:ascii="Times New Roman"/>
          <w:color w:val="000000" w:themeColor="text1"/>
          <w14:textFill>
            <w14:solidFill>
              <w14:schemeClr w14:val="tx1"/>
            </w14:solidFill>
          </w14:textFill>
        </w:rPr>
        <w:t>试验方法</w:t>
      </w:r>
      <w:bookmarkEnd w:id="36"/>
      <w:bookmarkEnd w:id="37"/>
      <w:bookmarkEnd w:id="38"/>
    </w:p>
    <w:p w14:paraId="2490E0AD">
      <w:pPr>
        <w:pStyle w:val="27"/>
        <w:numPr>
          <w:ilvl w:val="2"/>
          <w:numId w:val="0"/>
        </w:numPr>
        <w:spacing w:before="240" w:beforeLines="100" w:after="240" w:afterLines="100"/>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t>6.1 一般要求</w:t>
      </w:r>
    </w:p>
    <w:p w14:paraId="330B68EA">
      <w:pPr>
        <w:pStyle w:val="24"/>
        <w:spacing w:before="240" w:beforeLines="100" w:after="240" w:afterLines="100"/>
        <w:ind w:firstLine="420"/>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t>除非另有说明，在分析中仅使用确认为分析纯及以上级别的试剂和符合GB/T 6682三级或以上的水。试剂溶液未指明用何种溶液配制时，均指用水配制。</w:t>
      </w:r>
    </w:p>
    <w:p w14:paraId="583527D9">
      <w:pPr>
        <w:pStyle w:val="27"/>
        <w:numPr>
          <w:ilvl w:val="2"/>
          <w:numId w:val="0"/>
        </w:numPr>
        <w:spacing w:before="240" w:beforeLines="100" w:after="240" w:afterLines="100"/>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t>6.2 性状</w:t>
      </w:r>
    </w:p>
    <w:p w14:paraId="285DBCF0">
      <w:pPr>
        <w:pStyle w:val="24"/>
        <w:spacing w:before="240" w:beforeLines="100" w:after="240" w:afterLines="100"/>
        <w:ind w:firstLine="420"/>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t>取试样适量，在自然光下目视观察。</w:t>
      </w:r>
    </w:p>
    <w:p w14:paraId="46323801">
      <w:pPr>
        <w:pStyle w:val="27"/>
        <w:numPr>
          <w:ilvl w:val="2"/>
          <w:numId w:val="0"/>
        </w:numPr>
        <w:spacing w:before="240" w:beforeLines="100" w:after="240" w:afterLines="100"/>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t>6.3 鉴别</w:t>
      </w:r>
    </w:p>
    <w:p w14:paraId="295EBC6A">
      <w:pPr>
        <w:pStyle w:val="27"/>
        <w:numPr>
          <w:ilvl w:val="2"/>
          <w:numId w:val="0"/>
        </w:numPr>
        <w:spacing w:before="240" w:beforeLines="100" w:after="240" w:afterLines="100"/>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t>6.3.1 红外光谱法</w:t>
      </w:r>
    </w:p>
    <w:p w14:paraId="74F6DFA8">
      <w:pPr>
        <w:pStyle w:val="24"/>
        <w:spacing w:before="240" w:beforeLines="100" w:after="240" w:afterLines="100"/>
        <w:ind w:firstLine="420"/>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t>取干燥的试样2 mg～3 mg，置</w:t>
      </w:r>
      <w:r>
        <w:rPr>
          <w:rFonts w:hint="eastAsia" w:ascii="Times New Roman"/>
          <w:color w:val="000000" w:themeColor="text1"/>
          <w14:textFill>
            <w14:solidFill>
              <w14:schemeClr w14:val="tx1"/>
            </w14:solidFill>
          </w14:textFill>
        </w:rPr>
        <w:t>于</w:t>
      </w:r>
      <w:r>
        <w:rPr>
          <w:rFonts w:ascii="Times New Roman"/>
          <w:color w:val="000000" w:themeColor="text1"/>
          <w14:textFill>
            <w14:solidFill>
              <w14:schemeClr w14:val="tx1"/>
            </w14:solidFill>
          </w14:textFill>
        </w:rPr>
        <w:t>玛瑙研钵中研细，加200 mg～300 mg溴化钾，研细，将试样分散均匀，压片；不加试样，同法制备空白片。</w:t>
      </w:r>
    </w:p>
    <w:p w14:paraId="55BA75A0">
      <w:pPr>
        <w:pStyle w:val="24"/>
        <w:spacing w:before="240" w:beforeLines="100" w:after="240" w:afterLines="100"/>
        <w:ind w:firstLine="420"/>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t>设定傅</w:t>
      </w:r>
      <w:r>
        <w:rPr>
          <w:rFonts w:hint="eastAsia" w:ascii="Times New Roman"/>
          <w:color w:val="000000" w:themeColor="text1"/>
          <w:lang w:val="en-US" w:eastAsia="zh-CN"/>
          <w14:textFill>
            <w14:solidFill>
              <w14:schemeClr w14:val="tx1"/>
            </w14:solidFill>
          </w14:textFill>
        </w:rPr>
        <w:t>立</w:t>
      </w:r>
      <w:r>
        <w:rPr>
          <w:rFonts w:ascii="Times New Roman"/>
          <w:color w:val="000000" w:themeColor="text1"/>
          <w14:textFill>
            <w14:solidFill>
              <w14:schemeClr w14:val="tx1"/>
            </w14:solidFill>
          </w14:textFill>
        </w:rPr>
        <w:t>叶红外光谱仪扫描范围为4000 cm⁻¹～400 cm⁻¹，先以溴化钾空白片做背景扫描，再扫描试样片的红外图谱。试样红外光谱图应与对照品谱图一致（附录A）。软骨素钠典型的傅里叶变换红外光谱（FT-IR）频率（cm⁻¹）有3418（b）、1615（s）、1411（m）、1045（s），各谱带的具体范围：3318～3518、1607～1623、1403～1419、1037～1053。注：s为强峰，m为中等峰，w为弱峰，b为宽峰。</w:t>
      </w:r>
    </w:p>
    <w:p w14:paraId="70824AD8">
      <w:pPr>
        <w:pStyle w:val="27"/>
        <w:numPr>
          <w:ilvl w:val="2"/>
          <w:numId w:val="0"/>
        </w:numPr>
        <w:spacing w:before="240" w:beforeLines="100" w:after="240" w:afterLines="100"/>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t>6.3.2 钠盐鉴别反应</w:t>
      </w:r>
    </w:p>
    <w:p w14:paraId="092B2A62">
      <w:pPr>
        <w:pStyle w:val="24"/>
        <w:spacing w:before="240" w:beforeLines="100" w:after="240" w:afterLines="100"/>
        <w:ind w:firstLine="420"/>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t>取铂丝，用盐酸湿润后，蘸取pH项下供试液（6.6.2），在无色火焰中燃烧，火焰应显鲜黄色。</w:t>
      </w:r>
    </w:p>
    <w:p w14:paraId="7EC5E91F">
      <w:pPr>
        <w:pStyle w:val="27"/>
        <w:numPr>
          <w:ilvl w:val="2"/>
          <w:numId w:val="0"/>
        </w:numPr>
        <w:spacing w:before="240" w:beforeLines="100" w:after="240" w:afterLines="100"/>
        <w:rPr>
          <w:rFonts w:ascii="Times New Roman" w:eastAsia="宋体"/>
          <w:color w:val="000000" w:themeColor="text1"/>
          <w14:textFill>
            <w14:solidFill>
              <w14:schemeClr w14:val="tx1"/>
            </w14:solidFill>
          </w14:textFill>
        </w:rPr>
      </w:pPr>
      <w:bookmarkStart w:id="39" w:name="OLE_LINK2"/>
      <w:bookmarkStart w:id="40" w:name="OLE_LINK1"/>
      <w:r>
        <w:rPr>
          <w:rFonts w:ascii="Times New Roman"/>
          <w:color w:val="000000" w:themeColor="text1"/>
          <w14:textFill>
            <w14:solidFill>
              <w14:schemeClr w14:val="tx1"/>
            </w14:solidFill>
          </w14:textFill>
        </w:rPr>
        <w:t>6.4 含量</w:t>
      </w:r>
    </w:p>
    <w:p w14:paraId="62F103F4">
      <w:pPr>
        <w:pStyle w:val="27"/>
        <w:numPr>
          <w:ilvl w:val="2"/>
          <w:numId w:val="0"/>
        </w:numPr>
        <w:spacing w:before="240" w:beforeLines="100" w:after="240" w:afterLines="100"/>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t>6.4.1 方法提要</w:t>
      </w:r>
    </w:p>
    <w:p w14:paraId="081B50C5">
      <w:pPr>
        <w:pStyle w:val="24"/>
        <w:spacing w:before="240" w:beforeLines="100" w:after="240" w:afterLines="100"/>
        <w:ind w:firstLine="420"/>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t>软骨素钠在酸性条件下与咔唑试剂发生显色反应，采用紫外-可见分光光度法在530 nm波长处测定吸光度，按标准曲线法计算含量。</w:t>
      </w:r>
    </w:p>
    <w:p w14:paraId="13CD3A76">
      <w:pPr>
        <w:pStyle w:val="27"/>
        <w:numPr>
          <w:ilvl w:val="2"/>
          <w:numId w:val="0"/>
        </w:numPr>
        <w:spacing w:before="240" w:beforeLines="100" w:after="240" w:afterLines="100"/>
        <w:rPr>
          <w:rFonts w:ascii="Times New Roman" w:eastAsia="宋体"/>
          <w:color w:val="000000" w:themeColor="text1"/>
          <w14:textFill>
            <w14:solidFill>
              <w14:schemeClr w14:val="tx1"/>
            </w14:solidFill>
          </w14:textFill>
        </w:rPr>
      </w:pPr>
      <w:r>
        <w:rPr>
          <w:rFonts w:ascii="Times New Roman"/>
          <w:color w:val="000000" w:themeColor="text1"/>
          <w14:textFill>
            <w14:solidFill>
              <w14:schemeClr w14:val="tx1"/>
            </w14:solidFill>
          </w14:textFill>
        </w:rPr>
        <w:t>6.4.2 仪器</w:t>
      </w:r>
    </w:p>
    <w:p w14:paraId="389D88CF">
      <w:pPr>
        <w:pStyle w:val="24"/>
        <w:spacing w:before="240" w:beforeLines="100" w:after="240" w:afterLines="100"/>
        <w:ind w:firstLine="420"/>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t>6.4.2.1 紫外可见分光光度计。</w:t>
      </w:r>
    </w:p>
    <w:p w14:paraId="592BD467">
      <w:pPr>
        <w:pStyle w:val="24"/>
        <w:spacing w:before="240" w:beforeLines="100" w:after="240" w:afterLines="100"/>
        <w:ind w:firstLine="420"/>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t>6.4.2.2 电子天平，精度0.1 mg。</w:t>
      </w:r>
    </w:p>
    <w:p w14:paraId="7D871470">
      <w:pPr>
        <w:pStyle w:val="24"/>
        <w:spacing w:before="240" w:beforeLines="100" w:after="240" w:afterLines="100"/>
        <w:ind w:firstLine="420"/>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t>6.4.2.3 漩涡混合器。</w:t>
      </w:r>
    </w:p>
    <w:p w14:paraId="7D0C2AC9">
      <w:pPr>
        <w:pStyle w:val="27"/>
        <w:numPr>
          <w:ilvl w:val="2"/>
          <w:numId w:val="0"/>
        </w:numPr>
        <w:spacing w:before="240" w:beforeLines="100" w:after="240" w:afterLines="100"/>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t>6.4.3 试剂和溶液</w:t>
      </w:r>
    </w:p>
    <w:p w14:paraId="6A2EFA1C">
      <w:pPr>
        <w:pStyle w:val="24"/>
        <w:spacing w:before="240" w:beforeLines="100" w:after="240" w:afterLines="100"/>
        <w:ind w:firstLine="420"/>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t>6.4.3.1 0.025 mol/L硼砂硫酸溶液：称取4.77 g硼砂，溶于优级纯浓硫酸500 mL中，摇匀即得。</w:t>
      </w:r>
    </w:p>
    <w:p w14:paraId="34BFC26E">
      <w:pPr>
        <w:pStyle w:val="24"/>
        <w:spacing w:before="240" w:beforeLines="100" w:after="240" w:afterLines="100"/>
        <w:ind w:firstLine="420"/>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t>6.4.3.2 咔唑试液：称取咔唑0.125 g，加无水乙醇100 mL，振摇使溶解，即得。本液应置</w:t>
      </w:r>
      <w:r>
        <w:rPr>
          <w:rFonts w:hint="eastAsia" w:ascii="Times New Roman"/>
          <w:color w:val="000000" w:themeColor="text1"/>
          <w14:textFill>
            <w14:solidFill>
              <w14:schemeClr w14:val="tx1"/>
            </w14:solidFill>
          </w14:textFill>
        </w:rPr>
        <w:t>于</w:t>
      </w:r>
      <w:r>
        <w:rPr>
          <w:rFonts w:ascii="Times New Roman"/>
          <w:color w:val="000000" w:themeColor="text1"/>
          <w14:textFill>
            <w14:solidFill>
              <w14:schemeClr w14:val="tx1"/>
            </w14:solidFill>
          </w14:textFill>
        </w:rPr>
        <w:t>棕色玻璃瓶中，密塞，置暗处保存。</w:t>
      </w:r>
    </w:p>
    <w:p w14:paraId="777E544A">
      <w:pPr>
        <w:pStyle w:val="24"/>
        <w:spacing w:before="240" w:beforeLines="100" w:after="240" w:afterLines="100"/>
        <w:ind w:firstLine="420"/>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t>6.4.3.3 葡萄糖醛酸对照品。</w:t>
      </w:r>
    </w:p>
    <w:p w14:paraId="3F179F62">
      <w:pPr>
        <w:pStyle w:val="27"/>
        <w:numPr>
          <w:ilvl w:val="2"/>
          <w:numId w:val="0"/>
        </w:numPr>
        <w:spacing w:before="240" w:beforeLines="100" w:after="240" w:afterLines="100"/>
        <w:rPr>
          <w:rFonts w:ascii="Times New Roman" w:eastAsia="宋体"/>
          <w:color w:val="000000" w:themeColor="text1"/>
          <w14:textFill>
            <w14:solidFill>
              <w14:schemeClr w14:val="tx1"/>
            </w14:solidFill>
          </w14:textFill>
        </w:rPr>
      </w:pPr>
      <w:r>
        <w:rPr>
          <w:rFonts w:ascii="Times New Roman"/>
          <w:color w:val="000000" w:themeColor="text1"/>
          <w14:textFill>
            <w14:solidFill>
              <w14:schemeClr w14:val="tx1"/>
            </w14:solidFill>
          </w14:textFill>
        </w:rPr>
        <w:t>6.4.4 对照品溶液制备</w:t>
      </w:r>
    </w:p>
    <w:p w14:paraId="5E577B62">
      <w:pPr>
        <w:pStyle w:val="24"/>
        <w:spacing w:before="240" w:beforeLines="100" w:after="240" w:afterLines="100"/>
        <w:ind w:firstLine="420"/>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t>精密称取经105 ℃，以五氧化二磷为干燥剂，干燥至恒重</w:t>
      </w:r>
      <w:r>
        <w:rPr>
          <w:rFonts w:ascii="Times New Roman"/>
        </w:rPr>
        <w:t>或</w:t>
      </w:r>
      <w:r>
        <w:rPr>
          <w:rFonts w:hint="eastAsia" w:ascii="Times New Roman"/>
        </w:rPr>
        <w:t>按</w:t>
      </w:r>
      <w:r>
        <w:rPr>
          <w:rFonts w:ascii="Times New Roman"/>
        </w:rPr>
        <w:t>照对照品说明书处理</w:t>
      </w:r>
      <w:r>
        <w:rPr>
          <w:rFonts w:ascii="Times New Roman"/>
          <w:color w:val="000000" w:themeColor="text1"/>
          <w14:textFill>
            <w14:solidFill>
              <w14:schemeClr w14:val="tx1"/>
            </w14:solidFill>
          </w14:textFill>
        </w:rPr>
        <w:t>的葡萄糖醛酸对照品约0.1 g（Wₛ），置</w:t>
      </w:r>
      <w:r>
        <w:rPr>
          <w:rFonts w:hint="eastAsia" w:ascii="Times New Roman"/>
          <w:color w:val="000000" w:themeColor="text1"/>
          <w14:textFill>
            <w14:solidFill>
              <w14:schemeClr w14:val="tx1"/>
            </w14:solidFill>
          </w14:textFill>
        </w:rPr>
        <w:t>于</w:t>
      </w:r>
      <w:r>
        <w:rPr>
          <w:rFonts w:ascii="Times New Roman"/>
          <w:color w:val="000000" w:themeColor="text1"/>
          <w14:textFill>
            <w14:solidFill>
              <w14:schemeClr w14:val="tx1"/>
            </w14:solidFill>
          </w14:textFill>
        </w:rPr>
        <w:t>100</w:t>
      </w:r>
      <w:r>
        <w:rPr>
          <w:rFonts w:hint="eastAsia" w:ascii="Times New Roman"/>
          <w:color w:val="000000" w:themeColor="text1"/>
          <w14:textFill>
            <w14:solidFill>
              <w14:schemeClr w14:val="tx1"/>
            </w14:solidFill>
          </w14:textFill>
        </w:rPr>
        <w:t xml:space="preserve"> </w:t>
      </w:r>
      <w:r>
        <w:rPr>
          <w:rFonts w:ascii="Times New Roman"/>
          <w:color w:val="000000" w:themeColor="text1"/>
          <w14:textFill>
            <w14:solidFill>
              <w14:schemeClr w14:val="tx1"/>
            </w14:solidFill>
          </w14:textFill>
        </w:rPr>
        <w:t>mL容量瓶中，加水溶解稀释至刻度，摇匀，作为贮备液。精密量取贮备液5 mL，置</w:t>
      </w:r>
      <w:r>
        <w:rPr>
          <w:rFonts w:hint="eastAsia" w:ascii="Times New Roman"/>
          <w:color w:val="000000" w:themeColor="text1"/>
          <w14:textFill>
            <w14:solidFill>
              <w14:schemeClr w14:val="tx1"/>
            </w14:solidFill>
          </w14:textFill>
        </w:rPr>
        <w:t>于</w:t>
      </w:r>
      <w:r>
        <w:rPr>
          <w:rFonts w:ascii="Times New Roman"/>
          <w:color w:val="000000" w:themeColor="text1"/>
          <w14:textFill>
            <w14:solidFill>
              <w14:schemeClr w14:val="tx1"/>
            </w14:solidFill>
          </w14:textFill>
        </w:rPr>
        <w:t>100 mL容量瓶中，加水制成每1 mL中含50 μg的溶液，摇匀。按下式计算葡萄糖醛酸对照溶液的浓度：</w:t>
      </w:r>
    </w:p>
    <w:p w14:paraId="07EA29D7">
      <w:pPr>
        <w:widowControl/>
        <w:tabs>
          <w:tab w:val="center" w:pos="4201"/>
          <w:tab w:val="right" w:leader="dot" w:pos="9298"/>
        </w:tabs>
        <w:autoSpaceDE w:val="0"/>
        <w:autoSpaceDN w:val="0"/>
        <w:ind w:firstLine="420" w:firstLineChars="200"/>
        <w:rPr>
          <w:rFonts w:ascii="Times New Roman" w:hAnsi="Times New Roman" w:cs="Times New Roman"/>
          <w:color w:val="000000" w:themeColor="text1"/>
          <w:szCs w:val="21"/>
          <w14:textFill>
            <w14:solidFill>
              <w14:schemeClr w14:val="tx1"/>
            </w14:solidFill>
          </w14:textFill>
        </w:rPr>
      </w:pPr>
      <m:oMathPara>
        <m:oMath>
          <m:sSub>
            <m:sSubPr>
              <m:ctrlPr>
                <w:rPr>
                  <w:rFonts w:ascii="Cambria Math" w:hAnsi="Cambria Math" w:cs="Times New Roman"/>
                  <w:kern w:val="0"/>
                  <w:szCs w:val="21"/>
                </w:rPr>
              </m:ctrlPr>
            </m:sSubPr>
            <m:e>
              <m:r>
                <m:rPr>
                  <m:nor/>
                  <m:sty m:val="p"/>
                </m:rPr>
                <w:rPr>
                  <w:rFonts w:ascii="Times New Roman" w:hAnsi="Times New Roman" w:cs="Times New Roman"/>
                  <w:b w:val="0"/>
                  <w:i w:val="0"/>
                  <w:kern w:val="0"/>
                  <w:szCs w:val="21"/>
                </w:rPr>
                <m:t>C</m:t>
              </m:r>
              <m:ctrlPr>
                <w:rPr>
                  <w:rFonts w:ascii="Cambria Math" w:hAnsi="Cambria Math" w:cs="Times New Roman"/>
                  <w:kern w:val="0"/>
                  <w:szCs w:val="21"/>
                </w:rPr>
              </m:ctrlPr>
            </m:e>
            <m:sub>
              <m:r>
                <m:rPr>
                  <m:nor/>
                  <m:sty m:val="p"/>
                </m:rPr>
                <w:rPr>
                  <w:rFonts w:ascii="Times New Roman" w:hAnsi="Times New Roman" w:cs="Times New Roman"/>
                  <w:b w:val="0"/>
                  <w:i w:val="0"/>
                  <w:kern w:val="0"/>
                  <w:szCs w:val="21"/>
                </w:rPr>
                <m:t>s0</m:t>
              </m:r>
              <m:ctrlPr>
                <w:rPr>
                  <w:rFonts w:ascii="Cambria Math" w:hAnsi="Cambria Math" w:cs="Times New Roman"/>
                  <w:kern w:val="0"/>
                  <w:szCs w:val="21"/>
                </w:rPr>
              </m:ctrlPr>
            </m:sub>
          </m:sSub>
          <m:r>
            <m:rPr>
              <m:nor/>
              <m:sty m:val="p"/>
            </m:rPr>
            <w:rPr>
              <w:rFonts w:ascii="Times New Roman" w:hAnsi="Times New Roman" w:cs="Times New Roman"/>
              <w:b w:val="0"/>
              <w:i w:val="0"/>
              <w:kern w:val="0"/>
              <w:szCs w:val="21"/>
            </w:rPr>
            <m:t>（μg/mL）=</m:t>
          </m:r>
          <m:f>
            <m:fPr>
              <m:ctrlPr>
                <w:rPr>
                  <w:rFonts w:ascii="Cambria Math" w:hAnsi="Cambria Math" w:cs="Times New Roman"/>
                  <w:kern w:val="0"/>
                  <w:szCs w:val="21"/>
                </w:rPr>
              </m:ctrlPr>
            </m:fPr>
            <m:num>
              <m:sSub>
                <m:sSubPr>
                  <m:ctrlPr>
                    <w:rPr>
                      <w:rFonts w:ascii="Cambria Math" w:hAnsi="Cambria Math" w:cs="Times New Roman"/>
                      <w:kern w:val="0"/>
                      <w:szCs w:val="21"/>
                    </w:rPr>
                  </m:ctrlPr>
                </m:sSubPr>
                <m:e>
                  <m:r>
                    <m:rPr>
                      <m:nor/>
                      <m:sty m:val="p"/>
                    </m:rPr>
                    <w:rPr>
                      <w:rFonts w:ascii="Times New Roman" w:hAnsi="Times New Roman" w:cs="Times New Roman"/>
                      <w:b w:val="0"/>
                      <w:i w:val="0"/>
                      <w:kern w:val="0"/>
                      <w:szCs w:val="21"/>
                    </w:rPr>
                    <m:t>W</m:t>
                  </m:r>
                  <m:ctrlPr>
                    <w:rPr>
                      <w:rFonts w:ascii="Cambria Math" w:hAnsi="Cambria Math" w:cs="Times New Roman"/>
                      <w:kern w:val="0"/>
                      <w:szCs w:val="21"/>
                    </w:rPr>
                  </m:ctrlPr>
                </m:e>
                <m:sub>
                  <m:r>
                    <m:rPr>
                      <m:nor/>
                      <m:sty m:val="p"/>
                    </m:rPr>
                    <w:rPr>
                      <w:rFonts w:ascii="Times New Roman" w:hAnsi="Times New Roman" w:cs="Times New Roman"/>
                      <w:b w:val="0"/>
                      <w:i w:val="0"/>
                      <w:kern w:val="0"/>
                      <w:szCs w:val="21"/>
                    </w:rPr>
                    <m:t>s</m:t>
                  </m:r>
                  <m:ctrlPr>
                    <w:rPr>
                      <w:rFonts w:ascii="Cambria Math" w:hAnsi="Cambria Math" w:cs="Times New Roman"/>
                      <w:kern w:val="0"/>
                      <w:szCs w:val="21"/>
                    </w:rPr>
                  </m:ctrlPr>
                </m:sub>
              </m:sSub>
              <m:r>
                <m:rPr>
                  <m:nor/>
                  <m:sty m:val="p"/>
                </m:rPr>
                <w:rPr>
                  <w:rFonts w:ascii="Times New Roman" w:hAnsi="Times New Roman" w:cs="Times New Roman"/>
                  <w:b w:val="0"/>
                  <w:i w:val="0"/>
                  <w:kern w:val="0"/>
                  <w:szCs w:val="21"/>
                </w:rPr>
                <m:t>×5×</m:t>
              </m:r>
              <m:sSup>
                <m:sSupPr>
                  <m:ctrlPr>
                    <w:rPr>
                      <w:rFonts w:ascii="Cambria Math" w:hAnsi="Cambria Math" w:cs="Times New Roman"/>
                      <w:kern w:val="0"/>
                      <w:szCs w:val="21"/>
                    </w:rPr>
                  </m:ctrlPr>
                </m:sSupPr>
                <m:e>
                  <m:r>
                    <m:rPr>
                      <m:nor/>
                      <m:sty m:val="p"/>
                    </m:rPr>
                    <w:rPr>
                      <w:rFonts w:ascii="Times New Roman" w:hAnsi="Times New Roman" w:cs="Times New Roman"/>
                      <w:b w:val="0"/>
                      <w:i w:val="0"/>
                      <w:kern w:val="0"/>
                      <w:szCs w:val="21"/>
                    </w:rPr>
                    <m:t>10</m:t>
                  </m:r>
                  <m:ctrlPr>
                    <w:rPr>
                      <w:rFonts w:ascii="Cambria Math" w:hAnsi="Cambria Math" w:cs="Times New Roman"/>
                      <w:kern w:val="0"/>
                      <w:szCs w:val="21"/>
                    </w:rPr>
                  </m:ctrlPr>
                </m:e>
                <m:sup>
                  <m:r>
                    <m:rPr>
                      <m:nor/>
                      <m:sty m:val="p"/>
                    </m:rPr>
                    <w:rPr>
                      <w:rFonts w:ascii="Times New Roman" w:hAnsi="Times New Roman" w:cs="Times New Roman"/>
                      <w:b w:val="0"/>
                      <w:i w:val="0"/>
                      <w:kern w:val="0"/>
                      <w:szCs w:val="21"/>
                    </w:rPr>
                    <m:t>6</m:t>
                  </m:r>
                  <m:ctrlPr>
                    <w:rPr>
                      <w:rFonts w:ascii="Cambria Math" w:hAnsi="Cambria Math" w:cs="Times New Roman"/>
                      <w:kern w:val="0"/>
                      <w:szCs w:val="21"/>
                    </w:rPr>
                  </m:ctrlPr>
                </m:sup>
              </m:sSup>
              <m:ctrlPr>
                <w:rPr>
                  <w:rFonts w:ascii="Cambria Math" w:hAnsi="Cambria Math" w:cs="Times New Roman"/>
                  <w:kern w:val="0"/>
                  <w:szCs w:val="21"/>
                </w:rPr>
              </m:ctrlPr>
            </m:num>
            <m:den>
              <m:r>
                <m:rPr>
                  <m:nor/>
                  <m:sty m:val="p"/>
                </m:rPr>
                <w:rPr>
                  <w:rFonts w:ascii="Times New Roman" w:hAnsi="Times New Roman" w:cs="Times New Roman"/>
                  <w:b w:val="0"/>
                  <w:i w:val="0"/>
                  <w:kern w:val="0"/>
                  <w:szCs w:val="21"/>
                </w:rPr>
                <m:t>100×100</m:t>
              </m:r>
              <m:ctrlPr>
                <w:rPr>
                  <w:rFonts w:ascii="Cambria Math" w:hAnsi="Cambria Math" w:cs="Times New Roman"/>
                  <w:kern w:val="0"/>
                  <w:szCs w:val="21"/>
                </w:rPr>
              </m:ctrlPr>
            </m:den>
          </m:f>
          <m:r>
            <m:rPr>
              <m:nor/>
              <m:sty m:val="p"/>
            </m:rPr>
            <w:rPr>
              <w:rFonts w:ascii="Times New Roman" w:hAnsi="Times New Roman" w:cs="Times New Roman"/>
              <w:b w:val="0"/>
              <w:i w:val="0"/>
              <w:kern w:val="0"/>
              <w:szCs w:val="21"/>
            </w:rPr>
            <m:t>×Z</m:t>
          </m:r>
        </m:oMath>
      </m:oMathPara>
    </w:p>
    <w:p w14:paraId="57C767A1">
      <w:pPr>
        <w:pStyle w:val="24"/>
        <w:spacing w:before="240" w:beforeLines="100" w:after="240" w:afterLines="100"/>
        <w:ind w:firstLine="420"/>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t>式中：</w:t>
      </w:r>
    </w:p>
    <w:p w14:paraId="4DCBA1B8">
      <w:pPr>
        <w:pStyle w:val="24"/>
        <w:spacing w:before="240" w:beforeLines="100" w:after="240" w:afterLines="100"/>
        <w:ind w:firstLine="420"/>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t>Wₛ —— 葡萄糖醛酸对照品的称样量，单位为克（g）；</w:t>
      </w:r>
    </w:p>
    <w:p w14:paraId="742B6718">
      <w:pPr>
        <w:pStyle w:val="24"/>
        <w:spacing w:before="240" w:beforeLines="100" w:after="240" w:afterLines="100"/>
        <w:ind w:firstLine="420"/>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t>Z —— 葡萄糖醛酸对照品的含量，单位为</w:t>
      </w:r>
      <w:r>
        <w:rPr>
          <w:rFonts w:hint="eastAsia" w:ascii="Times New Roman"/>
          <w:color w:val="000000" w:themeColor="text1"/>
          <w14:textFill>
            <w14:solidFill>
              <w14:schemeClr w14:val="tx1"/>
            </w14:solidFill>
          </w14:textFill>
        </w:rPr>
        <w:t>%</w:t>
      </w:r>
      <w:r>
        <w:rPr>
          <w:rFonts w:ascii="Times New Roman"/>
          <w:color w:val="000000" w:themeColor="text1"/>
          <w14:textFill>
            <w14:solidFill>
              <w14:schemeClr w14:val="tx1"/>
            </w14:solidFill>
          </w14:textFill>
        </w:rPr>
        <w:t>。</w:t>
      </w:r>
    </w:p>
    <w:p w14:paraId="7C359267">
      <w:pPr>
        <w:pStyle w:val="27"/>
        <w:numPr>
          <w:ilvl w:val="2"/>
          <w:numId w:val="0"/>
        </w:numPr>
        <w:spacing w:before="240" w:beforeLines="100" w:after="240" w:afterLines="100"/>
        <w:rPr>
          <w:rFonts w:ascii="Times New Roman" w:eastAsia="宋体"/>
          <w:color w:val="000000" w:themeColor="text1"/>
          <w14:textFill>
            <w14:solidFill>
              <w14:schemeClr w14:val="tx1"/>
            </w14:solidFill>
          </w14:textFill>
        </w:rPr>
      </w:pPr>
      <w:r>
        <w:rPr>
          <w:rFonts w:ascii="Times New Roman"/>
          <w:color w:val="000000" w:themeColor="text1"/>
          <w14:textFill>
            <w14:solidFill>
              <w14:schemeClr w14:val="tx1"/>
            </w14:solidFill>
          </w14:textFill>
        </w:rPr>
        <w:t>6.4.5 供试品溶液制备</w:t>
      </w:r>
    </w:p>
    <w:p w14:paraId="5179C684">
      <w:pPr>
        <w:pStyle w:val="24"/>
        <w:spacing w:before="240" w:beforeLines="100" w:after="240" w:afterLines="100"/>
        <w:ind w:firstLine="420"/>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t>精密称取本品约0.10 g（W₁），置</w:t>
      </w:r>
      <w:r>
        <w:rPr>
          <w:rFonts w:hint="eastAsia" w:ascii="Times New Roman"/>
          <w:color w:val="000000" w:themeColor="text1"/>
          <w14:textFill>
            <w14:solidFill>
              <w14:schemeClr w14:val="tx1"/>
            </w14:solidFill>
          </w14:textFill>
        </w:rPr>
        <w:t>于</w:t>
      </w:r>
      <w:r>
        <w:rPr>
          <w:rFonts w:ascii="Times New Roman"/>
          <w:color w:val="000000" w:themeColor="text1"/>
          <w14:textFill>
            <w14:solidFill>
              <w14:schemeClr w14:val="tx1"/>
            </w14:solidFill>
          </w14:textFill>
        </w:rPr>
        <w:t>100 mL量瓶中，加适量纯化水使样品溶胀，至完全溶解后加纯化水定容至刻度，摇匀。再</w:t>
      </w:r>
      <w:r>
        <w:rPr>
          <w:rFonts w:hint="eastAsia" w:ascii="Times New Roman"/>
          <w:color w:val="000000" w:themeColor="text1"/>
          <w14:textFill>
            <w14:solidFill>
              <w14:schemeClr w14:val="tx1"/>
            </w14:solidFill>
          </w14:textFill>
        </w:rPr>
        <w:t>称取约</w:t>
      </w:r>
      <w:r>
        <w:rPr>
          <w:rFonts w:ascii="Times New Roman"/>
          <w:color w:val="000000" w:themeColor="text1"/>
          <w14:textFill>
            <w14:solidFill>
              <w14:schemeClr w14:val="tx1"/>
            </w14:solidFill>
          </w14:textFill>
        </w:rPr>
        <w:t>4.0 g（W₂）（溶液的密度按1.000 g/mL计算，即相当于4.0 mL）置于50 mL量瓶中，加纯化水稀释至刻度，摇匀，作为供试液。供试液平行制备两份。</w:t>
      </w:r>
    </w:p>
    <w:p w14:paraId="010C33EF">
      <w:pPr>
        <w:pStyle w:val="27"/>
        <w:numPr>
          <w:ilvl w:val="2"/>
          <w:numId w:val="0"/>
        </w:numPr>
        <w:spacing w:before="240" w:beforeLines="100" w:after="240" w:afterLines="100"/>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t>6.4.6 测定</w:t>
      </w:r>
    </w:p>
    <w:p w14:paraId="274E28C3">
      <w:pPr>
        <w:pStyle w:val="24"/>
        <w:spacing w:before="240" w:beforeLines="100" w:after="240" w:afterLines="100"/>
        <w:ind w:firstLine="420"/>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t>精密量取对照品溶液0</w:t>
      </w:r>
      <w:r>
        <w:rPr>
          <w:rFonts w:hint="eastAsia" w:ascii="Times New Roman"/>
          <w:color w:val="000000" w:themeColor="text1"/>
          <w14:textFill>
            <w14:solidFill>
              <w14:schemeClr w14:val="tx1"/>
            </w14:solidFill>
          </w14:textFill>
        </w:rPr>
        <w:t xml:space="preserve"> </w:t>
      </w:r>
      <w:r>
        <w:rPr>
          <w:rFonts w:ascii="Times New Roman"/>
          <w:color w:val="000000" w:themeColor="text1"/>
          <w14:textFill>
            <w14:solidFill>
              <w14:schemeClr w14:val="tx1"/>
            </w14:solidFill>
          </w14:textFill>
        </w:rPr>
        <w:t>mL、0.2</w:t>
      </w:r>
      <w:r>
        <w:rPr>
          <w:rFonts w:hint="eastAsia" w:ascii="Times New Roman"/>
          <w:color w:val="000000" w:themeColor="text1"/>
          <w14:textFill>
            <w14:solidFill>
              <w14:schemeClr w14:val="tx1"/>
            </w14:solidFill>
          </w14:textFill>
        </w:rPr>
        <w:t xml:space="preserve"> </w:t>
      </w:r>
      <w:r>
        <w:rPr>
          <w:rFonts w:ascii="Times New Roman"/>
          <w:color w:val="000000" w:themeColor="text1"/>
          <w14:textFill>
            <w14:solidFill>
              <w14:schemeClr w14:val="tx1"/>
            </w14:solidFill>
          </w14:textFill>
        </w:rPr>
        <w:t>mL、0.4</w:t>
      </w:r>
      <w:r>
        <w:rPr>
          <w:rFonts w:hint="eastAsia" w:ascii="Times New Roman"/>
          <w:color w:val="000000" w:themeColor="text1"/>
          <w14:textFill>
            <w14:solidFill>
              <w14:schemeClr w14:val="tx1"/>
            </w14:solidFill>
          </w14:textFill>
        </w:rPr>
        <w:t xml:space="preserve"> </w:t>
      </w:r>
      <w:r>
        <w:rPr>
          <w:rFonts w:ascii="Times New Roman"/>
          <w:color w:val="000000" w:themeColor="text1"/>
          <w14:textFill>
            <w14:solidFill>
              <w14:schemeClr w14:val="tx1"/>
            </w14:solidFill>
          </w14:textFill>
        </w:rPr>
        <w:t>mL、0.6</w:t>
      </w:r>
      <w:r>
        <w:rPr>
          <w:rFonts w:hint="eastAsia" w:ascii="Times New Roman"/>
          <w:color w:val="000000" w:themeColor="text1"/>
          <w14:textFill>
            <w14:solidFill>
              <w14:schemeClr w14:val="tx1"/>
            </w14:solidFill>
          </w14:textFill>
        </w:rPr>
        <w:t xml:space="preserve"> </w:t>
      </w:r>
      <w:r>
        <w:rPr>
          <w:rFonts w:ascii="Times New Roman"/>
          <w:color w:val="000000" w:themeColor="text1"/>
          <w14:textFill>
            <w14:solidFill>
              <w14:schemeClr w14:val="tx1"/>
            </w14:solidFill>
          </w14:textFill>
        </w:rPr>
        <w:t>mL、0.8</w:t>
      </w:r>
      <w:r>
        <w:rPr>
          <w:rFonts w:hint="eastAsia" w:ascii="Times New Roman"/>
          <w:color w:val="000000" w:themeColor="text1"/>
          <w14:textFill>
            <w14:solidFill>
              <w14:schemeClr w14:val="tx1"/>
            </w14:solidFill>
          </w14:textFill>
        </w:rPr>
        <w:t xml:space="preserve"> </w:t>
      </w:r>
      <w:r>
        <w:rPr>
          <w:rFonts w:ascii="Times New Roman"/>
          <w:color w:val="000000" w:themeColor="text1"/>
          <w14:textFill>
            <w14:solidFill>
              <w14:schemeClr w14:val="tx1"/>
            </w14:solidFill>
          </w14:textFill>
        </w:rPr>
        <w:t>mL和1.0 mL，分别置</w:t>
      </w:r>
      <w:r>
        <w:rPr>
          <w:rFonts w:hint="eastAsia" w:ascii="Times New Roman"/>
          <w:color w:val="000000" w:themeColor="text1"/>
          <w14:textFill>
            <w14:solidFill>
              <w14:schemeClr w14:val="tx1"/>
            </w14:solidFill>
          </w14:textFill>
        </w:rPr>
        <w:t>于</w:t>
      </w:r>
      <w:r>
        <w:rPr>
          <w:rFonts w:ascii="Times New Roman"/>
          <w:color w:val="000000" w:themeColor="text1"/>
          <w14:textFill>
            <w14:solidFill>
              <w14:schemeClr w14:val="tx1"/>
            </w14:solidFill>
          </w14:textFill>
        </w:rPr>
        <w:t>具塞试管中，各加水至1.0 mL，混匀</w:t>
      </w:r>
      <w:r>
        <w:rPr>
          <w:rFonts w:ascii="Times New Roman"/>
        </w:rPr>
        <w:t>置</w:t>
      </w:r>
      <w:r>
        <w:rPr>
          <w:rFonts w:hint="eastAsia" w:ascii="Times New Roman"/>
        </w:rPr>
        <w:t>于</w:t>
      </w:r>
      <w:r>
        <w:rPr>
          <w:rFonts w:ascii="Times New Roman"/>
        </w:rPr>
        <w:t>冰水浴中</w:t>
      </w:r>
      <w:r>
        <w:rPr>
          <w:rFonts w:ascii="Times New Roman"/>
          <w:color w:val="000000" w:themeColor="text1"/>
          <w14:textFill>
            <w14:solidFill>
              <w14:schemeClr w14:val="tx1"/>
            </w14:solidFill>
          </w14:textFill>
        </w:rPr>
        <w:t>，加入5.0 mL 0.025 mol/L硼砂硫酸溶液，混匀，置</w:t>
      </w:r>
      <w:r>
        <w:rPr>
          <w:rFonts w:hint="eastAsia" w:ascii="Times New Roman"/>
          <w:color w:val="000000" w:themeColor="text1"/>
          <w14:textFill>
            <w14:solidFill>
              <w14:schemeClr w14:val="tx1"/>
            </w14:solidFill>
          </w14:textFill>
        </w:rPr>
        <w:t>于</w:t>
      </w:r>
      <w:r>
        <w:rPr>
          <w:rFonts w:ascii="Times New Roman"/>
          <w:color w:val="000000" w:themeColor="text1"/>
          <w14:textFill>
            <w14:solidFill>
              <w14:schemeClr w14:val="tx1"/>
            </w14:solidFill>
          </w14:textFill>
        </w:rPr>
        <w:t>沸水浴中加热10分钟，置</w:t>
      </w:r>
      <w:r>
        <w:rPr>
          <w:rFonts w:hint="eastAsia" w:ascii="Times New Roman"/>
          <w:color w:val="000000" w:themeColor="text1"/>
          <w14:textFill>
            <w14:solidFill>
              <w14:schemeClr w14:val="tx1"/>
            </w14:solidFill>
          </w14:textFill>
        </w:rPr>
        <w:t>于</w:t>
      </w:r>
      <w:r>
        <w:rPr>
          <w:rFonts w:ascii="Times New Roman"/>
          <w:color w:val="000000" w:themeColor="text1"/>
          <w14:textFill>
            <w14:solidFill>
              <w14:schemeClr w14:val="tx1"/>
            </w14:solidFill>
          </w14:textFill>
        </w:rPr>
        <w:t>冰水中放冷。精密加入咔唑试液200 μL，摇匀，置</w:t>
      </w:r>
      <w:r>
        <w:rPr>
          <w:rFonts w:hint="eastAsia" w:ascii="Times New Roman"/>
          <w:color w:val="000000" w:themeColor="text1"/>
          <w14:textFill>
            <w14:solidFill>
              <w14:schemeClr w14:val="tx1"/>
            </w14:solidFill>
          </w14:textFill>
        </w:rPr>
        <w:t>于</w:t>
      </w:r>
      <w:r>
        <w:rPr>
          <w:rFonts w:ascii="Times New Roman"/>
          <w:color w:val="000000" w:themeColor="text1"/>
          <w14:textFill>
            <w14:solidFill>
              <w14:schemeClr w14:val="tx1"/>
            </w14:solidFill>
          </w14:textFill>
        </w:rPr>
        <w:t>沸水浴中加热15分钟，置</w:t>
      </w:r>
      <w:r>
        <w:rPr>
          <w:rFonts w:hint="eastAsia" w:ascii="Times New Roman"/>
          <w:color w:val="000000" w:themeColor="text1"/>
          <w14:textFill>
            <w14:solidFill>
              <w14:schemeClr w14:val="tx1"/>
            </w14:solidFill>
          </w14:textFill>
        </w:rPr>
        <w:t>于</w:t>
      </w:r>
      <w:r>
        <w:rPr>
          <w:rFonts w:ascii="Times New Roman"/>
          <w:color w:val="000000" w:themeColor="text1"/>
          <w14:textFill>
            <w14:solidFill>
              <w14:schemeClr w14:val="tx1"/>
            </w14:solidFill>
          </w14:textFill>
        </w:rPr>
        <w:t>冰水中放冷。</w:t>
      </w:r>
      <w:r>
        <w:rPr>
          <w:rFonts w:hint="eastAsia" w:ascii="Times New Roman"/>
          <w:color w:val="000000" w:themeColor="text1"/>
          <w14:textFill>
            <w14:solidFill>
              <w14:schemeClr w14:val="tx1"/>
            </w14:solidFill>
          </w14:textFill>
        </w:rPr>
        <w:t>按</w:t>
      </w:r>
      <w:r>
        <w:rPr>
          <w:rFonts w:ascii="Times New Roman"/>
          <w:color w:val="000000" w:themeColor="text1"/>
          <w14:textFill>
            <w14:solidFill>
              <w14:schemeClr w14:val="tx1"/>
            </w14:solidFill>
          </w14:textFill>
        </w:rPr>
        <w:t>照紫外可见分光光度法（《中华人民共和国药典》（2025年版）四部通则0401），在530 nm波长处测定吸光度，以葡萄糖醛酸的浓度（μg/mL）与吸光度绘制标准曲线，计算回归方程及相关系数（要求r</w:t>
      </w:r>
      <w:r>
        <w:rPr>
          <w:rFonts w:hint="eastAsia"/>
        </w:rPr>
        <w:t>≥</w:t>
      </w:r>
      <w:r>
        <w:rPr>
          <w:rFonts w:ascii="Times New Roman"/>
        </w:rPr>
        <w:t>0.995</w:t>
      </w:r>
      <w:r>
        <w:rPr>
          <w:rFonts w:ascii="Times New Roman"/>
          <w:color w:val="000000" w:themeColor="text1"/>
          <w14:textFill>
            <w14:solidFill>
              <w14:schemeClr w14:val="tx1"/>
            </w14:solidFill>
          </w14:textFill>
        </w:rPr>
        <w:t>）。</w:t>
      </w:r>
    </w:p>
    <w:p w14:paraId="105944E8">
      <w:pPr>
        <w:pStyle w:val="24"/>
        <w:spacing w:before="240" w:beforeLines="100" w:after="240" w:afterLines="100"/>
        <w:ind w:firstLine="420"/>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t>精密量取供试液1.0 mL，每份平行制备两支试管，</w:t>
      </w:r>
      <w:r>
        <w:rPr>
          <w:rFonts w:hint="eastAsia" w:ascii="Times New Roman"/>
          <w:color w:val="000000" w:themeColor="text1"/>
          <w14:textFill>
            <w14:solidFill>
              <w14:schemeClr w14:val="tx1"/>
            </w14:solidFill>
          </w14:textFill>
        </w:rPr>
        <w:t>按</w:t>
      </w:r>
      <w:r>
        <w:rPr>
          <w:rFonts w:ascii="Times New Roman"/>
          <w:color w:val="000000" w:themeColor="text1"/>
          <w14:textFill>
            <w14:solidFill>
              <w14:schemeClr w14:val="tx1"/>
            </w14:solidFill>
          </w14:textFill>
        </w:rPr>
        <w:t>照标准曲线制备方法同法操作，测定吸光度，由回归方程得葡萄糖醛酸的浓度Cᵢ（μg/mL）。</w:t>
      </w:r>
    </w:p>
    <w:p w14:paraId="72DFF312">
      <w:pPr>
        <w:pStyle w:val="27"/>
        <w:numPr>
          <w:ilvl w:val="2"/>
          <w:numId w:val="0"/>
        </w:numPr>
        <w:spacing w:before="240" w:beforeLines="100" w:after="240" w:afterLines="100"/>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t>6.4.7 结果计算</w:t>
      </w:r>
    </w:p>
    <w:p w14:paraId="71EA8A54">
      <w:pPr>
        <w:pStyle w:val="24"/>
        <w:spacing w:before="240" w:beforeLines="100" w:after="240" w:afterLines="100"/>
        <w:ind w:firstLine="420"/>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t>试样中葡萄糖醛酸含量按式（1）计算：</w:t>
      </w:r>
    </w:p>
    <w:p w14:paraId="015CAFC0">
      <w:pPr>
        <w:widowControl/>
        <w:tabs>
          <w:tab w:val="center" w:pos="4201"/>
          <w:tab w:val="right" w:leader="dot" w:pos="9298"/>
        </w:tabs>
        <w:autoSpaceDE w:val="0"/>
        <w:autoSpaceDN w:val="0"/>
        <w:ind w:firstLine="420" w:firstLineChars="200"/>
        <w:rPr>
          <w:rFonts w:ascii="Times New Roman" w:hAnsi="Times New Roman" w:cs="Times New Roman"/>
          <w:i/>
          <w:kern w:val="0"/>
          <w:szCs w:val="20"/>
        </w:rPr>
      </w:pPr>
      <m:oMath>
        <m:r>
          <m:rPr>
            <m:nor/>
            <m:sty m:val="p"/>
          </m:rPr>
          <w:rPr>
            <w:rFonts w:ascii="Times New Roman" w:hAnsi="Times New Roman" w:cs="Times New Roman"/>
            <w:b w:val="0"/>
            <w:i w:val="0"/>
            <w:kern w:val="0"/>
            <w:szCs w:val="20"/>
          </w:rPr>
          <m:t>葡萄糖醛酸含量=</m:t>
        </m:r>
        <m:f>
          <m:fPr>
            <m:ctrlPr>
              <w:rPr>
                <w:rFonts w:ascii="Cambria Math" w:hAnsi="Cambria Math" w:cs="Times New Roman"/>
                <w:kern w:val="0"/>
                <w:szCs w:val="20"/>
              </w:rPr>
            </m:ctrlPr>
          </m:fPr>
          <m:num>
            <m:sSub>
              <m:sSubPr>
                <m:ctrlPr>
                  <w:rPr>
                    <w:rFonts w:ascii="Cambria Math" w:hAnsi="Cambria Math" w:cs="Times New Roman"/>
                    <w:kern w:val="0"/>
                    <w:szCs w:val="20"/>
                  </w:rPr>
                </m:ctrlPr>
              </m:sSubPr>
              <m:e>
                <m:r>
                  <m:rPr>
                    <m:nor/>
                    <m:sty m:val="p"/>
                  </m:rPr>
                  <w:rPr>
                    <w:rFonts w:ascii="Times New Roman" w:hAnsi="Times New Roman" w:cs="Times New Roman"/>
                    <w:b w:val="0"/>
                    <w:i w:val="0"/>
                    <w:kern w:val="0"/>
                    <w:szCs w:val="20"/>
                  </w:rPr>
                  <m:t>C</m:t>
                </m:r>
                <m:ctrlPr>
                  <w:rPr>
                    <w:rFonts w:ascii="Cambria Math" w:hAnsi="Cambria Math" w:cs="Times New Roman"/>
                    <w:kern w:val="0"/>
                    <w:szCs w:val="20"/>
                  </w:rPr>
                </m:ctrlPr>
              </m:e>
              <m:sub>
                <m:r>
                  <m:rPr>
                    <m:nor/>
                    <m:sty m:val="p"/>
                  </m:rPr>
                  <w:rPr>
                    <w:rFonts w:ascii="Times New Roman" w:hAnsi="Times New Roman" w:cs="Times New Roman"/>
                    <w:b w:val="0"/>
                    <w:i w:val="0"/>
                    <w:kern w:val="0"/>
                    <w:szCs w:val="20"/>
                  </w:rPr>
                  <m:t>i</m:t>
                </m:r>
                <m:ctrlPr>
                  <w:rPr>
                    <w:rFonts w:ascii="Cambria Math" w:hAnsi="Cambria Math" w:cs="Times New Roman"/>
                    <w:kern w:val="0"/>
                    <w:szCs w:val="20"/>
                  </w:rPr>
                </m:ctrlPr>
              </m:sub>
            </m:sSub>
            <m:r>
              <m:rPr>
                <m:nor/>
                <m:sty m:val="p"/>
              </m:rPr>
              <w:rPr>
                <w:rFonts w:ascii="Times New Roman" w:hAnsi="Times New Roman" w:cs="Times New Roman"/>
                <w:b w:val="0"/>
                <w:i w:val="0"/>
                <w:kern w:val="0"/>
                <w:szCs w:val="20"/>
              </w:rPr>
              <m:t>×50×100×ρ</m:t>
            </m:r>
            <m:ctrlPr>
              <w:rPr>
                <w:rFonts w:ascii="Cambria Math" w:hAnsi="Cambria Math" w:cs="Times New Roman"/>
                <w:kern w:val="0"/>
                <w:szCs w:val="20"/>
              </w:rPr>
            </m:ctrlPr>
          </m:num>
          <m:den>
            <m:sSub>
              <m:sSubPr>
                <m:ctrlPr>
                  <w:rPr>
                    <w:rFonts w:ascii="Cambria Math" w:hAnsi="Cambria Math" w:cs="Times New Roman"/>
                    <w:kern w:val="0"/>
                    <w:szCs w:val="20"/>
                  </w:rPr>
                </m:ctrlPr>
              </m:sSubPr>
              <m:e>
                <m:r>
                  <m:rPr>
                    <m:nor/>
                    <m:sty m:val="p"/>
                  </m:rPr>
                  <w:rPr>
                    <w:rFonts w:ascii="Times New Roman" w:hAnsi="Times New Roman" w:cs="Times New Roman"/>
                    <w:b w:val="0"/>
                    <w:i w:val="0"/>
                    <w:kern w:val="0"/>
                    <w:szCs w:val="20"/>
                  </w:rPr>
                  <m:t>W</m:t>
                </m:r>
                <m:ctrlPr>
                  <w:rPr>
                    <w:rFonts w:ascii="Cambria Math" w:hAnsi="Cambria Math" w:cs="Times New Roman"/>
                    <w:kern w:val="0"/>
                    <w:szCs w:val="20"/>
                  </w:rPr>
                </m:ctrlPr>
              </m:e>
              <m:sub>
                <m:r>
                  <m:rPr>
                    <m:nor/>
                    <m:sty m:val="p"/>
                  </m:rPr>
                  <w:rPr>
                    <w:rFonts w:ascii="Times New Roman" w:hAnsi="Times New Roman" w:cs="Times New Roman"/>
                    <w:b w:val="0"/>
                    <w:i w:val="0"/>
                    <w:kern w:val="0"/>
                    <w:szCs w:val="20"/>
                  </w:rPr>
                  <m:t>1</m:t>
                </m:r>
                <m:ctrlPr>
                  <w:rPr>
                    <w:rFonts w:ascii="Cambria Math" w:hAnsi="Cambria Math" w:cs="Times New Roman"/>
                    <w:kern w:val="0"/>
                    <w:szCs w:val="20"/>
                  </w:rPr>
                </m:ctrlPr>
              </m:sub>
            </m:sSub>
            <m:r>
              <m:rPr>
                <m:nor/>
                <m:sty m:val="p"/>
              </m:rPr>
              <w:rPr>
                <w:rFonts w:ascii="Times New Roman" w:hAnsi="Times New Roman" w:cs="Times New Roman"/>
                <w:b w:val="0"/>
                <w:i w:val="0"/>
                <w:kern w:val="0"/>
                <w:szCs w:val="20"/>
              </w:rPr>
              <m:t>×</m:t>
            </m:r>
            <m:d>
              <m:dPr>
                <m:begChr m:val="（"/>
                <m:endChr m:val="）"/>
                <m:ctrlPr>
                  <w:rPr>
                    <w:rFonts w:ascii="Cambria Math" w:hAnsi="Cambria Math" w:cs="Times New Roman"/>
                    <w:kern w:val="0"/>
                    <w:szCs w:val="20"/>
                  </w:rPr>
                </m:ctrlPr>
              </m:dPr>
              <m:e>
                <m:r>
                  <m:rPr>
                    <m:nor/>
                    <m:sty m:val="p"/>
                  </m:rPr>
                  <w:rPr>
                    <w:rFonts w:ascii="Times New Roman" w:hAnsi="Times New Roman" w:cs="Times New Roman"/>
                    <w:b w:val="0"/>
                    <w:i w:val="0"/>
                    <w:kern w:val="0"/>
                    <w:szCs w:val="20"/>
                  </w:rPr>
                  <m:t>1-</m:t>
                </m:r>
                <m:sSub>
                  <m:sSubPr>
                    <m:ctrlPr>
                      <w:rPr>
                        <w:rFonts w:ascii="Cambria Math" w:hAnsi="Cambria Math" w:cs="Times New Roman"/>
                        <w:kern w:val="0"/>
                        <w:szCs w:val="20"/>
                      </w:rPr>
                    </m:ctrlPr>
                  </m:sSubPr>
                  <m:e>
                    <m:r>
                      <m:rPr/>
                      <w:rPr>
                        <w:rFonts w:ascii="Cambria Math" w:hAnsi="Cambria Math" w:cs="Times New Roman"/>
                        <w:kern w:val="0"/>
                        <w:szCs w:val="20"/>
                      </w:rPr>
                      <m:t>h</m:t>
                    </m:r>
                    <m:ctrlPr>
                      <w:rPr>
                        <w:rFonts w:ascii="Cambria Math" w:hAnsi="Cambria Math" w:cs="Times New Roman"/>
                        <w:kern w:val="0"/>
                        <w:szCs w:val="20"/>
                      </w:rPr>
                    </m:ctrlPr>
                  </m:e>
                  <m:sub>
                    <m:r>
                      <m:rPr/>
                      <w:rPr>
                        <w:rFonts w:ascii="Cambria Math" w:hAnsi="Cambria Math" w:cs="Times New Roman"/>
                        <w:kern w:val="0"/>
                        <w:szCs w:val="20"/>
                      </w:rPr>
                      <m:t>0</m:t>
                    </m:r>
                    <m:ctrlPr>
                      <w:rPr>
                        <w:rFonts w:ascii="Cambria Math" w:hAnsi="Cambria Math" w:cs="Times New Roman"/>
                        <w:kern w:val="0"/>
                        <w:szCs w:val="20"/>
                      </w:rPr>
                    </m:ctrlPr>
                  </m:sub>
                </m:sSub>
                <m:ctrlPr>
                  <w:rPr>
                    <w:rFonts w:ascii="Cambria Math" w:hAnsi="Cambria Math" w:cs="Times New Roman"/>
                    <w:kern w:val="0"/>
                    <w:szCs w:val="20"/>
                  </w:rPr>
                </m:ctrlPr>
              </m:e>
            </m:d>
            <m:sSub>
              <m:sSubPr>
                <m:ctrlPr>
                  <w:rPr>
                    <w:rFonts w:ascii="Cambria Math" w:hAnsi="Cambria Math" w:cs="Times New Roman"/>
                    <w:kern w:val="0"/>
                    <w:szCs w:val="20"/>
                  </w:rPr>
                </m:ctrlPr>
              </m:sSubPr>
              <m:e>
                <m:r>
                  <m:rPr>
                    <m:nor/>
                    <m:sty m:val="p"/>
                  </m:rPr>
                  <w:rPr>
                    <w:rFonts w:ascii="Times New Roman" w:hAnsi="Times New Roman" w:cs="Times New Roman"/>
                    <w:b w:val="0"/>
                    <w:i w:val="0"/>
                    <w:kern w:val="0"/>
                    <w:szCs w:val="20"/>
                  </w:rPr>
                  <m:t>×W</m:t>
                </m:r>
                <m:ctrlPr>
                  <w:rPr>
                    <w:rFonts w:ascii="Cambria Math" w:hAnsi="Cambria Math" w:cs="Times New Roman"/>
                    <w:kern w:val="0"/>
                    <w:szCs w:val="20"/>
                  </w:rPr>
                </m:ctrlPr>
              </m:e>
              <m:sub>
                <m:r>
                  <m:rPr>
                    <m:nor/>
                    <m:sty m:val="p"/>
                  </m:rPr>
                  <w:rPr>
                    <w:rFonts w:ascii="Times New Roman" w:hAnsi="Times New Roman" w:cs="Times New Roman"/>
                    <w:b w:val="0"/>
                    <w:i w:val="0"/>
                    <w:kern w:val="0"/>
                    <w:szCs w:val="20"/>
                  </w:rPr>
                  <m:t>2</m:t>
                </m:r>
                <m:ctrlPr>
                  <w:rPr>
                    <w:rFonts w:ascii="Cambria Math" w:hAnsi="Cambria Math" w:cs="Times New Roman"/>
                    <w:kern w:val="0"/>
                    <w:szCs w:val="20"/>
                  </w:rPr>
                </m:ctrlPr>
              </m:sub>
            </m:sSub>
            <m:r>
              <m:rPr>
                <m:nor/>
                <m:sty m:val="p"/>
              </m:rPr>
              <w:rPr>
                <w:rFonts w:ascii="Times New Roman" w:hAnsi="Times New Roman" w:cs="Times New Roman"/>
                <w:b w:val="0"/>
                <w:i w:val="0"/>
                <w:kern w:val="0"/>
                <w:szCs w:val="20"/>
              </w:rPr>
              <m:t>×</m:t>
            </m:r>
            <m:sSup>
              <m:sSupPr>
                <m:ctrlPr>
                  <w:rPr>
                    <w:rFonts w:ascii="Cambria Math" w:hAnsi="Cambria Math" w:cs="Times New Roman"/>
                    <w:kern w:val="0"/>
                    <w:szCs w:val="20"/>
                  </w:rPr>
                </m:ctrlPr>
              </m:sSupPr>
              <m:e>
                <m:r>
                  <m:rPr>
                    <m:nor/>
                    <m:sty m:val="p"/>
                  </m:rPr>
                  <w:rPr>
                    <w:rFonts w:ascii="Times New Roman" w:hAnsi="Times New Roman" w:cs="Times New Roman"/>
                    <w:b w:val="0"/>
                    <w:i w:val="0"/>
                    <w:kern w:val="0"/>
                    <w:szCs w:val="20"/>
                  </w:rPr>
                  <m:t>10</m:t>
                </m:r>
                <m:ctrlPr>
                  <w:rPr>
                    <w:rFonts w:ascii="Cambria Math" w:hAnsi="Cambria Math" w:cs="Times New Roman"/>
                    <w:kern w:val="0"/>
                    <w:szCs w:val="20"/>
                  </w:rPr>
                </m:ctrlPr>
              </m:e>
              <m:sup>
                <m:r>
                  <m:rPr>
                    <m:nor/>
                    <m:sty m:val="p"/>
                  </m:rPr>
                  <w:rPr>
                    <w:rFonts w:ascii="Times New Roman" w:hAnsi="Times New Roman" w:cs="Times New Roman"/>
                    <w:b w:val="0"/>
                    <w:i w:val="0"/>
                    <w:kern w:val="0"/>
                    <w:szCs w:val="20"/>
                  </w:rPr>
                  <m:t>6</m:t>
                </m:r>
                <m:ctrlPr>
                  <w:rPr>
                    <w:rFonts w:ascii="Cambria Math" w:hAnsi="Cambria Math" w:cs="Times New Roman"/>
                    <w:kern w:val="0"/>
                    <w:szCs w:val="20"/>
                  </w:rPr>
                </m:ctrlPr>
              </m:sup>
            </m:sSup>
            <m:ctrlPr>
              <w:rPr>
                <w:rFonts w:ascii="Cambria Math" w:hAnsi="Cambria Math" w:cs="Times New Roman"/>
                <w:kern w:val="0"/>
                <w:szCs w:val="20"/>
              </w:rPr>
            </m:ctrlPr>
          </m:den>
        </m:f>
        <m:r>
          <m:rPr>
            <m:nor/>
            <m:sty m:val="p"/>
          </m:rPr>
          <w:rPr>
            <w:rFonts w:ascii="Times New Roman" w:hAnsi="Times New Roman" w:cs="Times New Roman"/>
            <w:b w:val="0"/>
            <w:i w:val="0"/>
            <w:kern w:val="0"/>
            <w:szCs w:val="20"/>
          </w:rPr>
          <m:t>×100</m:t>
        </m:r>
        <m:r>
          <m:rPr>
            <m:nor/>
            <m:sty m:val="p"/>
          </m:rPr>
          <w:rPr>
            <w:rFonts w:ascii="Cambria Math" w:hAnsi="Times New Roman" w:cs="Times New Roman"/>
            <w:b w:val="0"/>
            <w:i w:val="0"/>
            <w:kern w:val="0"/>
            <w:szCs w:val="20"/>
          </w:rPr>
          <m:t>%</m:t>
        </m:r>
      </m:oMath>
      <w:r>
        <w:rPr>
          <w:rFonts w:ascii="Times New Roman" w:hAnsi="Times New Roman" w:eastAsia="宋体" w:cs="Times New Roman"/>
        </w:rPr>
        <w:t>.....................（1）</w:t>
      </w:r>
    </w:p>
    <w:p w14:paraId="36662A88">
      <w:pPr>
        <w:pStyle w:val="24"/>
        <w:spacing w:before="240" w:beforeLines="100" w:after="240" w:afterLines="100"/>
        <w:ind w:firstLine="420"/>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t>软骨素钠含量按式（2）计算：</w:t>
      </w:r>
    </w:p>
    <w:p w14:paraId="70DAEBFA">
      <w:pPr>
        <w:widowControl/>
        <w:tabs>
          <w:tab w:val="center" w:pos="4201"/>
          <w:tab w:val="right" w:leader="dot" w:pos="9298"/>
        </w:tabs>
        <w:autoSpaceDE w:val="0"/>
        <w:autoSpaceDN w:val="0"/>
        <w:rPr>
          <w:rFonts w:ascii="Times New Roman" w:hAnsi="Times New Roman" w:cs="Times New Roman"/>
          <w:color w:val="000000" w:themeColor="text1"/>
          <w14:textFill>
            <w14:solidFill>
              <w14:schemeClr w14:val="tx1"/>
            </w14:solidFill>
          </w14:textFill>
        </w:rPr>
      </w:pPr>
      <m:oMath>
        <m:r>
          <m:rPr>
            <m:nor/>
            <m:sty m:val="p"/>
          </m:rPr>
          <w:rPr>
            <w:rFonts w:hint="eastAsia" w:ascii="Cambria Math" w:hAnsi="Times New Roman" w:cs="Times New Roman"/>
            <w:b w:val="0"/>
            <w:i w:val="0"/>
          </w:rPr>
          <m:t xml:space="preserve"> </m:t>
        </m:r>
        <m:r>
          <m:rPr>
            <m:nor/>
            <m:sty m:val="p"/>
          </m:rPr>
          <w:rPr>
            <w:rFonts w:ascii="Cambria Math" w:hAnsi="Times New Roman" w:cs="Times New Roman"/>
            <w:b w:val="0"/>
            <w:i w:val="0"/>
          </w:rPr>
          <m:t xml:space="preserve">        </m:t>
        </m:r>
        <m:r>
          <m:rPr>
            <m:nor/>
            <m:sty m:val="p"/>
          </m:rPr>
          <w:rPr>
            <w:rFonts w:ascii="Times New Roman" w:hAnsi="Times New Roman" w:cs="Times New Roman"/>
            <w:b w:val="0"/>
            <w:i w:val="0"/>
          </w:rPr>
          <m:t>软骨素钠含量</m:t>
        </m:r>
        <m:r>
          <m:rPr>
            <m:nor/>
            <m:sty m:val="p"/>
          </m:rPr>
          <w:rPr>
            <w:rFonts w:hint="eastAsia" w:ascii="Cambria Math" w:hAnsi="Times New Roman" w:cs="Times New Roman"/>
            <w:b w:val="0"/>
            <w:i w:val="0"/>
          </w:rPr>
          <m:t xml:space="preserve"> Pr</m:t>
        </m:r>
        <m:r>
          <m:rPr>
            <m:nor/>
            <m:sty m:val="p"/>
          </m:rPr>
          <w:rPr>
            <w:rFonts w:ascii="Times New Roman" w:hAnsi="Times New Roman" w:cs="Times New Roman"/>
            <w:b w:val="0"/>
            <w:i w:val="0"/>
          </w:rPr>
          <m:t>=</m:t>
        </m:r>
        <m:f>
          <m:fPr>
            <m:ctrlPr>
              <w:rPr>
                <w:rFonts w:ascii="Cambria Math" w:hAnsi="Cambria Math" w:cs="Times New Roman"/>
              </w:rPr>
            </m:ctrlPr>
          </m:fPr>
          <m:num>
            <m:sSub>
              <m:sSubPr>
                <m:ctrlPr>
                  <w:rPr>
                    <w:rFonts w:ascii="Cambria Math" w:hAnsi="Cambria Math" w:cs="Times New Roman"/>
                    <w:i/>
                  </w:rPr>
                </m:ctrlPr>
              </m:sSubPr>
              <m:e>
                <m:r>
                  <m:rPr>
                    <m:nor/>
                    <m:sty m:val="p"/>
                  </m:rPr>
                  <w:rPr>
                    <w:rFonts w:ascii="Times New Roman" w:hAnsi="Times New Roman" w:cs="Times New Roman"/>
                    <w:b w:val="0"/>
                    <w:i w:val="0"/>
                  </w:rPr>
                  <m:t>C</m:t>
                </m:r>
                <m:ctrlPr>
                  <w:rPr>
                    <w:rFonts w:ascii="Cambria Math" w:hAnsi="Cambria Math" w:cs="Times New Roman"/>
                    <w:i/>
                  </w:rPr>
                </m:ctrlPr>
              </m:e>
              <m:sub>
                <m:r>
                  <m:rPr>
                    <m:nor/>
                    <m:sty m:val="p"/>
                  </m:rPr>
                  <w:rPr>
                    <w:rFonts w:ascii="Times New Roman" w:hAnsi="Times New Roman" w:cs="Times New Roman"/>
                    <w:b w:val="0"/>
                    <w:i w:val="0"/>
                  </w:rPr>
                  <m:t>i</m:t>
                </m:r>
                <m:ctrlPr>
                  <w:rPr>
                    <w:rFonts w:ascii="Cambria Math" w:hAnsi="Cambria Math" w:cs="Times New Roman"/>
                    <w:i/>
                  </w:rPr>
                </m:ctrlPr>
              </m:sub>
            </m:sSub>
            <m:r>
              <m:rPr>
                <m:nor/>
                <m:sty m:val="p"/>
              </m:rPr>
              <w:rPr>
                <w:rFonts w:ascii="Times New Roman" w:hAnsi="Times New Roman" w:cs="Times New Roman"/>
                <w:b w:val="0"/>
                <w:i w:val="0"/>
              </w:rPr>
              <m:t>×50×100×401.3×ρ</m:t>
            </m:r>
            <m:ctrlPr>
              <w:rPr>
                <w:rFonts w:ascii="Cambria Math" w:hAnsi="Cambria Math" w:cs="Times New Roman"/>
              </w:rPr>
            </m:ctrlPr>
          </m:num>
          <m:den>
            <m:sSub>
              <m:sSubPr>
                <m:ctrlPr>
                  <w:rPr>
                    <w:rFonts w:ascii="Cambria Math" w:hAnsi="Cambria Math" w:cs="Times New Roman"/>
                  </w:rPr>
                </m:ctrlPr>
              </m:sSubPr>
              <m:e>
                <m:r>
                  <m:rPr>
                    <m:nor/>
                    <m:sty m:val="p"/>
                  </m:rPr>
                  <w:rPr>
                    <w:rFonts w:ascii="Times New Roman" w:hAnsi="Times New Roman" w:cs="Times New Roman"/>
                    <w:b w:val="0"/>
                    <w:i w:val="0"/>
                  </w:rPr>
                  <m:t>W</m:t>
                </m:r>
                <m:ctrlPr>
                  <w:rPr>
                    <w:rFonts w:ascii="Cambria Math" w:hAnsi="Cambria Math" w:cs="Times New Roman"/>
                  </w:rPr>
                </m:ctrlPr>
              </m:e>
              <m:sub>
                <m:r>
                  <m:rPr>
                    <m:nor/>
                    <m:sty m:val="p"/>
                  </m:rPr>
                  <w:rPr>
                    <w:rFonts w:ascii="Times New Roman" w:hAnsi="Times New Roman" w:cs="Times New Roman"/>
                    <w:b w:val="0"/>
                    <w:i w:val="0"/>
                  </w:rPr>
                  <m:t>1</m:t>
                </m:r>
                <m:ctrlPr>
                  <w:rPr>
                    <w:rFonts w:ascii="Cambria Math" w:hAnsi="Cambria Math" w:cs="Times New Roman"/>
                  </w:rPr>
                </m:ctrlPr>
              </m:sub>
            </m:sSub>
            <m:r>
              <m:rPr>
                <m:nor/>
                <m:sty m:val="p"/>
              </m:rPr>
              <w:rPr>
                <w:rFonts w:ascii="Times New Roman" w:hAnsi="Times New Roman" w:cs="Times New Roman"/>
                <w:b w:val="0"/>
                <w:i w:val="0"/>
              </w:rPr>
              <m:t>×</m:t>
            </m:r>
            <m:d>
              <m:dPr>
                <m:begChr m:val="（"/>
                <m:endChr m:val="）"/>
                <m:ctrlPr>
                  <w:rPr>
                    <w:rFonts w:ascii="Cambria Math" w:hAnsi="Cambria Math" w:cs="Times New Roman"/>
                  </w:rPr>
                </m:ctrlPr>
              </m:dPr>
              <m:e>
                <m:r>
                  <m:rPr>
                    <m:nor/>
                    <m:sty m:val="p"/>
                  </m:rPr>
                  <w:rPr>
                    <w:rFonts w:ascii="Times New Roman" w:hAnsi="Times New Roman" w:cs="Times New Roman"/>
                    <w:b w:val="0"/>
                    <w:i w:val="0"/>
                  </w:rPr>
                  <m:t>1-</m:t>
                </m:r>
                <m:sSub>
                  <m:sSubPr>
                    <m:ctrlPr>
                      <w:rPr>
                        <w:rFonts w:ascii="Cambria Math" w:hAnsi="Cambria Math" w:cs="Times New Roman"/>
                      </w:rPr>
                    </m:ctrlPr>
                  </m:sSubPr>
                  <m:e>
                    <m:r>
                      <m:rPr/>
                      <w:rPr>
                        <w:rFonts w:ascii="Cambria Math" w:hAnsi="Cambria Math" w:cs="Times New Roman"/>
                      </w:rPr>
                      <m:t>h</m:t>
                    </m:r>
                    <m:ctrlPr>
                      <w:rPr>
                        <w:rFonts w:ascii="Cambria Math" w:hAnsi="Cambria Math" w:cs="Times New Roman"/>
                      </w:rPr>
                    </m:ctrlPr>
                  </m:e>
                  <m:sub>
                    <m:r>
                      <m:rPr/>
                      <w:rPr>
                        <w:rFonts w:ascii="Cambria Math" w:hAnsi="Cambria Math" w:cs="Times New Roman"/>
                      </w:rPr>
                      <m:t>0</m:t>
                    </m:r>
                    <m:ctrlPr>
                      <w:rPr>
                        <w:rFonts w:ascii="Cambria Math" w:hAnsi="Cambria Math" w:cs="Times New Roman"/>
                      </w:rPr>
                    </m:ctrlPr>
                  </m:sub>
                </m:sSub>
                <m:ctrlPr>
                  <w:rPr>
                    <w:rFonts w:ascii="Cambria Math" w:hAnsi="Cambria Math" w:cs="Times New Roman"/>
                  </w:rPr>
                </m:ctrlPr>
              </m:e>
            </m:d>
            <m:r>
              <m:rPr>
                <m:nor/>
                <m:sty m:val="p"/>
              </m:rPr>
              <w:rPr>
                <w:rFonts w:ascii="Times New Roman" w:hAnsi="Times New Roman" w:cs="Times New Roman"/>
                <w:b w:val="0"/>
                <w:i w:val="0"/>
              </w:rPr>
              <m:t>×</m:t>
            </m:r>
            <m:sSub>
              <m:sSubPr>
                <m:ctrlPr>
                  <w:rPr>
                    <w:rFonts w:ascii="Cambria Math" w:hAnsi="Cambria Math" w:cs="Times New Roman"/>
                  </w:rPr>
                </m:ctrlPr>
              </m:sSubPr>
              <m:e>
                <m:r>
                  <m:rPr>
                    <m:nor/>
                    <m:sty m:val="p"/>
                  </m:rPr>
                  <w:rPr>
                    <w:rFonts w:ascii="Times New Roman" w:hAnsi="Times New Roman" w:cs="Times New Roman"/>
                    <w:b w:val="0"/>
                    <w:i w:val="0"/>
                  </w:rPr>
                  <m:t>W</m:t>
                </m:r>
                <m:ctrlPr>
                  <w:rPr>
                    <w:rFonts w:ascii="Cambria Math" w:hAnsi="Cambria Math" w:cs="Times New Roman"/>
                  </w:rPr>
                </m:ctrlPr>
              </m:e>
              <m:sub>
                <m:r>
                  <m:rPr>
                    <m:nor/>
                    <m:sty m:val="p"/>
                  </m:rPr>
                  <w:rPr>
                    <w:rFonts w:ascii="Times New Roman" w:hAnsi="Times New Roman" w:cs="Times New Roman"/>
                    <w:b w:val="0"/>
                    <w:i w:val="0"/>
                  </w:rPr>
                  <m:t>2</m:t>
                </m:r>
                <m:ctrlPr>
                  <w:rPr>
                    <w:rFonts w:ascii="Cambria Math" w:hAnsi="Cambria Math" w:cs="Times New Roman"/>
                  </w:rPr>
                </m:ctrlPr>
              </m:sub>
            </m:sSub>
            <m:r>
              <m:rPr>
                <m:nor/>
                <m:sty m:val="p"/>
              </m:rPr>
              <w:rPr>
                <w:rFonts w:ascii="Times New Roman" w:hAnsi="Times New Roman" w:cs="Times New Roman"/>
                <w:b w:val="0"/>
                <w:i w:val="0"/>
              </w:rPr>
              <m:t>×</m:t>
            </m:r>
            <m:sSup>
              <m:sSupPr>
                <m:ctrlPr>
                  <w:rPr>
                    <w:rFonts w:ascii="Cambria Math" w:hAnsi="Cambria Math" w:cs="Times New Roman"/>
                  </w:rPr>
                </m:ctrlPr>
              </m:sSupPr>
              <m:e>
                <m:r>
                  <m:rPr>
                    <m:nor/>
                    <m:sty m:val="p"/>
                  </m:rPr>
                  <w:rPr>
                    <w:rFonts w:ascii="Times New Roman" w:hAnsi="Times New Roman" w:cs="Times New Roman"/>
                    <w:b w:val="0"/>
                    <w:i w:val="0"/>
                  </w:rPr>
                  <m:t>10</m:t>
                </m:r>
                <m:ctrlPr>
                  <w:rPr>
                    <w:rFonts w:ascii="Cambria Math" w:hAnsi="Cambria Math" w:cs="Times New Roman"/>
                  </w:rPr>
                </m:ctrlPr>
              </m:e>
              <m:sup>
                <m:r>
                  <m:rPr>
                    <m:nor/>
                    <m:sty m:val="p"/>
                  </m:rPr>
                  <w:rPr>
                    <w:rFonts w:ascii="Times New Roman" w:hAnsi="Times New Roman" w:cs="Times New Roman"/>
                    <w:b w:val="0"/>
                    <w:i w:val="0"/>
                  </w:rPr>
                  <m:t>6</m:t>
                </m:r>
                <m:ctrlPr>
                  <w:rPr>
                    <w:rFonts w:ascii="Cambria Math" w:hAnsi="Cambria Math" w:cs="Times New Roman"/>
                  </w:rPr>
                </m:ctrlPr>
              </m:sup>
            </m:sSup>
            <m:r>
              <m:rPr>
                <m:nor/>
                <m:sty m:val="p"/>
              </m:rPr>
              <w:rPr>
                <w:rFonts w:ascii="Times New Roman" w:hAnsi="Times New Roman" w:cs="Times New Roman"/>
                <w:b w:val="0"/>
                <w:i w:val="0"/>
              </w:rPr>
              <m:t>×194.1</m:t>
            </m:r>
            <m:ctrlPr>
              <w:rPr>
                <w:rFonts w:ascii="Cambria Math" w:hAnsi="Cambria Math" w:cs="Times New Roman"/>
              </w:rPr>
            </m:ctrlPr>
          </m:den>
        </m:f>
        <m:r>
          <m:rPr>
            <m:nor/>
            <m:sty m:val="p"/>
          </m:rPr>
          <w:rPr>
            <w:rFonts w:ascii="Times New Roman" w:hAnsi="Times New Roman" w:cs="Times New Roman"/>
            <w:b w:val="0"/>
            <w:i w:val="0"/>
          </w:rPr>
          <m:t>×100</m:t>
        </m:r>
        <m:r>
          <m:rPr>
            <m:nor/>
            <m:sty m:val="p"/>
          </m:rPr>
          <w:rPr>
            <w:rFonts w:ascii="Cambria Math" w:hAnsi="Times New Roman" w:cs="Times New Roman"/>
            <w:b w:val="0"/>
            <w:i w:val="0"/>
          </w:rPr>
          <m:t>%</m:t>
        </m:r>
      </m:oMath>
      <w:r>
        <w:rPr>
          <w:rFonts w:ascii="Times New Roman" w:hAnsi="Times New Roman" w:eastAsia="宋体" w:cs="Times New Roman"/>
        </w:rPr>
        <w:t>.....................（2）</w:t>
      </w:r>
    </w:p>
    <w:p w14:paraId="1E5EA313">
      <w:pPr>
        <w:pStyle w:val="24"/>
        <w:spacing w:before="240" w:beforeLines="100" w:after="240" w:afterLines="100"/>
        <w:ind w:firstLine="420"/>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t>式中：</w:t>
      </w:r>
    </w:p>
    <w:p w14:paraId="2AA1EED7">
      <w:pPr>
        <w:pStyle w:val="24"/>
        <w:spacing w:before="240" w:beforeLines="100" w:after="240" w:afterLines="100"/>
        <w:ind w:firstLine="420"/>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t>Cᵢ —— 由回归方程得到的葡萄糖醛酸的浓度，单位为微克每毫升（μg/mL）；</w:t>
      </w:r>
    </w:p>
    <w:p w14:paraId="223F3167">
      <w:pPr>
        <w:pStyle w:val="24"/>
        <w:spacing w:before="240" w:beforeLines="100" w:after="240" w:afterLines="100"/>
        <w:ind w:firstLine="420"/>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t>W₁ —— 称取供试品质量，单位为克（g）；</w:t>
      </w:r>
    </w:p>
    <w:p w14:paraId="60AC5C0D">
      <w:pPr>
        <w:pStyle w:val="24"/>
        <w:spacing w:before="240" w:beforeLines="100" w:after="240" w:afterLines="100"/>
        <w:ind w:firstLine="420"/>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t>W₂ —— 第二</w:t>
      </w:r>
      <w:r>
        <w:rPr>
          <w:rFonts w:hint="eastAsia" w:ascii="Times New Roman"/>
          <w:color w:val="000000" w:themeColor="text1"/>
          <w14:textFill>
            <w14:solidFill>
              <w14:schemeClr w14:val="tx1"/>
            </w14:solidFill>
          </w14:textFill>
        </w:rPr>
        <w:t>次</w:t>
      </w:r>
      <w:r>
        <w:rPr>
          <w:rFonts w:ascii="Times New Roman"/>
          <w:color w:val="000000" w:themeColor="text1"/>
          <w14:textFill>
            <w14:solidFill>
              <w14:schemeClr w14:val="tx1"/>
            </w14:solidFill>
          </w14:textFill>
        </w:rPr>
        <w:t>稀释称取样品的质量，单位为克（g）；</w:t>
      </w:r>
    </w:p>
    <w:p w14:paraId="3176465A">
      <w:pPr>
        <w:pStyle w:val="24"/>
        <w:spacing w:before="240" w:beforeLines="100" w:after="240" w:afterLines="100"/>
        <w:ind w:firstLine="420"/>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t>h</w:t>
      </w:r>
      <w:r>
        <w:rPr>
          <w:rFonts w:ascii="Times New Roman"/>
          <w:color w:val="000000" w:themeColor="text1"/>
          <w:vertAlign w:val="subscript"/>
          <w14:textFill>
            <w14:solidFill>
              <w14:schemeClr w14:val="tx1"/>
            </w14:solidFill>
          </w14:textFill>
        </w:rPr>
        <w:t>0</w:t>
      </w:r>
      <w:r>
        <w:rPr>
          <w:rFonts w:ascii="Times New Roman"/>
          <w:color w:val="000000" w:themeColor="text1"/>
          <w14:textFill>
            <w14:solidFill>
              <w14:schemeClr w14:val="tx1"/>
            </w14:solidFill>
          </w14:textFill>
        </w:rPr>
        <w:t xml:space="preserve"> —— 试样的干燥失重，单位为%；</w:t>
      </w:r>
    </w:p>
    <w:p w14:paraId="408F3B43">
      <w:pPr>
        <w:pStyle w:val="24"/>
        <w:spacing w:before="240" w:beforeLines="100" w:after="240" w:afterLines="100"/>
        <w:ind w:firstLine="420"/>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t>ρ —— 供试品溶液在25 ℃时的密度，1.000 g/mL；</w:t>
      </w:r>
    </w:p>
    <w:p w14:paraId="4D22E19F">
      <w:pPr>
        <w:pStyle w:val="24"/>
        <w:spacing w:before="240" w:beforeLines="100" w:after="240" w:afterLines="100"/>
        <w:ind w:firstLine="420"/>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t>401.3 —— 软骨素钠双糖片断的分子量；</w:t>
      </w:r>
    </w:p>
    <w:p w14:paraId="6110B6C5">
      <w:pPr>
        <w:pStyle w:val="24"/>
        <w:spacing w:before="240" w:beforeLines="100" w:after="240" w:afterLines="100"/>
        <w:ind w:firstLine="420"/>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t>194.1 —— 葡萄糖醛酸的分子量。</w:t>
      </w:r>
    </w:p>
    <w:p w14:paraId="79A4DC82">
      <w:pPr>
        <w:pStyle w:val="27"/>
        <w:numPr>
          <w:ilvl w:val="2"/>
          <w:numId w:val="0"/>
        </w:numPr>
        <w:spacing w:before="240" w:beforeLines="100" w:after="240" w:afterLines="100"/>
        <w:rPr>
          <w:rFonts w:ascii="Times New Roman" w:eastAsia="宋体"/>
          <w:color w:val="000000" w:themeColor="text1"/>
          <w14:textFill>
            <w14:solidFill>
              <w14:schemeClr w14:val="tx1"/>
            </w14:solidFill>
          </w14:textFill>
        </w:rPr>
      </w:pPr>
      <w:r>
        <w:rPr>
          <w:rFonts w:ascii="Times New Roman"/>
          <w:color w:val="000000" w:themeColor="text1"/>
          <w14:textFill>
            <w14:solidFill>
              <w14:schemeClr w14:val="tx1"/>
            </w14:solidFill>
          </w14:textFill>
        </w:rPr>
        <w:t>6.4.8 精密度</w:t>
      </w:r>
    </w:p>
    <w:p w14:paraId="6B7C644E">
      <w:pPr>
        <w:pStyle w:val="24"/>
        <w:spacing w:before="240" w:beforeLines="100" w:after="240" w:afterLines="100"/>
        <w:ind w:firstLine="420"/>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t>相对偏差RD=|</w:t>
      </w:r>
      <m:oMath>
        <m:f>
          <m:fPr>
            <m:ctrlPr>
              <w:rPr>
                <w:rFonts w:ascii="Cambria Math" w:hAnsi="Cambria Math"/>
                <w:color w:val="000000" w:themeColor="text1"/>
                <w14:textFill>
                  <w14:solidFill>
                    <w14:schemeClr w14:val="tx1"/>
                  </w14:solidFill>
                </w14:textFill>
              </w:rPr>
            </m:ctrlPr>
          </m:fPr>
          <m:num>
            <m:r>
              <m:rPr>
                <m:sty m:val="p"/>
              </m:rPr>
              <w:rPr>
                <w:rFonts w:ascii="Cambria Math" w:hAnsi="Cambria Math"/>
                <w:color w:val="000000" w:themeColor="text1"/>
                <w14:textFill>
                  <w14:solidFill>
                    <w14:schemeClr w14:val="tx1"/>
                  </w14:solidFill>
                </w14:textFill>
              </w:rPr>
              <m:t>Pr1−Pr2</m:t>
            </m:r>
            <m:ctrlPr>
              <w:rPr>
                <w:rFonts w:ascii="Cambria Math" w:hAnsi="Cambria Math"/>
                <w:color w:val="000000" w:themeColor="text1"/>
                <w14:textFill>
                  <w14:solidFill>
                    <w14:schemeClr w14:val="tx1"/>
                  </w14:solidFill>
                </w14:textFill>
              </w:rPr>
            </m:ctrlPr>
          </m:num>
          <m:den>
            <m:r>
              <m:rPr>
                <m:sty m:val="p"/>
              </m:rPr>
              <w:rPr>
                <w:rFonts w:ascii="Cambria Math" w:hAnsi="Cambria Math"/>
                <w:color w:val="000000" w:themeColor="text1"/>
                <w14:textFill>
                  <w14:solidFill>
                    <w14:schemeClr w14:val="tx1"/>
                  </w14:solidFill>
                </w14:textFill>
              </w:rPr>
              <m:t>Pr1+Pr2</m:t>
            </m:r>
            <m:ctrlPr>
              <w:rPr>
                <w:rFonts w:ascii="Cambria Math" w:hAnsi="Cambria Math"/>
                <w:color w:val="000000" w:themeColor="text1"/>
                <w14:textFill>
                  <w14:solidFill>
                    <w14:schemeClr w14:val="tx1"/>
                  </w14:solidFill>
                </w14:textFill>
              </w:rPr>
            </m:ctrlPr>
          </m:den>
        </m:f>
      </m:oMath>
      <w:r>
        <w:rPr>
          <w:rFonts w:ascii="Times New Roman"/>
          <w:color w:val="000000" w:themeColor="text1"/>
          <w14:textFill>
            <w14:solidFill>
              <w14:schemeClr w14:val="tx1"/>
            </w14:solidFill>
          </w14:textFill>
        </w:rPr>
        <w:t>|×100%，两个平行测定的结果的相对偏差不得超过2.0%；取两平行结果的平均值报告。</w:t>
      </w:r>
      <w:bookmarkEnd w:id="39"/>
      <w:bookmarkEnd w:id="40"/>
    </w:p>
    <w:p w14:paraId="3A39233C">
      <w:pPr>
        <w:pStyle w:val="27"/>
        <w:numPr>
          <w:ilvl w:val="2"/>
          <w:numId w:val="0"/>
        </w:numPr>
        <w:spacing w:before="240" w:beforeLines="100" w:after="240" w:afterLines="100"/>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t>6.5 溶液澄清度与颜色</w:t>
      </w:r>
    </w:p>
    <w:p w14:paraId="0B4E5F17">
      <w:pPr>
        <w:pStyle w:val="27"/>
        <w:numPr>
          <w:ilvl w:val="2"/>
          <w:numId w:val="0"/>
        </w:numPr>
        <w:spacing w:before="240" w:beforeLines="100" w:after="240" w:afterLines="100"/>
        <w:rPr>
          <w:rFonts w:ascii="Times New Roman" w:eastAsia="宋体"/>
          <w:color w:val="000000" w:themeColor="text1"/>
          <w14:textFill>
            <w14:solidFill>
              <w14:schemeClr w14:val="tx1"/>
            </w14:solidFill>
          </w14:textFill>
        </w:rPr>
      </w:pPr>
      <w:r>
        <w:rPr>
          <w:rFonts w:ascii="Times New Roman"/>
          <w:color w:val="000000" w:themeColor="text1"/>
          <w14:textFill>
            <w14:solidFill>
              <w14:schemeClr w14:val="tx1"/>
            </w14:solidFill>
          </w14:textFill>
        </w:rPr>
        <w:t>6.5.1 仪器</w:t>
      </w:r>
    </w:p>
    <w:p w14:paraId="52A59E5F">
      <w:pPr>
        <w:pStyle w:val="24"/>
        <w:spacing w:before="240" w:beforeLines="100" w:after="240" w:afterLines="100"/>
        <w:ind w:firstLine="420"/>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t>6.5.1.1 紫外可见分光光度计。</w:t>
      </w:r>
    </w:p>
    <w:p w14:paraId="7A5A4839">
      <w:pPr>
        <w:pStyle w:val="24"/>
        <w:spacing w:before="240" w:beforeLines="100" w:after="240" w:afterLines="100"/>
        <w:ind w:firstLine="420"/>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t>6.5.1.2 电子天平，精度0.01 g。</w:t>
      </w:r>
    </w:p>
    <w:p w14:paraId="6A507B92">
      <w:pPr>
        <w:pStyle w:val="27"/>
        <w:numPr>
          <w:ilvl w:val="2"/>
          <w:numId w:val="0"/>
        </w:numPr>
        <w:spacing w:before="240" w:beforeLines="100" w:after="240" w:afterLines="100"/>
        <w:rPr>
          <w:rFonts w:ascii="Times New Roman" w:eastAsia="宋体"/>
          <w:color w:val="000000" w:themeColor="text1"/>
          <w14:textFill>
            <w14:solidFill>
              <w14:schemeClr w14:val="tx1"/>
            </w14:solidFill>
          </w14:textFill>
        </w:rPr>
      </w:pPr>
      <w:r>
        <w:rPr>
          <w:rFonts w:ascii="Times New Roman"/>
          <w:color w:val="000000" w:themeColor="text1"/>
          <w14:textFill>
            <w14:solidFill>
              <w14:schemeClr w14:val="tx1"/>
            </w14:solidFill>
          </w14:textFill>
        </w:rPr>
        <w:t>6.5.2 检测条件</w:t>
      </w:r>
    </w:p>
    <w:p w14:paraId="3692EA5B">
      <w:pPr>
        <w:pStyle w:val="24"/>
        <w:spacing w:before="240" w:beforeLines="100" w:after="240" w:afterLines="100"/>
        <w:ind w:firstLine="420"/>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t>波长：600 nm。</w:t>
      </w:r>
    </w:p>
    <w:p w14:paraId="32140816">
      <w:pPr>
        <w:pStyle w:val="27"/>
        <w:numPr>
          <w:ilvl w:val="2"/>
          <w:numId w:val="0"/>
        </w:numPr>
        <w:spacing w:before="240" w:beforeLines="100" w:after="240" w:afterLines="100"/>
        <w:rPr>
          <w:rFonts w:ascii="Times New Roman" w:eastAsia="宋体"/>
          <w:color w:val="000000" w:themeColor="text1"/>
          <w14:textFill>
            <w14:solidFill>
              <w14:schemeClr w14:val="tx1"/>
            </w14:solidFill>
          </w14:textFill>
        </w:rPr>
      </w:pPr>
      <w:r>
        <w:rPr>
          <w:rFonts w:ascii="Times New Roman"/>
          <w:color w:val="000000" w:themeColor="text1"/>
          <w14:textFill>
            <w14:solidFill>
              <w14:schemeClr w14:val="tx1"/>
            </w14:solidFill>
          </w14:textFill>
        </w:rPr>
        <w:t>6.5.3 溶液的制备</w:t>
      </w:r>
    </w:p>
    <w:p w14:paraId="3831D244">
      <w:pPr>
        <w:pStyle w:val="24"/>
        <w:spacing w:before="240" w:beforeLines="100" w:after="240" w:afterLines="100"/>
        <w:ind w:firstLine="420"/>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t>取本品，精密称定相当于0.10 g干燥品的量〔以干燥失重h₀（%）计算，应称样量为</w:t>
      </w:r>
      <m:oMath>
        <m:f>
          <m:fPr>
            <m:ctrlPr>
              <w:rPr>
                <w:rFonts w:ascii="Cambria Math" w:hAnsi="Cambria Math"/>
                <w:color w:val="000000" w:themeColor="text1"/>
                <w14:textFill>
                  <w14:solidFill>
                    <w14:schemeClr w14:val="tx1"/>
                  </w14:solidFill>
                </w14:textFill>
              </w:rPr>
            </m:ctrlPr>
          </m:fPr>
          <m:num>
            <m:r>
              <m:rPr>
                <m:nor/>
                <m:sty m:val="p"/>
              </m:rPr>
              <w:rPr>
                <w:rFonts w:ascii="Times New Roman"/>
                <w:b w:val="0"/>
                <w:i w:val="0"/>
                <w:color w:val="000000" w:themeColor="text1"/>
                <w14:textFill>
                  <w14:solidFill>
                    <w14:schemeClr w14:val="tx1"/>
                  </w14:solidFill>
                </w14:textFill>
              </w:rPr>
              <m:t>0.10 × 1</m:t>
            </m:r>
            <m:ctrlPr>
              <w:rPr>
                <w:rFonts w:ascii="Cambria Math" w:hAnsi="Cambria Math"/>
                <w:color w:val="000000" w:themeColor="text1"/>
                <w14:textFill>
                  <w14:solidFill>
                    <w14:schemeClr w14:val="tx1"/>
                  </w14:solidFill>
                </w14:textFill>
              </w:rPr>
            </m:ctrlPr>
          </m:num>
          <m:den>
            <m:r>
              <m:rPr>
                <m:nor/>
                <m:sty m:val="p"/>
              </m:rPr>
              <w:rPr>
                <w:rFonts w:ascii="Times New Roman"/>
                <w:b w:val="0"/>
                <w:i w:val="0"/>
                <w:color w:val="000000" w:themeColor="text1"/>
                <w14:textFill>
                  <w14:solidFill>
                    <w14:schemeClr w14:val="tx1"/>
                  </w14:solidFill>
                </w14:textFill>
              </w:rPr>
              <m:t>1 - h₀</m:t>
            </m:r>
            <m:ctrlPr>
              <w:rPr>
                <w:rFonts w:ascii="Cambria Math" w:hAnsi="Cambria Math"/>
                <w:color w:val="000000" w:themeColor="text1"/>
                <w14:textFill>
                  <w14:solidFill>
                    <w14:schemeClr w14:val="tx1"/>
                  </w14:solidFill>
                </w14:textFill>
              </w:rPr>
            </m:ctrlPr>
          </m:den>
        </m:f>
        <m:r>
          <m:rPr/>
          <w:rPr>
            <w:rFonts w:ascii="Cambria Math" w:hAnsi="Cambria Math"/>
            <w:color w:val="000000" w:themeColor="text1"/>
            <w14:textFill>
              <w14:solidFill>
                <w14:schemeClr w14:val="tx1"/>
              </w14:solidFill>
            </w14:textFill>
          </w:rPr>
          <m:t xml:space="preserve"> </m:t>
        </m:r>
      </m:oMath>
      <w:r>
        <w:rPr>
          <w:rFonts w:ascii="Times New Roman"/>
          <w:color w:val="000000" w:themeColor="text1"/>
          <w14:textFill>
            <w14:solidFill>
              <w14:schemeClr w14:val="tx1"/>
            </w14:solidFill>
          </w14:textFill>
        </w:rPr>
        <w:t>g〕，加0.9%氯化钠溶液30 mL，于锥形瓶中，置</w:t>
      </w:r>
      <w:r>
        <w:rPr>
          <w:rFonts w:hint="eastAsia" w:ascii="Times New Roman"/>
          <w:color w:val="000000" w:themeColor="text1"/>
          <w14:textFill>
            <w14:solidFill>
              <w14:schemeClr w14:val="tx1"/>
            </w14:solidFill>
          </w14:textFill>
        </w:rPr>
        <w:t>于</w:t>
      </w:r>
      <w:r>
        <w:rPr>
          <w:rFonts w:ascii="Times New Roman"/>
          <w:color w:val="000000" w:themeColor="text1"/>
          <w14:textFill>
            <w14:solidFill>
              <w14:schemeClr w14:val="tx1"/>
            </w14:solidFill>
          </w14:textFill>
        </w:rPr>
        <w:t>振荡器上振摇至溶解。</w:t>
      </w:r>
    </w:p>
    <w:p w14:paraId="23735D67">
      <w:pPr>
        <w:pStyle w:val="27"/>
        <w:numPr>
          <w:ilvl w:val="2"/>
          <w:numId w:val="0"/>
        </w:numPr>
        <w:spacing w:before="240" w:beforeLines="100" w:after="240" w:afterLines="100"/>
        <w:rPr>
          <w:rFonts w:ascii="Times New Roman" w:eastAsia="宋体"/>
          <w:color w:val="000000" w:themeColor="text1"/>
          <w14:textFill>
            <w14:solidFill>
              <w14:schemeClr w14:val="tx1"/>
            </w14:solidFill>
          </w14:textFill>
        </w:rPr>
      </w:pPr>
      <w:r>
        <w:rPr>
          <w:rFonts w:ascii="Times New Roman"/>
          <w:color w:val="000000" w:themeColor="text1"/>
          <w14:textFill>
            <w14:solidFill>
              <w14:schemeClr w14:val="tx1"/>
            </w14:solidFill>
          </w14:textFill>
        </w:rPr>
        <w:t>6.5.4 测定</w:t>
      </w:r>
    </w:p>
    <w:p w14:paraId="54BF1B12">
      <w:pPr>
        <w:pStyle w:val="24"/>
        <w:spacing w:before="240" w:beforeLines="100" w:after="240" w:afterLines="100"/>
        <w:ind w:firstLine="420"/>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t>以溶剂0.9%氯化钠溶液为空白，</w:t>
      </w:r>
      <w:r>
        <w:rPr>
          <w:rFonts w:hint="eastAsia" w:ascii="Times New Roman"/>
          <w:color w:val="000000" w:themeColor="text1"/>
          <w14:textFill>
            <w14:solidFill>
              <w14:schemeClr w14:val="tx1"/>
            </w14:solidFill>
          </w14:textFill>
        </w:rPr>
        <w:t>按</w:t>
      </w:r>
      <w:r>
        <w:rPr>
          <w:rFonts w:ascii="Times New Roman"/>
          <w:color w:val="000000" w:themeColor="text1"/>
          <w14:textFill>
            <w14:solidFill>
              <w14:schemeClr w14:val="tx1"/>
            </w14:solidFill>
          </w14:textFill>
        </w:rPr>
        <w:t>照《中华人民共和国药典》（2025年版）四部通则0902第一法检测溶液浊度；</w:t>
      </w:r>
      <w:r>
        <w:rPr>
          <w:rFonts w:hint="eastAsia" w:ascii="Times New Roman"/>
          <w:color w:val="000000" w:themeColor="text1"/>
          <w14:textFill>
            <w14:solidFill>
              <w14:schemeClr w14:val="tx1"/>
            </w14:solidFill>
          </w14:textFill>
        </w:rPr>
        <w:t>按</w:t>
      </w:r>
      <w:r>
        <w:rPr>
          <w:rFonts w:ascii="Times New Roman"/>
          <w:color w:val="000000" w:themeColor="text1"/>
          <w14:textFill>
            <w14:solidFill>
              <w14:schemeClr w14:val="tx1"/>
            </w14:solidFill>
          </w14:textFill>
        </w:rPr>
        <w:t>照紫外-可见分光光度法（通则0401），在600nm的波长处测定，吸光度不得过0.01。</w:t>
      </w:r>
    </w:p>
    <w:p w14:paraId="1F76BBD8">
      <w:pPr>
        <w:pStyle w:val="27"/>
        <w:numPr>
          <w:ilvl w:val="2"/>
          <w:numId w:val="0"/>
        </w:numPr>
        <w:spacing w:before="240" w:beforeLines="100" w:after="240" w:afterLines="100"/>
        <w:rPr>
          <w:rFonts w:ascii="Times New Roman" w:eastAsia="宋体"/>
          <w:color w:val="000000" w:themeColor="text1"/>
          <w14:textFill>
            <w14:solidFill>
              <w14:schemeClr w14:val="tx1"/>
            </w14:solidFill>
          </w14:textFill>
        </w:rPr>
      </w:pPr>
      <w:r>
        <w:rPr>
          <w:rFonts w:ascii="Times New Roman"/>
          <w:color w:val="000000" w:themeColor="text1"/>
          <w14:textFill>
            <w14:solidFill>
              <w14:schemeClr w14:val="tx1"/>
            </w14:solidFill>
          </w14:textFill>
        </w:rPr>
        <w:t>6.6 pH值</w:t>
      </w:r>
    </w:p>
    <w:p w14:paraId="525B6BA3">
      <w:pPr>
        <w:pStyle w:val="27"/>
        <w:numPr>
          <w:ilvl w:val="2"/>
          <w:numId w:val="0"/>
        </w:numPr>
        <w:spacing w:before="240" w:beforeLines="100" w:after="240" w:afterLines="100"/>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t>6.6.1 仪器</w:t>
      </w:r>
    </w:p>
    <w:p w14:paraId="545608E1">
      <w:pPr>
        <w:pStyle w:val="24"/>
        <w:spacing w:before="240" w:beforeLines="100" w:after="240" w:afterLines="100"/>
        <w:ind w:firstLine="420"/>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t>6.6.1.1 pH计，精度小于或等于0.01。</w:t>
      </w:r>
    </w:p>
    <w:p w14:paraId="61A690E1">
      <w:pPr>
        <w:pStyle w:val="24"/>
        <w:spacing w:before="240" w:beforeLines="100" w:after="240" w:afterLines="100"/>
        <w:ind w:firstLine="420"/>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t>6.6.1.2 电子天平，精度0.001 g。</w:t>
      </w:r>
    </w:p>
    <w:p w14:paraId="4AFF0944">
      <w:pPr>
        <w:pStyle w:val="27"/>
        <w:numPr>
          <w:ilvl w:val="2"/>
          <w:numId w:val="0"/>
        </w:numPr>
        <w:spacing w:before="240" w:beforeLines="100" w:after="240" w:afterLines="100"/>
        <w:rPr>
          <w:rFonts w:ascii="Times New Roman" w:eastAsia="宋体"/>
          <w:color w:val="000000" w:themeColor="text1"/>
          <w14:textFill>
            <w14:solidFill>
              <w14:schemeClr w14:val="tx1"/>
            </w14:solidFill>
          </w14:textFill>
        </w:rPr>
      </w:pPr>
      <w:r>
        <w:rPr>
          <w:rFonts w:ascii="Times New Roman"/>
          <w:color w:val="000000" w:themeColor="text1"/>
          <w14:textFill>
            <w14:solidFill>
              <w14:schemeClr w14:val="tx1"/>
            </w14:solidFill>
          </w14:textFill>
        </w:rPr>
        <w:t>6.6.2 试样溶液</w:t>
      </w:r>
    </w:p>
    <w:p w14:paraId="3ACC8418">
      <w:pPr>
        <w:pStyle w:val="24"/>
        <w:spacing w:before="240" w:beforeLines="100" w:after="240" w:afterLines="100"/>
        <w:ind w:firstLine="420"/>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t>取本品，精密称定相当于0.50 g干品的量〔以干燥失重h₀（%）计算，应称样量为</w:t>
      </w:r>
      <m:oMath>
        <m:f>
          <m:fPr>
            <m:ctrlPr>
              <w:rPr>
                <w:rFonts w:ascii="Cambria Math" w:hAnsi="Cambria Math"/>
                <w:color w:val="000000" w:themeColor="text1"/>
                <w14:textFill>
                  <w14:solidFill>
                    <w14:schemeClr w14:val="tx1"/>
                  </w14:solidFill>
                </w14:textFill>
              </w:rPr>
            </m:ctrlPr>
          </m:fPr>
          <m:num>
            <m:r>
              <m:rPr>
                <m:nor/>
                <m:sty m:val="p"/>
              </m:rPr>
              <w:rPr>
                <w:rFonts w:ascii="Times New Roman"/>
                <w:b w:val="0"/>
                <w:i w:val="0"/>
                <w:color w:val="000000" w:themeColor="text1"/>
                <w14:textFill>
                  <w14:solidFill>
                    <w14:schemeClr w14:val="tx1"/>
                  </w14:solidFill>
                </w14:textFill>
              </w:rPr>
              <m:t>0.50 × 1</m:t>
            </m:r>
            <m:ctrlPr>
              <w:rPr>
                <w:rFonts w:ascii="Cambria Math" w:hAnsi="Cambria Math"/>
                <w:color w:val="000000" w:themeColor="text1"/>
                <w14:textFill>
                  <w14:solidFill>
                    <w14:schemeClr w14:val="tx1"/>
                  </w14:solidFill>
                </w14:textFill>
              </w:rPr>
            </m:ctrlPr>
          </m:num>
          <m:den>
            <m:r>
              <m:rPr>
                <m:nor/>
                <m:sty m:val="p"/>
              </m:rPr>
              <w:rPr>
                <w:rFonts w:ascii="Times New Roman"/>
                <w:b w:val="0"/>
                <w:i w:val="0"/>
                <w:color w:val="000000" w:themeColor="text1"/>
                <w14:textFill>
                  <w14:solidFill>
                    <w14:schemeClr w14:val="tx1"/>
                  </w14:solidFill>
                </w14:textFill>
              </w:rPr>
              <m:t>1 - h₀</m:t>
            </m:r>
            <m:ctrlPr>
              <w:rPr>
                <w:rFonts w:ascii="Cambria Math" w:hAnsi="Cambria Math"/>
                <w:color w:val="000000" w:themeColor="text1"/>
                <w14:textFill>
                  <w14:solidFill>
                    <w14:schemeClr w14:val="tx1"/>
                  </w14:solidFill>
                </w14:textFill>
              </w:rPr>
            </m:ctrlPr>
          </m:den>
        </m:f>
        <m:r>
          <m:rPr/>
          <w:rPr>
            <w:rFonts w:ascii="Cambria Math" w:hAnsi="Cambria Math"/>
            <w:color w:val="000000" w:themeColor="text1"/>
            <w14:textFill>
              <w14:solidFill>
                <w14:schemeClr w14:val="tx1"/>
              </w14:solidFill>
            </w14:textFill>
          </w:rPr>
          <m:t xml:space="preserve"> </m:t>
        </m:r>
      </m:oMath>
      <w:r>
        <w:rPr>
          <w:rFonts w:ascii="Times New Roman"/>
          <w:color w:val="000000" w:themeColor="text1"/>
          <w14:textFill>
            <w14:solidFill>
              <w14:schemeClr w14:val="tx1"/>
            </w14:solidFill>
          </w14:textFill>
        </w:rPr>
        <w:t>g〕，置</w:t>
      </w:r>
      <w:r>
        <w:rPr>
          <w:rFonts w:hint="eastAsia" w:ascii="Times New Roman"/>
          <w:color w:val="000000" w:themeColor="text1"/>
          <w14:textFill>
            <w14:solidFill>
              <w14:schemeClr w14:val="tx1"/>
            </w14:solidFill>
          </w14:textFill>
        </w:rPr>
        <w:t>于</w:t>
      </w:r>
      <w:r>
        <w:rPr>
          <w:rFonts w:ascii="Times New Roman"/>
          <w:color w:val="000000" w:themeColor="text1"/>
          <w14:textFill>
            <w14:solidFill>
              <w14:schemeClr w14:val="tx1"/>
            </w14:solidFill>
          </w14:textFill>
        </w:rPr>
        <w:t>锥形瓶中，加新沸冷水100 mL和新沸冷水冲洗后的转子，将锥形瓶用封口膜封口；置</w:t>
      </w:r>
      <w:r>
        <w:rPr>
          <w:rFonts w:hint="eastAsia" w:ascii="Times New Roman"/>
          <w:color w:val="000000" w:themeColor="text1"/>
          <w14:textFill>
            <w14:solidFill>
              <w14:schemeClr w14:val="tx1"/>
            </w14:solidFill>
          </w14:textFill>
        </w:rPr>
        <w:t>于</w:t>
      </w:r>
      <w:r>
        <w:rPr>
          <w:rFonts w:ascii="Times New Roman"/>
          <w:color w:val="000000" w:themeColor="text1"/>
          <w14:textFill>
            <w14:solidFill>
              <w14:schemeClr w14:val="tx1"/>
            </w14:solidFill>
          </w14:textFill>
        </w:rPr>
        <w:t>磁力搅拌器上搅拌，完全溶解为均一溶液且目视溶液完全透明后停止。</w:t>
      </w:r>
    </w:p>
    <w:p w14:paraId="3EBBC912">
      <w:pPr>
        <w:pStyle w:val="27"/>
        <w:numPr>
          <w:ilvl w:val="2"/>
          <w:numId w:val="0"/>
        </w:numPr>
        <w:spacing w:before="240" w:beforeLines="100" w:after="240" w:afterLines="100"/>
        <w:rPr>
          <w:rFonts w:ascii="Times New Roman" w:eastAsia="宋体"/>
          <w:color w:val="000000" w:themeColor="text1"/>
          <w14:textFill>
            <w14:solidFill>
              <w14:schemeClr w14:val="tx1"/>
            </w14:solidFill>
          </w14:textFill>
        </w:rPr>
      </w:pPr>
      <w:r>
        <w:rPr>
          <w:rFonts w:ascii="Times New Roman"/>
          <w:color w:val="000000" w:themeColor="text1"/>
          <w14:textFill>
            <w14:solidFill>
              <w14:schemeClr w14:val="tx1"/>
            </w14:solidFill>
          </w14:textFill>
        </w:rPr>
        <w:t>6.6.3 测定</w:t>
      </w:r>
    </w:p>
    <w:p w14:paraId="0314DA71">
      <w:pPr>
        <w:pStyle w:val="24"/>
        <w:spacing w:before="240" w:beforeLines="100" w:after="240" w:afterLines="100"/>
        <w:ind w:firstLine="420"/>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t>按</w:t>
      </w:r>
      <w:r>
        <w:rPr>
          <w:rFonts w:hint="eastAsia" w:ascii="Times New Roman"/>
          <w:color w:val="000000" w:themeColor="text1"/>
          <w14:textFill>
            <w14:solidFill>
              <w14:schemeClr w14:val="tx1"/>
            </w14:solidFill>
          </w14:textFill>
        </w:rPr>
        <w:t>照</w:t>
      </w:r>
      <w:r>
        <w:rPr>
          <w:rFonts w:ascii="Times New Roman"/>
          <w:color w:val="000000" w:themeColor="text1"/>
          <w14:textFill>
            <w14:solidFill>
              <w14:schemeClr w14:val="tx1"/>
            </w14:solidFill>
          </w14:textFill>
        </w:rPr>
        <w:t>《中华人民共和国药典》（2025年版）四部通则0631测定。</w:t>
      </w:r>
    </w:p>
    <w:p w14:paraId="7CEA7E4D">
      <w:pPr>
        <w:pStyle w:val="27"/>
        <w:numPr>
          <w:ilvl w:val="2"/>
          <w:numId w:val="0"/>
        </w:numPr>
        <w:spacing w:before="240" w:beforeLines="100" w:after="240" w:afterLines="100"/>
        <w:rPr>
          <w:rFonts w:ascii="Times New Roman" w:eastAsia="宋体"/>
          <w:color w:val="000000" w:themeColor="text1"/>
          <w14:textFill>
            <w14:solidFill>
              <w14:schemeClr w14:val="tx1"/>
            </w14:solidFill>
          </w14:textFill>
        </w:rPr>
      </w:pPr>
      <w:r>
        <w:rPr>
          <w:rFonts w:ascii="Times New Roman"/>
          <w:color w:val="000000" w:themeColor="text1"/>
          <w14:textFill>
            <w14:solidFill>
              <w14:schemeClr w14:val="tx1"/>
            </w14:solidFill>
          </w14:textFill>
        </w:rPr>
        <w:t>6.7 特性黏数</w:t>
      </w:r>
    </w:p>
    <w:p w14:paraId="4CA9D5FF">
      <w:pPr>
        <w:pStyle w:val="27"/>
        <w:numPr>
          <w:ilvl w:val="2"/>
          <w:numId w:val="0"/>
        </w:numPr>
        <w:spacing w:before="240" w:beforeLines="100" w:after="240" w:afterLines="100"/>
        <w:rPr>
          <w:rFonts w:ascii="Times New Roman" w:eastAsia="宋体"/>
          <w:color w:val="000000" w:themeColor="text1"/>
          <w14:textFill>
            <w14:solidFill>
              <w14:schemeClr w14:val="tx1"/>
            </w14:solidFill>
          </w14:textFill>
        </w:rPr>
      </w:pPr>
      <w:r>
        <w:rPr>
          <w:rFonts w:ascii="Times New Roman"/>
          <w:color w:val="000000" w:themeColor="text1"/>
          <w14:textFill>
            <w14:solidFill>
              <w14:schemeClr w14:val="tx1"/>
            </w14:solidFill>
          </w14:textFill>
        </w:rPr>
        <w:t>6.7.1 仪器</w:t>
      </w:r>
    </w:p>
    <w:p w14:paraId="03139FC6">
      <w:pPr>
        <w:pStyle w:val="24"/>
        <w:spacing w:before="240" w:beforeLines="100" w:after="240" w:afterLines="100"/>
        <w:ind w:firstLine="420"/>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t>6.7.1.1 乌</w:t>
      </w:r>
      <w:r>
        <w:rPr>
          <w:rFonts w:hint="eastAsia" w:ascii="Times New Roman"/>
          <w:color w:val="000000" w:themeColor="text1"/>
          <w:lang w:val="en-US" w:eastAsia="zh-CN"/>
          <w14:textFill>
            <w14:solidFill>
              <w14:schemeClr w14:val="tx1"/>
            </w14:solidFill>
          </w14:textFill>
        </w:rPr>
        <w:t>氏</w:t>
      </w:r>
      <w:r>
        <w:rPr>
          <w:rFonts w:ascii="Times New Roman"/>
          <w:color w:val="000000" w:themeColor="text1"/>
          <w14:textFill>
            <w14:solidFill>
              <w14:schemeClr w14:val="tx1"/>
            </w14:solidFill>
          </w14:textFill>
        </w:rPr>
        <w:t>黏度计（毛细管内径0.53 mm）。</w:t>
      </w:r>
    </w:p>
    <w:p w14:paraId="604A4D4C">
      <w:pPr>
        <w:pStyle w:val="24"/>
        <w:spacing w:before="240" w:beforeLines="100" w:after="240" w:afterLines="100"/>
        <w:ind w:firstLine="420"/>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t>6.7.1.2 3号垂熔玻璃漏斗。</w:t>
      </w:r>
    </w:p>
    <w:p w14:paraId="5FDE5ADA">
      <w:pPr>
        <w:pStyle w:val="24"/>
        <w:spacing w:before="240" w:beforeLines="100" w:after="240" w:afterLines="100"/>
        <w:ind w:firstLine="420"/>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t>6.7.1.3 恒温水浴（控温精度±0.05 ℃）。</w:t>
      </w:r>
    </w:p>
    <w:p w14:paraId="190A7DFF">
      <w:pPr>
        <w:pStyle w:val="24"/>
        <w:spacing w:before="240" w:beforeLines="100" w:after="240" w:afterLines="100"/>
        <w:ind w:firstLine="420"/>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t>6.7.1.4 秒表（分度不大于0.2秒）。</w:t>
      </w:r>
    </w:p>
    <w:p w14:paraId="1B9DB8F4">
      <w:pPr>
        <w:pStyle w:val="24"/>
        <w:spacing w:before="240" w:beforeLines="100" w:after="240" w:afterLines="100"/>
        <w:ind w:firstLine="420"/>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t>6.7.1.5 电子天平（精度0.1 mg和0.01 g）。</w:t>
      </w:r>
    </w:p>
    <w:p w14:paraId="035DBAED">
      <w:pPr>
        <w:pStyle w:val="27"/>
        <w:numPr>
          <w:ilvl w:val="2"/>
          <w:numId w:val="0"/>
        </w:numPr>
        <w:spacing w:before="240" w:beforeLines="100" w:after="240" w:afterLines="100"/>
        <w:rPr>
          <w:rFonts w:ascii="Times New Roman" w:eastAsia="宋体"/>
          <w:color w:val="000000" w:themeColor="text1"/>
          <w14:textFill>
            <w14:solidFill>
              <w14:schemeClr w14:val="tx1"/>
            </w14:solidFill>
          </w14:textFill>
        </w:rPr>
      </w:pPr>
      <w:r>
        <w:rPr>
          <w:rFonts w:ascii="Times New Roman"/>
          <w:color w:val="000000" w:themeColor="text1"/>
          <w14:textFill>
            <w14:solidFill>
              <w14:schemeClr w14:val="tx1"/>
            </w14:solidFill>
          </w14:textFill>
        </w:rPr>
        <w:t>6.7.2 试剂</w:t>
      </w:r>
    </w:p>
    <w:p w14:paraId="54AFB608">
      <w:pPr>
        <w:pStyle w:val="24"/>
        <w:spacing w:before="240" w:beforeLines="100" w:after="240" w:afterLines="100"/>
        <w:ind w:firstLine="420"/>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t>0.2 mol/L氯化钠溶液：称取氯化钠11.69 g，加水溶解至1000 mL，即得。</w:t>
      </w:r>
    </w:p>
    <w:p w14:paraId="6E8F9536">
      <w:pPr>
        <w:pStyle w:val="27"/>
        <w:numPr>
          <w:ilvl w:val="2"/>
          <w:numId w:val="0"/>
        </w:numPr>
        <w:spacing w:before="240" w:beforeLines="100" w:after="240" w:afterLines="100"/>
        <w:rPr>
          <w:rFonts w:ascii="Times New Roman" w:eastAsia="宋体"/>
          <w:color w:val="000000" w:themeColor="text1"/>
          <w14:textFill>
            <w14:solidFill>
              <w14:schemeClr w14:val="tx1"/>
            </w14:solidFill>
          </w14:textFill>
        </w:rPr>
      </w:pPr>
      <w:r>
        <w:rPr>
          <w:rFonts w:ascii="Times New Roman"/>
          <w:color w:val="000000" w:themeColor="text1"/>
          <w14:textFill>
            <w14:solidFill>
              <w14:schemeClr w14:val="tx1"/>
            </w14:solidFill>
          </w14:textFill>
        </w:rPr>
        <w:t>6.7.3 供试品溶液</w:t>
      </w:r>
    </w:p>
    <w:p w14:paraId="7F2DBE1E">
      <w:pPr>
        <w:pStyle w:val="24"/>
        <w:spacing w:before="240" w:beforeLines="100" w:after="240" w:afterLines="100"/>
        <w:ind w:firstLine="420"/>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t>精密称定供试品约0.10 g（W₁）至100 mL容量瓶中，加0.2 mol/L氯化钠溶液适量，置</w:t>
      </w:r>
      <w:r>
        <w:rPr>
          <w:rFonts w:hint="eastAsia" w:ascii="Times New Roman"/>
          <w:color w:val="000000" w:themeColor="text1"/>
          <w14:textFill>
            <w14:solidFill>
              <w14:schemeClr w14:val="tx1"/>
            </w14:solidFill>
          </w14:textFill>
        </w:rPr>
        <w:t>于</w:t>
      </w:r>
      <w:r>
        <w:rPr>
          <w:rFonts w:ascii="Times New Roman"/>
          <w:color w:val="000000" w:themeColor="text1"/>
          <w14:textFill>
            <w14:solidFill>
              <w14:schemeClr w14:val="tx1"/>
            </w14:solidFill>
          </w14:textFill>
        </w:rPr>
        <w:t>振荡器上使溶解后稀释至刻度，摇匀；再</w:t>
      </w:r>
      <w:r>
        <w:rPr>
          <w:rFonts w:hint="eastAsia" w:ascii="Times New Roman"/>
          <w:color w:val="000000" w:themeColor="text1"/>
          <w14:textFill>
            <w14:solidFill>
              <w14:schemeClr w14:val="tx1"/>
            </w14:solidFill>
          </w14:textFill>
        </w:rPr>
        <w:t>称取</w:t>
      </w:r>
      <w:r>
        <w:rPr>
          <w:rFonts w:ascii="Times New Roman"/>
          <w:color w:val="000000" w:themeColor="text1"/>
          <w14:textFill>
            <w14:solidFill>
              <w14:schemeClr w14:val="tx1"/>
            </w14:solidFill>
          </w14:textFill>
        </w:rPr>
        <w:t>该溶液一定量（W₂）（注：根据测定的供试液的流出时间调整称样量）至100 mL容量瓶中，加0.2 mol/L氯化钠溶液稀释至刻度，摇匀，作为供试液。</w:t>
      </w:r>
    </w:p>
    <w:p w14:paraId="3F9009A0">
      <w:pPr>
        <w:pStyle w:val="27"/>
        <w:numPr>
          <w:ilvl w:val="2"/>
          <w:numId w:val="0"/>
        </w:numPr>
        <w:spacing w:before="240" w:beforeLines="100" w:after="240" w:afterLines="100"/>
        <w:rPr>
          <w:rFonts w:ascii="Times New Roman" w:eastAsia="宋体"/>
          <w:color w:val="000000" w:themeColor="text1"/>
          <w14:textFill>
            <w14:solidFill>
              <w14:schemeClr w14:val="tx1"/>
            </w14:solidFill>
          </w14:textFill>
        </w:rPr>
      </w:pPr>
      <w:r>
        <w:rPr>
          <w:rFonts w:ascii="Times New Roman"/>
          <w:color w:val="000000" w:themeColor="text1"/>
          <w14:textFill>
            <w14:solidFill>
              <w14:schemeClr w14:val="tx1"/>
            </w14:solidFill>
          </w14:textFill>
        </w:rPr>
        <w:t>6.7.4 测定</w:t>
      </w:r>
    </w:p>
    <w:p w14:paraId="01D3E08D">
      <w:pPr>
        <w:pStyle w:val="27"/>
        <w:numPr>
          <w:ilvl w:val="2"/>
          <w:numId w:val="0"/>
        </w:numPr>
        <w:spacing w:before="240" w:beforeLines="100" w:after="240" w:afterLines="100"/>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t>6.7.4.1 溶剂流出时间（t₀）的测定</w:t>
      </w:r>
    </w:p>
    <w:p w14:paraId="74A47918">
      <w:pPr>
        <w:pStyle w:val="24"/>
        <w:spacing w:before="240" w:beforeLines="100" w:after="240" w:afterLines="100"/>
        <w:ind w:firstLine="420"/>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t>取经3号垂熔玻璃漏斗滤过的0.2 mol/L氯化钠溶液适量，弃去初滤液，取续滤液（不得少于7 mL）沿洁净、干燥的乌氏黏度计的管2内壁注入球B中，将黏度计垂直固定于恒温水浴（水浴温度25 ℃±0.1 ℃）中，并使水浴液面高于球C，放置15分钟。将管口1、3各接一乳胶管，夹住管口3的胶管，自管口1处抽气，使供试液的液面缓缓升高到球C的中部，先放开管口3，再放开管口1，使供试液在管内自然下落，用秒表准确记录液面自测定线m₁下降到m₂处的流出时间。重复测定两次，两次测量的流动时间之差不得超过平均值的±0.5%，取两次测定平均值为溶剂的流出时间（t₀）。</w:t>
      </w:r>
    </w:p>
    <w:p w14:paraId="504E68D2">
      <w:pPr>
        <w:pStyle w:val="24"/>
        <w:spacing w:before="240" w:beforeLines="100" w:after="240" w:afterLines="100"/>
        <w:ind w:firstLine="420"/>
        <w:jc w:val="center"/>
        <w:rPr>
          <w:rFonts w:ascii="Times New Roman"/>
          <w:color w:val="000000" w:themeColor="text1"/>
          <w14:textFill>
            <w14:solidFill>
              <w14:schemeClr w14:val="tx1"/>
            </w14:solidFill>
          </w14:textFill>
        </w:rPr>
      </w:pPr>
      <w:r>
        <w:rPr>
          <w:rFonts w:ascii="Times New Roman"/>
          <w:szCs w:val="21"/>
        </w:rPr>
        <w:drawing>
          <wp:inline distT="0" distB="0" distL="0" distR="0">
            <wp:extent cx="977265" cy="2252980"/>
            <wp:effectExtent l="0" t="0" r="0" b="0"/>
            <wp:docPr id="2" name="图片 2" descr="HWOCRTEMP_ROC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HWOCRTEMP_ROC3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a:xfrm>
                      <a:off x="0" y="0"/>
                      <a:ext cx="977265" cy="2252980"/>
                    </a:xfrm>
                    <a:prstGeom prst="rect">
                      <a:avLst/>
                    </a:prstGeom>
                    <a:noFill/>
                    <a:ln>
                      <a:noFill/>
                    </a:ln>
                  </pic:spPr>
                </pic:pic>
              </a:graphicData>
            </a:graphic>
          </wp:inline>
        </w:drawing>
      </w:r>
    </w:p>
    <w:p w14:paraId="0D18C979">
      <w:pPr>
        <w:pStyle w:val="27"/>
        <w:numPr>
          <w:ilvl w:val="2"/>
          <w:numId w:val="0"/>
        </w:numPr>
        <w:spacing w:before="240" w:beforeLines="100" w:after="240" w:afterLines="100"/>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t>6.7.4.2 供试液流出时间（t₁）的测定</w:t>
      </w:r>
    </w:p>
    <w:p w14:paraId="5D0B00B1">
      <w:pPr>
        <w:pStyle w:val="24"/>
        <w:spacing w:before="240" w:beforeLines="100" w:after="240" w:afterLines="100"/>
        <w:ind w:firstLine="420"/>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t>取用3号垂熔玻璃漏斗滤过的供试液适量，按照溶剂流出时间的测定方法进行测定，重复测定两次，两次测量的流动时间之差不得超过平均值的±0.5%，取两次测定平均值为供试液的流出时间（t₁）。</w:t>
      </w:r>
    </w:p>
    <w:p w14:paraId="2DA95F0E">
      <w:pPr>
        <w:pStyle w:val="27"/>
        <w:numPr>
          <w:ilvl w:val="2"/>
          <w:numId w:val="0"/>
        </w:numPr>
        <w:spacing w:before="240" w:beforeLines="100" w:after="240" w:afterLines="100"/>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t>6.7.5 计算</w:t>
      </w:r>
    </w:p>
    <w:p w14:paraId="09F6FDCC">
      <w:pPr>
        <w:pStyle w:val="24"/>
        <w:spacing w:before="240" w:beforeLines="100" w:after="240" w:afterLines="100"/>
        <w:ind w:firstLine="420"/>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t>供试液浓度C按式（3）计算：</w:t>
      </w:r>
    </w:p>
    <w:p w14:paraId="17936484">
      <w:pPr>
        <w:pStyle w:val="24"/>
        <w:spacing w:before="240" w:beforeLines="100" w:after="240" w:afterLines="100"/>
        <w:ind w:firstLine="420"/>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t>C（</w:t>
      </w:r>
      <w:r>
        <w:rPr>
          <w:rFonts w:hint="eastAsia" w:ascii="Times New Roman"/>
          <w:color w:val="000000" w:themeColor="text1"/>
          <w14:textFill>
            <w14:solidFill>
              <w14:schemeClr w14:val="tx1"/>
            </w14:solidFill>
          </w14:textFill>
        </w:rPr>
        <w:t>k</w:t>
      </w:r>
      <w:r>
        <w:rPr>
          <w:rFonts w:ascii="Times New Roman"/>
          <w:color w:val="000000" w:themeColor="text1"/>
          <w14:textFill>
            <w14:solidFill>
              <w14:schemeClr w14:val="tx1"/>
            </w14:solidFill>
          </w14:textFill>
        </w:rPr>
        <w:t>g/m</w:t>
      </w:r>
      <w:r>
        <w:rPr>
          <w:rFonts w:ascii="Times New Roman"/>
          <w:color w:val="000000" w:themeColor="text1"/>
          <w:vertAlign w:val="superscript"/>
          <w14:textFill>
            <w14:solidFill>
              <w14:schemeClr w14:val="tx1"/>
            </w14:solidFill>
          </w14:textFill>
        </w:rPr>
        <w:t>3</w:t>
      </w:r>
      <w:r>
        <w:rPr>
          <w:rFonts w:ascii="Times New Roman"/>
          <w:color w:val="000000" w:themeColor="text1"/>
          <w14:textFill>
            <w14:solidFill>
              <w14:schemeClr w14:val="tx1"/>
            </w14:solidFill>
          </w14:textFill>
        </w:rPr>
        <w:t>）=</w:t>
      </w:r>
      <m:oMath>
        <m:f>
          <m:fPr>
            <m:ctrlPr>
              <w:rPr>
                <w:rFonts w:ascii="Cambria Math" w:hAnsi="Cambria Math"/>
                <w:color w:val="000000" w:themeColor="text1"/>
                <w14:textFill>
                  <w14:solidFill>
                    <w14:schemeClr w14:val="tx1"/>
                  </w14:solidFill>
                </w14:textFill>
              </w:rPr>
            </m:ctrlPr>
          </m:fPr>
          <m:num>
            <m:sSub>
              <m:sSubPr>
                <m:ctrlPr>
                  <w:rPr>
                    <w:rFonts w:ascii="Cambria Math" w:hAnsi="Cambria Math"/>
                    <w:i/>
                    <w:color w:val="000000" w:themeColor="text1"/>
                    <w14:textFill>
                      <w14:solidFill>
                        <w14:schemeClr w14:val="tx1"/>
                      </w14:solidFill>
                    </w14:textFill>
                  </w:rPr>
                </m:ctrlPr>
              </m:sSubPr>
              <m:e>
                <m:r>
                  <m:rPr/>
                  <w:rPr>
                    <w:rFonts w:ascii="Cambria Math" w:hAnsi="Cambria Math"/>
                    <w:color w:val="000000" w:themeColor="text1"/>
                    <w14:textFill>
                      <w14:solidFill>
                        <w14:schemeClr w14:val="tx1"/>
                      </w14:solidFill>
                    </w14:textFill>
                  </w:rPr>
                  <m:t>W</m:t>
                </m:r>
                <m:ctrlPr>
                  <w:rPr>
                    <w:rFonts w:ascii="Cambria Math" w:hAnsi="Cambria Math"/>
                    <w:i/>
                    <w:color w:val="000000" w:themeColor="text1"/>
                    <w14:textFill>
                      <w14:solidFill>
                        <w14:schemeClr w14:val="tx1"/>
                      </w14:solidFill>
                    </w14:textFill>
                  </w:rPr>
                </m:ctrlPr>
              </m:e>
              <m:sub>
                <m:r>
                  <m:rPr/>
                  <w:rPr>
                    <w:rFonts w:ascii="Cambria Math" w:hAnsi="Cambria Math"/>
                    <w:color w:val="000000" w:themeColor="text1"/>
                    <w14:textFill>
                      <w14:solidFill>
                        <w14:schemeClr w14:val="tx1"/>
                      </w14:solidFill>
                    </w14:textFill>
                  </w:rPr>
                  <m:t>1</m:t>
                </m:r>
                <m:ctrlPr>
                  <w:rPr>
                    <w:rFonts w:ascii="Cambria Math" w:hAnsi="Cambria Math"/>
                    <w:i/>
                    <w:color w:val="000000" w:themeColor="text1"/>
                    <w14:textFill>
                      <w14:solidFill>
                        <w14:schemeClr w14:val="tx1"/>
                      </w14:solidFill>
                    </w14:textFill>
                  </w:rPr>
                </m:ctrlPr>
              </m:sub>
            </m:sSub>
            <m:r>
              <m:rPr/>
              <w:rPr>
                <w:rFonts w:ascii="Cambria Math" w:hAnsi="Cambria Math"/>
                <w:color w:val="000000" w:themeColor="text1"/>
                <w14:textFill>
                  <w14:solidFill>
                    <w14:schemeClr w14:val="tx1"/>
                  </w14:solidFill>
                </w14:textFill>
              </w:rPr>
              <m:t>×</m:t>
            </m:r>
            <m:sSub>
              <m:sSubPr>
                <m:ctrlPr>
                  <w:rPr>
                    <w:rFonts w:ascii="Cambria Math" w:hAnsi="Cambria Math"/>
                    <w:i/>
                    <w:color w:val="000000" w:themeColor="text1"/>
                    <w14:textFill>
                      <w14:solidFill>
                        <w14:schemeClr w14:val="tx1"/>
                      </w14:solidFill>
                    </w14:textFill>
                  </w:rPr>
                </m:ctrlPr>
              </m:sSubPr>
              <m:e>
                <m:r>
                  <m:rPr/>
                  <w:rPr>
                    <w:rFonts w:ascii="Cambria Math" w:hAnsi="Cambria Math"/>
                    <w:color w:val="000000" w:themeColor="text1"/>
                    <w14:textFill>
                      <w14:solidFill>
                        <w14:schemeClr w14:val="tx1"/>
                      </w14:solidFill>
                    </w14:textFill>
                  </w:rPr>
                  <m:t>W</m:t>
                </m:r>
                <m:ctrlPr>
                  <w:rPr>
                    <w:rFonts w:ascii="Cambria Math" w:hAnsi="Cambria Math"/>
                    <w:i/>
                    <w:color w:val="000000" w:themeColor="text1"/>
                    <w14:textFill>
                      <w14:solidFill>
                        <w14:schemeClr w14:val="tx1"/>
                      </w14:solidFill>
                    </w14:textFill>
                  </w:rPr>
                </m:ctrlPr>
              </m:e>
              <m:sub>
                <m:r>
                  <m:rPr/>
                  <w:rPr>
                    <w:rFonts w:ascii="Cambria Math" w:hAnsi="Cambria Math"/>
                    <w:color w:val="000000" w:themeColor="text1"/>
                    <w14:textFill>
                      <w14:solidFill>
                        <w14:schemeClr w14:val="tx1"/>
                      </w14:solidFill>
                    </w14:textFill>
                  </w:rPr>
                  <m:t>2</m:t>
                </m:r>
                <m:ctrlPr>
                  <w:rPr>
                    <w:rFonts w:ascii="Cambria Math" w:hAnsi="Cambria Math"/>
                    <w:i/>
                    <w:color w:val="000000" w:themeColor="text1"/>
                    <w14:textFill>
                      <w14:solidFill>
                        <w14:schemeClr w14:val="tx1"/>
                      </w14:solidFill>
                    </w14:textFill>
                  </w:rPr>
                </m:ctrlPr>
              </m:sub>
            </m:sSub>
            <m:r>
              <m:rPr/>
              <w:rPr>
                <w:rFonts w:ascii="Cambria Math" w:hAnsi="Cambria Math"/>
                <w:color w:val="000000" w:themeColor="text1"/>
                <w14:textFill>
                  <w14:solidFill>
                    <w14:schemeClr w14:val="tx1"/>
                  </w14:solidFill>
                </w14:textFill>
              </w:rPr>
              <m:t>×</m:t>
            </m:r>
            <m:d>
              <m:dPr>
                <m:ctrlPr>
                  <w:rPr>
                    <w:rFonts w:ascii="Cambria Math" w:hAnsi="Cambria Math"/>
                    <w:i/>
                    <w:color w:val="000000" w:themeColor="text1"/>
                    <w14:textFill>
                      <w14:solidFill>
                        <w14:schemeClr w14:val="tx1"/>
                      </w14:solidFill>
                    </w14:textFill>
                  </w:rPr>
                </m:ctrlPr>
              </m:dPr>
              <m:e>
                <m:r>
                  <m:rPr/>
                  <w:rPr>
                    <w:rFonts w:ascii="Cambria Math" w:hAnsi="Cambria Math"/>
                    <w:color w:val="000000" w:themeColor="text1"/>
                    <w14:textFill>
                      <w14:solidFill>
                        <w14:schemeClr w14:val="tx1"/>
                      </w14:solidFill>
                    </w14:textFill>
                  </w:rPr>
                  <m:t>1−</m:t>
                </m:r>
                <m:sSub>
                  <m:sSubPr>
                    <m:ctrlPr>
                      <w:rPr>
                        <w:rFonts w:ascii="Cambria Math" w:hAnsi="Cambria Math"/>
                        <w:i/>
                        <w:color w:val="000000" w:themeColor="text1"/>
                        <w14:textFill>
                          <w14:solidFill>
                            <w14:schemeClr w14:val="tx1"/>
                          </w14:solidFill>
                        </w14:textFill>
                      </w:rPr>
                    </m:ctrlPr>
                  </m:sSubPr>
                  <m:e>
                    <m:r>
                      <m:rPr/>
                      <w:rPr>
                        <w:rFonts w:ascii="Cambria Math" w:hAnsi="Cambria Math"/>
                        <w:color w:val="000000" w:themeColor="text1"/>
                        <w14:textFill>
                          <w14:solidFill>
                            <w14:schemeClr w14:val="tx1"/>
                          </w14:solidFill>
                        </w14:textFill>
                      </w:rPr>
                      <m:t>h</m:t>
                    </m:r>
                    <m:ctrlPr>
                      <w:rPr>
                        <w:rFonts w:ascii="Cambria Math" w:hAnsi="Cambria Math"/>
                        <w:i/>
                        <w:color w:val="000000" w:themeColor="text1"/>
                        <w14:textFill>
                          <w14:solidFill>
                            <w14:schemeClr w14:val="tx1"/>
                          </w14:solidFill>
                        </w14:textFill>
                      </w:rPr>
                    </m:ctrlPr>
                  </m:e>
                  <m:sub>
                    <m:r>
                      <m:rPr/>
                      <w:rPr>
                        <w:rFonts w:ascii="Cambria Math" w:hAnsi="Cambria Math"/>
                        <w:color w:val="000000" w:themeColor="text1"/>
                        <w14:textFill>
                          <w14:solidFill>
                            <w14:schemeClr w14:val="tx1"/>
                          </w14:solidFill>
                        </w14:textFill>
                      </w:rPr>
                      <m:t>0</m:t>
                    </m:r>
                    <m:ctrlPr>
                      <w:rPr>
                        <w:rFonts w:ascii="Cambria Math" w:hAnsi="Cambria Math"/>
                        <w:i/>
                        <w:color w:val="000000" w:themeColor="text1"/>
                        <w14:textFill>
                          <w14:solidFill>
                            <w14:schemeClr w14:val="tx1"/>
                          </w14:solidFill>
                        </w14:textFill>
                      </w:rPr>
                    </m:ctrlPr>
                  </m:sub>
                </m:sSub>
                <m:ctrlPr>
                  <w:rPr>
                    <w:rFonts w:ascii="Cambria Math" w:hAnsi="Cambria Math"/>
                    <w:i/>
                    <w:color w:val="000000" w:themeColor="text1"/>
                    <w14:textFill>
                      <w14:solidFill>
                        <w14:schemeClr w14:val="tx1"/>
                      </w14:solidFill>
                    </w14:textFill>
                  </w:rPr>
                </m:ctrlPr>
              </m:e>
            </m:d>
            <m:r>
              <m:rPr/>
              <w:rPr>
                <w:rFonts w:ascii="Cambria Math" w:hAnsi="Cambria Math"/>
                <w:color w:val="000000" w:themeColor="text1"/>
                <w14:textFill>
                  <w14:solidFill>
                    <w14:schemeClr w14:val="tx1"/>
                  </w14:solidFill>
                </w14:textFill>
              </w:rPr>
              <m:t>×1000</m:t>
            </m:r>
            <m:ctrlPr>
              <w:rPr>
                <w:rFonts w:ascii="Cambria Math" w:hAnsi="Cambria Math"/>
                <w:color w:val="000000" w:themeColor="text1"/>
                <w14:textFill>
                  <w14:solidFill>
                    <w14:schemeClr w14:val="tx1"/>
                  </w14:solidFill>
                </w14:textFill>
              </w:rPr>
            </m:ctrlPr>
          </m:num>
          <m:den>
            <m:r>
              <m:rPr/>
              <w:rPr>
                <w:rFonts w:ascii="Cambria Math" w:hAnsi="Cambria Math"/>
                <w:color w:val="000000" w:themeColor="text1"/>
                <w14:textFill>
                  <w14:solidFill>
                    <w14:schemeClr w14:val="tx1"/>
                  </w14:solidFill>
                </w14:textFill>
              </w:rPr>
              <m:t>100×100×</m:t>
            </m:r>
            <m:sSub>
              <m:sSubPr>
                <m:ctrlPr>
                  <w:rPr>
                    <w:rFonts w:ascii="Cambria Math" w:hAnsi="Cambria Math"/>
                    <w:color w:val="000000" w:themeColor="text1"/>
                    <w14:textFill>
                      <w14:solidFill>
                        <w14:schemeClr w14:val="tx1"/>
                      </w14:solidFill>
                    </w14:textFill>
                  </w:rPr>
                </m:ctrlPr>
              </m:sSubPr>
              <m:e>
                <m:r>
                  <m:rPr>
                    <m:sty m:val="p"/>
                  </m:rPr>
                  <w:rPr>
                    <w:rFonts w:ascii="Cambria Math" w:hAnsi="Cambria Math"/>
                    <w:color w:val="000000" w:themeColor="text1"/>
                    <w14:textFill>
                      <w14:solidFill>
                        <w14:schemeClr w14:val="tx1"/>
                      </w14:solidFill>
                    </w14:textFill>
                  </w:rPr>
                  <m:t>ρ</m:t>
                </m:r>
                <m:ctrlPr>
                  <w:rPr>
                    <w:rFonts w:ascii="Cambria Math" w:hAnsi="Cambria Math"/>
                    <w:color w:val="000000" w:themeColor="text1"/>
                    <w14:textFill>
                      <w14:solidFill>
                        <w14:schemeClr w14:val="tx1"/>
                      </w14:solidFill>
                    </w14:textFill>
                  </w:rPr>
                </m:ctrlPr>
              </m:e>
              <m:sub>
                <m:r>
                  <m:rPr>
                    <m:sty m:val="p"/>
                  </m:rPr>
                  <w:rPr>
                    <w:rFonts w:ascii="Cambria Math" w:hAnsi="Cambria Math"/>
                    <w:color w:val="000000" w:themeColor="text1"/>
                    <w14:textFill>
                      <w14:solidFill>
                        <w14:schemeClr w14:val="tx1"/>
                      </w14:solidFill>
                    </w14:textFill>
                  </w:rPr>
                  <m:t xml:space="preserve">₂₅ </m:t>
                </m:r>
                <m:ctrlPr>
                  <w:rPr>
                    <w:rFonts w:ascii="Cambria Math" w:hAnsi="Cambria Math"/>
                    <w:color w:val="000000" w:themeColor="text1"/>
                    <w14:textFill>
                      <w14:solidFill>
                        <w14:schemeClr w14:val="tx1"/>
                      </w14:solidFill>
                    </w14:textFill>
                  </w:rPr>
                </m:ctrlPr>
              </m:sub>
            </m:sSub>
            <m:ctrlPr>
              <w:rPr>
                <w:rFonts w:ascii="Cambria Math" w:hAnsi="Cambria Math"/>
                <w:color w:val="000000" w:themeColor="text1"/>
                <w14:textFill>
                  <w14:solidFill>
                    <w14:schemeClr w14:val="tx1"/>
                  </w14:solidFill>
                </w14:textFill>
              </w:rPr>
            </m:ctrlPr>
          </m:den>
        </m:f>
      </m:oMath>
      <w:r>
        <w:rPr>
          <w:rFonts w:ascii="Times New Roman"/>
          <w:color w:val="000000" w:themeColor="text1"/>
          <w14:textFill>
            <w14:solidFill>
              <w14:schemeClr w14:val="tx1"/>
            </w14:solidFill>
          </w14:textFill>
        </w:rPr>
        <w:t>……（3）</w:t>
      </w:r>
    </w:p>
    <w:p w14:paraId="1156E6C6">
      <w:pPr>
        <w:pStyle w:val="24"/>
        <w:spacing w:before="240" w:beforeLines="100" w:after="240" w:afterLines="100"/>
        <w:ind w:firstLine="420"/>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t>式中：</w:t>
      </w:r>
    </w:p>
    <w:p w14:paraId="685FC069">
      <w:pPr>
        <w:pStyle w:val="24"/>
        <w:spacing w:before="240" w:beforeLines="100" w:after="240" w:afterLines="100"/>
        <w:ind w:firstLine="420"/>
        <w:rPr>
          <w:rFonts w:ascii="Times New Roman"/>
          <w:color w:val="000000" w:themeColor="text1"/>
          <w14:textFill>
            <w14:solidFill>
              <w14:schemeClr w14:val="tx1"/>
            </w14:solidFill>
          </w14:textFill>
        </w:rPr>
      </w:pPr>
      <w:r>
        <w:rPr>
          <w:rFonts w:hint="eastAsia" w:ascii="Times New Roman"/>
          <w:color w:val="000000" w:themeColor="text1"/>
          <w14:textFill>
            <w14:solidFill>
              <w14:schemeClr w14:val="tx1"/>
            </w14:solidFill>
          </w14:textFill>
        </w:rPr>
        <w:t>W</w:t>
      </w:r>
      <w:r>
        <w:rPr>
          <w:rFonts w:ascii="Times New Roman"/>
          <w:color w:val="000000" w:themeColor="text1"/>
          <w:vertAlign w:val="subscript"/>
          <w14:textFill>
            <w14:solidFill>
              <w14:schemeClr w14:val="tx1"/>
            </w14:solidFill>
          </w14:textFill>
        </w:rPr>
        <w:t>1</w:t>
      </w:r>
      <w:r>
        <w:rPr>
          <w:rFonts w:ascii="Times New Roman"/>
          <w:color w:val="000000" w:themeColor="text1"/>
          <w14:textFill>
            <w14:solidFill>
              <w14:schemeClr w14:val="tx1"/>
            </w14:solidFill>
          </w14:textFill>
        </w:rPr>
        <w:t>——供试品的称样量，单位为克（g）</w:t>
      </w:r>
    </w:p>
    <w:p w14:paraId="00A56EA0">
      <w:pPr>
        <w:pStyle w:val="24"/>
        <w:spacing w:before="240" w:beforeLines="100" w:after="240" w:afterLines="100"/>
        <w:ind w:firstLine="420"/>
        <w:rPr>
          <w:rFonts w:ascii="Times New Roman"/>
          <w:color w:val="000000" w:themeColor="text1"/>
          <w14:textFill>
            <w14:solidFill>
              <w14:schemeClr w14:val="tx1"/>
            </w14:solidFill>
          </w14:textFill>
        </w:rPr>
      </w:pPr>
      <w:r>
        <w:rPr>
          <w:rFonts w:hint="eastAsia" w:ascii="Times New Roman"/>
          <w:color w:val="000000" w:themeColor="text1"/>
          <w14:textFill>
            <w14:solidFill>
              <w14:schemeClr w14:val="tx1"/>
            </w14:solidFill>
          </w14:textFill>
        </w:rPr>
        <w:t>W</w:t>
      </w:r>
      <w:r>
        <w:rPr>
          <w:rFonts w:ascii="Times New Roman"/>
          <w:color w:val="000000" w:themeColor="text1"/>
          <w:vertAlign w:val="subscript"/>
          <w14:textFill>
            <w14:solidFill>
              <w14:schemeClr w14:val="tx1"/>
            </w14:solidFill>
          </w14:textFill>
        </w:rPr>
        <w:t>2</w:t>
      </w:r>
      <w:r>
        <w:rPr>
          <w:rFonts w:ascii="Times New Roman"/>
          <w:color w:val="000000" w:themeColor="text1"/>
          <w14:textFill>
            <w14:solidFill>
              <w14:schemeClr w14:val="tx1"/>
            </w14:solidFill>
          </w14:textFill>
        </w:rPr>
        <w:t>——供试品的第二次</w:t>
      </w:r>
      <w:r>
        <w:rPr>
          <w:rFonts w:hint="eastAsia" w:ascii="Times New Roman"/>
          <w:color w:val="000000" w:themeColor="text1"/>
          <w14:textFill>
            <w14:solidFill>
              <w14:schemeClr w14:val="tx1"/>
            </w14:solidFill>
          </w14:textFill>
        </w:rPr>
        <w:t>称</w:t>
      </w:r>
      <w:r>
        <w:rPr>
          <w:rFonts w:ascii="Times New Roman"/>
          <w:color w:val="000000" w:themeColor="text1"/>
          <w14:textFill>
            <w14:solidFill>
              <w14:schemeClr w14:val="tx1"/>
            </w14:solidFill>
          </w14:textFill>
        </w:rPr>
        <w:t>取量，单位为</w:t>
      </w:r>
      <w:r>
        <w:rPr>
          <w:rFonts w:hint="eastAsia" w:ascii="Times New Roman"/>
          <w:color w:val="000000" w:themeColor="text1"/>
          <w14:textFill>
            <w14:solidFill>
              <w14:schemeClr w14:val="tx1"/>
            </w14:solidFill>
          </w14:textFill>
        </w:rPr>
        <w:t>克</w:t>
      </w:r>
      <w:r>
        <w:rPr>
          <w:rFonts w:ascii="Times New Roman"/>
          <w:color w:val="000000" w:themeColor="text1"/>
          <w14:textFill>
            <w14:solidFill>
              <w14:schemeClr w14:val="tx1"/>
            </w14:solidFill>
          </w14:textFill>
        </w:rPr>
        <w:t>（g）</w:t>
      </w:r>
    </w:p>
    <w:p w14:paraId="254D722D">
      <w:pPr>
        <w:pStyle w:val="24"/>
        <w:spacing w:before="240" w:beforeLines="100" w:after="240" w:afterLines="100"/>
        <w:ind w:firstLine="420"/>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t>h</w:t>
      </w:r>
      <w:r>
        <w:rPr>
          <w:rFonts w:ascii="Times New Roman"/>
          <w:color w:val="000000" w:themeColor="text1"/>
          <w:vertAlign w:val="subscript"/>
          <w14:textFill>
            <w14:solidFill>
              <w14:schemeClr w14:val="tx1"/>
            </w14:solidFill>
          </w14:textFill>
        </w:rPr>
        <w:t>0</w:t>
      </w:r>
      <w:r>
        <w:rPr>
          <w:rFonts w:ascii="Times New Roman"/>
          <w:color w:val="000000" w:themeColor="text1"/>
          <w14:textFill>
            <w14:solidFill>
              <w14:schemeClr w14:val="tx1"/>
            </w14:solidFill>
          </w14:textFill>
        </w:rPr>
        <w:t xml:space="preserve"> —— 供试品的干燥失重，单位为%；</w:t>
      </w:r>
    </w:p>
    <w:p w14:paraId="2DE2D3C7">
      <w:pPr>
        <w:pStyle w:val="24"/>
        <w:spacing w:before="240" w:beforeLines="100" w:after="240" w:afterLines="100"/>
        <w:ind w:firstLine="420"/>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t>ρ₂₅ —— 供试液在25 ℃的密度，1.000 g/mL。</w:t>
      </w:r>
    </w:p>
    <w:p w14:paraId="34913BF8">
      <w:pPr>
        <w:pStyle w:val="24"/>
        <w:spacing w:before="240" w:beforeLines="100" w:after="240" w:afterLines="100"/>
        <w:ind w:firstLine="420"/>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t>特性黏数按式（4）计算：</w:t>
      </w:r>
    </w:p>
    <w:p w14:paraId="2E8BB62B">
      <w:pPr>
        <w:pStyle w:val="24"/>
        <w:spacing w:before="240" w:beforeLines="100" w:after="240" w:afterLines="100"/>
        <w:ind w:firstLine="420"/>
        <w:rPr>
          <w:rFonts w:ascii="Times New Roman"/>
          <w:color w:val="000000" w:themeColor="text1"/>
          <w14:textFill>
            <w14:solidFill>
              <w14:schemeClr w14:val="tx1"/>
            </w14:solidFill>
          </w14:textFill>
        </w:rPr>
      </w:pPr>
      <m:oMath>
        <m:r>
          <m:rPr>
            <m:nor/>
            <m:sty m:val="p"/>
          </m:rPr>
          <w:rPr>
            <w:rFonts w:ascii="Times New Roman"/>
            <w:b w:val="0"/>
            <w:i w:val="0"/>
            <w:szCs w:val="21"/>
          </w:rPr>
          <m:t>[η]=</m:t>
        </m:r>
        <m:f>
          <m:fPr>
            <m:ctrlPr>
              <w:rPr>
                <w:rFonts w:ascii="Cambria Math" w:hAnsi="Cambria Math"/>
                <w:szCs w:val="21"/>
              </w:rPr>
            </m:ctrlPr>
          </m:fPr>
          <m:num>
            <m:rad>
              <m:radPr>
                <m:degHide m:val="1"/>
                <m:ctrlPr>
                  <w:rPr>
                    <w:rFonts w:ascii="Cambria Math" w:hAnsi="Cambria Math"/>
                    <w:i/>
                    <w:szCs w:val="21"/>
                  </w:rPr>
                </m:ctrlPr>
              </m:radPr>
              <m:deg>
                <m:ctrlPr>
                  <w:rPr>
                    <w:rFonts w:ascii="Cambria Math" w:hAnsi="Cambria Math"/>
                    <w:i/>
                    <w:szCs w:val="21"/>
                  </w:rPr>
                </m:ctrlPr>
              </m:deg>
              <m:e>
                <m:r>
                  <m:rPr>
                    <m:nor/>
                    <m:sty m:val="p"/>
                  </m:rPr>
                  <w:rPr>
                    <w:rFonts w:ascii="Times New Roman"/>
                    <w:b w:val="0"/>
                    <w:i w:val="0"/>
                    <w:szCs w:val="21"/>
                  </w:rPr>
                  <m:t>2</m:t>
                </m:r>
                <m:d>
                  <m:dPr>
                    <m:begChr m:val="["/>
                    <m:endChr m:val="]"/>
                    <m:ctrlPr>
                      <w:rPr>
                        <w:rFonts w:ascii="Cambria Math" w:hAnsi="Cambria Math"/>
                        <w:szCs w:val="21"/>
                      </w:rPr>
                    </m:ctrlPr>
                  </m:dPr>
                  <m:e>
                    <m:d>
                      <m:dPr>
                        <m:ctrlPr>
                          <w:rPr>
                            <w:rFonts w:ascii="Cambria Math" w:hAnsi="Cambria Math"/>
                            <w:i/>
                            <w:szCs w:val="21"/>
                          </w:rPr>
                        </m:ctrlPr>
                      </m:dPr>
                      <m:e>
                        <m:f>
                          <m:fPr>
                            <m:ctrlPr>
                              <w:rPr>
                                <w:rFonts w:ascii="Cambria Math" w:hAnsi="Cambria Math"/>
                                <w:i/>
                                <w:szCs w:val="21"/>
                              </w:rPr>
                            </m:ctrlPr>
                          </m:fPr>
                          <m:num>
                            <m:sSub>
                              <m:sSubPr>
                                <m:ctrlPr>
                                  <w:rPr>
                                    <w:rFonts w:ascii="Cambria Math" w:hAnsi="Cambria Math"/>
                                    <w:i/>
                                    <w:szCs w:val="21"/>
                                  </w:rPr>
                                </m:ctrlPr>
                              </m:sSubPr>
                              <m:e>
                                <m:r>
                                  <m:rPr>
                                    <m:nor/>
                                    <m:sty m:val="p"/>
                                  </m:rPr>
                                  <w:rPr>
                                    <w:rFonts w:ascii="Times New Roman"/>
                                    <w:b w:val="0"/>
                                    <w:i w:val="0"/>
                                    <w:szCs w:val="21"/>
                                  </w:rPr>
                                  <m:t>t</m:t>
                                </m:r>
                                <m:ctrlPr>
                                  <w:rPr>
                                    <w:rFonts w:ascii="Cambria Math" w:hAnsi="Cambria Math"/>
                                    <w:i/>
                                    <w:szCs w:val="21"/>
                                  </w:rPr>
                                </m:ctrlPr>
                              </m:e>
                              <m:sub>
                                <m:r>
                                  <m:rPr>
                                    <m:nor/>
                                    <m:sty m:val="p"/>
                                  </m:rPr>
                                  <w:rPr>
                                    <w:rFonts w:ascii="Times New Roman"/>
                                    <w:b w:val="0"/>
                                    <w:i w:val="0"/>
                                    <w:szCs w:val="21"/>
                                  </w:rPr>
                                  <m:t>1</m:t>
                                </m:r>
                                <m:ctrlPr>
                                  <w:rPr>
                                    <w:rFonts w:ascii="Cambria Math" w:hAnsi="Cambria Math"/>
                                    <w:i/>
                                    <w:szCs w:val="21"/>
                                  </w:rPr>
                                </m:ctrlPr>
                              </m:sub>
                            </m:sSub>
                            <m:ctrlPr>
                              <w:rPr>
                                <w:rFonts w:ascii="Cambria Math" w:hAnsi="Cambria Math"/>
                                <w:i/>
                                <w:szCs w:val="21"/>
                              </w:rPr>
                            </m:ctrlPr>
                          </m:num>
                          <m:den>
                            <m:sSub>
                              <m:sSubPr>
                                <m:ctrlPr>
                                  <w:rPr>
                                    <w:rFonts w:ascii="Cambria Math" w:hAnsi="Cambria Math"/>
                                    <w:i/>
                                    <w:szCs w:val="21"/>
                                  </w:rPr>
                                </m:ctrlPr>
                              </m:sSubPr>
                              <m:e>
                                <m:r>
                                  <m:rPr>
                                    <m:nor/>
                                    <m:sty m:val="p"/>
                                  </m:rPr>
                                  <w:rPr>
                                    <w:rFonts w:ascii="Times New Roman"/>
                                    <w:b w:val="0"/>
                                    <w:i w:val="0"/>
                                    <w:szCs w:val="21"/>
                                  </w:rPr>
                                  <m:t>t</m:t>
                                </m:r>
                                <m:ctrlPr>
                                  <w:rPr>
                                    <w:rFonts w:ascii="Cambria Math" w:hAnsi="Cambria Math"/>
                                    <w:i/>
                                    <w:szCs w:val="21"/>
                                  </w:rPr>
                                </m:ctrlPr>
                              </m:e>
                              <m:sub>
                                <m:r>
                                  <m:rPr>
                                    <m:nor/>
                                    <m:sty m:val="p"/>
                                  </m:rPr>
                                  <w:rPr>
                                    <w:rFonts w:ascii="Times New Roman"/>
                                    <w:b w:val="0"/>
                                    <w:i w:val="0"/>
                                    <w:szCs w:val="21"/>
                                  </w:rPr>
                                  <m:t>0</m:t>
                                </m:r>
                                <m:ctrlPr>
                                  <w:rPr>
                                    <w:rFonts w:ascii="Cambria Math" w:hAnsi="Cambria Math"/>
                                    <w:i/>
                                    <w:szCs w:val="21"/>
                                  </w:rPr>
                                </m:ctrlPr>
                              </m:sub>
                            </m:sSub>
                            <m:ctrlPr>
                              <w:rPr>
                                <w:rFonts w:ascii="Cambria Math" w:hAnsi="Cambria Math"/>
                                <w:i/>
                                <w:szCs w:val="21"/>
                              </w:rPr>
                            </m:ctrlPr>
                          </m:den>
                        </m:f>
                        <m:r>
                          <m:rPr>
                            <m:nor/>
                            <m:sty m:val="p"/>
                          </m:rPr>
                          <w:rPr>
                            <w:rFonts w:ascii="Times New Roman"/>
                            <w:b w:val="0"/>
                            <w:i w:val="0"/>
                            <w:szCs w:val="21"/>
                          </w:rPr>
                          <m:t>-1</m:t>
                        </m:r>
                        <m:ctrlPr>
                          <w:rPr>
                            <w:rFonts w:ascii="Cambria Math" w:hAnsi="Cambria Math"/>
                            <w:i/>
                            <w:szCs w:val="21"/>
                          </w:rPr>
                        </m:ctrlPr>
                      </m:e>
                    </m:d>
                    <m:r>
                      <m:rPr>
                        <m:nor/>
                        <m:sty m:val="p"/>
                      </m:rPr>
                      <w:rPr>
                        <w:rFonts w:ascii="Times New Roman"/>
                        <w:b w:val="0"/>
                        <w:i w:val="0"/>
                        <w:szCs w:val="21"/>
                      </w:rPr>
                      <m:t>-ln</m:t>
                    </m:r>
                    <m:f>
                      <m:fPr>
                        <m:ctrlPr>
                          <w:rPr>
                            <w:rFonts w:ascii="Cambria Math" w:hAnsi="Cambria Math"/>
                            <w:i/>
                            <w:szCs w:val="21"/>
                          </w:rPr>
                        </m:ctrlPr>
                      </m:fPr>
                      <m:num>
                        <m:sSub>
                          <m:sSubPr>
                            <m:ctrlPr>
                              <w:rPr>
                                <w:rFonts w:ascii="Cambria Math" w:hAnsi="Cambria Math"/>
                                <w:i/>
                                <w:szCs w:val="21"/>
                              </w:rPr>
                            </m:ctrlPr>
                          </m:sSubPr>
                          <m:e>
                            <m:r>
                              <m:rPr>
                                <m:nor/>
                                <m:sty m:val="p"/>
                              </m:rPr>
                              <w:rPr>
                                <w:rFonts w:ascii="Times New Roman"/>
                                <w:b w:val="0"/>
                                <w:i w:val="0"/>
                                <w:szCs w:val="21"/>
                              </w:rPr>
                              <m:t>t</m:t>
                            </m:r>
                            <m:ctrlPr>
                              <w:rPr>
                                <w:rFonts w:ascii="Cambria Math" w:hAnsi="Cambria Math"/>
                                <w:i/>
                                <w:szCs w:val="21"/>
                              </w:rPr>
                            </m:ctrlPr>
                          </m:e>
                          <m:sub>
                            <m:r>
                              <m:rPr>
                                <m:nor/>
                                <m:sty m:val="p"/>
                              </m:rPr>
                              <w:rPr>
                                <w:rFonts w:ascii="Times New Roman"/>
                                <w:b w:val="0"/>
                                <w:i w:val="0"/>
                                <w:szCs w:val="21"/>
                              </w:rPr>
                              <m:t>1</m:t>
                            </m:r>
                            <m:ctrlPr>
                              <w:rPr>
                                <w:rFonts w:ascii="Cambria Math" w:hAnsi="Cambria Math"/>
                                <w:i/>
                                <w:szCs w:val="21"/>
                              </w:rPr>
                            </m:ctrlPr>
                          </m:sub>
                        </m:sSub>
                        <m:ctrlPr>
                          <w:rPr>
                            <w:rFonts w:ascii="Cambria Math" w:hAnsi="Cambria Math"/>
                            <w:i/>
                            <w:szCs w:val="21"/>
                          </w:rPr>
                        </m:ctrlPr>
                      </m:num>
                      <m:den>
                        <m:sSub>
                          <m:sSubPr>
                            <m:ctrlPr>
                              <w:rPr>
                                <w:rFonts w:ascii="Cambria Math" w:hAnsi="Cambria Math"/>
                                <w:i/>
                                <w:szCs w:val="21"/>
                              </w:rPr>
                            </m:ctrlPr>
                          </m:sSubPr>
                          <m:e>
                            <m:r>
                              <m:rPr>
                                <m:nor/>
                                <m:sty m:val="p"/>
                              </m:rPr>
                              <w:rPr>
                                <w:rFonts w:ascii="Times New Roman"/>
                                <w:b w:val="0"/>
                                <w:i w:val="0"/>
                                <w:szCs w:val="21"/>
                              </w:rPr>
                              <m:t>t</m:t>
                            </m:r>
                            <m:ctrlPr>
                              <w:rPr>
                                <w:rFonts w:ascii="Cambria Math" w:hAnsi="Cambria Math"/>
                                <w:i/>
                                <w:szCs w:val="21"/>
                              </w:rPr>
                            </m:ctrlPr>
                          </m:e>
                          <m:sub>
                            <m:r>
                              <m:rPr>
                                <m:nor/>
                                <m:sty m:val="p"/>
                              </m:rPr>
                              <w:rPr>
                                <w:rFonts w:ascii="Times New Roman"/>
                                <w:b w:val="0"/>
                                <w:i w:val="0"/>
                                <w:szCs w:val="21"/>
                              </w:rPr>
                              <m:t>0</m:t>
                            </m:r>
                            <m:ctrlPr>
                              <w:rPr>
                                <w:rFonts w:ascii="Cambria Math" w:hAnsi="Cambria Math"/>
                                <w:i/>
                                <w:szCs w:val="21"/>
                              </w:rPr>
                            </m:ctrlPr>
                          </m:sub>
                        </m:sSub>
                        <m:ctrlPr>
                          <w:rPr>
                            <w:rFonts w:ascii="Cambria Math" w:hAnsi="Cambria Math"/>
                            <w:i/>
                            <w:szCs w:val="21"/>
                          </w:rPr>
                        </m:ctrlPr>
                      </m:den>
                    </m:f>
                    <m:ctrlPr>
                      <w:rPr>
                        <w:rFonts w:ascii="Cambria Math" w:hAnsi="Cambria Math"/>
                        <w:szCs w:val="21"/>
                      </w:rPr>
                    </m:ctrlPr>
                  </m:e>
                </m:d>
                <m:ctrlPr>
                  <w:rPr>
                    <w:rFonts w:ascii="Cambria Math" w:hAnsi="Cambria Math"/>
                    <w:i/>
                    <w:szCs w:val="21"/>
                  </w:rPr>
                </m:ctrlPr>
              </m:e>
            </m:rad>
            <m:ctrlPr>
              <w:rPr>
                <w:rFonts w:ascii="Cambria Math" w:hAnsi="Cambria Math"/>
                <w:szCs w:val="21"/>
              </w:rPr>
            </m:ctrlPr>
          </m:num>
          <m:den>
            <m:r>
              <m:rPr>
                <m:nor/>
                <m:sty m:val="p"/>
              </m:rPr>
              <w:rPr>
                <w:rFonts w:ascii="Times New Roman"/>
                <w:b w:val="0"/>
                <w:i w:val="0"/>
                <w:szCs w:val="21"/>
              </w:rPr>
              <m:t>C</m:t>
            </m:r>
            <m:ctrlPr>
              <w:rPr>
                <w:rFonts w:ascii="Cambria Math" w:hAnsi="Cambria Math"/>
                <w:szCs w:val="21"/>
              </w:rPr>
            </m:ctrlPr>
          </m:den>
        </m:f>
      </m:oMath>
      <w:r>
        <w:rPr>
          <w:rFonts w:ascii="Times New Roman"/>
          <w:color w:val="000000" w:themeColor="text1"/>
          <w14:textFill>
            <w14:solidFill>
              <w14:schemeClr w14:val="tx1"/>
            </w14:solidFill>
          </w14:textFill>
        </w:rPr>
        <w:t>……（4）</w:t>
      </w:r>
    </w:p>
    <w:p w14:paraId="2FE9DBA1">
      <w:pPr>
        <w:pStyle w:val="24"/>
        <w:spacing w:before="240" w:beforeLines="100" w:after="240" w:afterLines="100"/>
        <w:ind w:firstLine="420"/>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t>式中：</w:t>
      </w:r>
    </w:p>
    <w:p w14:paraId="4B7D5C6B">
      <w:pPr>
        <w:pStyle w:val="24"/>
        <w:spacing w:before="240" w:beforeLines="100" w:after="240" w:afterLines="100"/>
        <w:ind w:firstLine="420"/>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t>t₁ —— 供试液的平均流出时间，单位为秒（s）；</w:t>
      </w:r>
    </w:p>
    <w:p w14:paraId="57A5AACD">
      <w:pPr>
        <w:pStyle w:val="24"/>
        <w:spacing w:before="240" w:beforeLines="100" w:after="240" w:afterLines="100"/>
        <w:ind w:firstLine="420"/>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t>t₀ —— 溶剂的流出时间，单位为秒（s）；</w:t>
      </w:r>
    </w:p>
    <w:p w14:paraId="3CC238A1">
      <w:pPr>
        <w:pStyle w:val="24"/>
        <w:spacing w:before="240" w:beforeLines="100" w:after="240" w:afterLines="100"/>
        <w:ind w:firstLine="420"/>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t>C —— 供试液的浓度（按干燥品计算），单位为</w:t>
      </w:r>
      <w:r>
        <w:rPr>
          <w:rFonts w:hint="eastAsia" w:ascii="Times New Roman"/>
          <w:color w:val="000000" w:themeColor="text1"/>
          <w14:textFill>
            <w14:solidFill>
              <w14:schemeClr w14:val="tx1"/>
            </w14:solidFill>
          </w14:textFill>
        </w:rPr>
        <w:t>千克每立方米</w:t>
      </w:r>
      <w:r>
        <w:rPr>
          <w:rFonts w:ascii="Times New Roman"/>
          <w:color w:val="000000" w:themeColor="text1"/>
          <w14:textFill>
            <w14:solidFill>
              <w14:schemeClr w14:val="tx1"/>
            </w14:solidFill>
          </w14:textFill>
        </w:rPr>
        <w:t>（</w:t>
      </w:r>
      <w:r>
        <w:rPr>
          <w:rFonts w:hint="eastAsia" w:ascii="Times New Roman"/>
          <w:color w:val="000000" w:themeColor="text1"/>
          <w14:textFill>
            <w14:solidFill>
              <w14:schemeClr w14:val="tx1"/>
            </w14:solidFill>
          </w14:textFill>
        </w:rPr>
        <w:t>k</w:t>
      </w:r>
      <w:r>
        <w:rPr>
          <w:rFonts w:ascii="Times New Roman"/>
          <w:color w:val="000000" w:themeColor="text1"/>
          <w14:textFill>
            <w14:solidFill>
              <w14:schemeClr w14:val="tx1"/>
            </w14:solidFill>
          </w14:textFill>
        </w:rPr>
        <w:t>g/m</w:t>
      </w:r>
      <w:r>
        <w:rPr>
          <w:rFonts w:ascii="Times New Roman"/>
          <w:color w:val="000000" w:themeColor="text1"/>
          <w:vertAlign w:val="superscript"/>
          <w14:textFill>
            <w14:solidFill>
              <w14:schemeClr w14:val="tx1"/>
            </w14:solidFill>
          </w14:textFill>
        </w:rPr>
        <w:t>3</w:t>
      </w:r>
      <w:r>
        <w:rPr>
          <w:rFonts w:ascii="Times New Roman"/>
          <w:color w:val="000000" w:themeColor="text1"/>
          <w14:textFill>
            <w14:solidFill>
              <w14:schemeClr w14:val="tx1"/>
            </w14:solidFill>
          </w14:textFill>
        </w:rPr>
        <w:t>）。</w:t>
      </w:r>
    </w:p>
    <w:p w14:paraId="72FB6ED7">
      <w:pPr>
        <w:pStyle w:val="27"/>
        <w:numPr>
          <w:ilvl w:val="2"/>
          <w:numId w:val="0"/>
        </w:numPr>
        <w:spacing w:before="240" w:beforeLines="100" w:after="240" w:afterLines="100"/>
        <w:rPr>
          <w:rFonts w:ascii="Times New Roman" w:eastAsia="宋体"/>
          <w:color w:val="000000" w:themeColor="text1"/>
          <w14:textFill>
            <w14:solidFill>
              <w14:schemeClr w14:val="tx1"/>
            </w14:solidFill>
          </w14:textFill>
        </w:rPr>
      </w:pPr>
      <w:r>
        <w:rPr>
          <w:rFonts w:ascii="Times New Roman"/>
          <w:color w:val="000000" w:themeColor="text1"/>
          <w14:textFill>
            <w14:solidFill>
              <w14:schemeClr w14:val="tx1"/>
            </w14:solidFill>
          </w14:textFill>
        </w:rPr>
        <w:t>6.7.6 测试有效性判定</w:t>
      </w:r>
    </w:p>
    <w:p w14:paraId="792BF404">
      <w:pPr>
        <w:pStyle w:val="24"/>
        <w:spacing w:before="240" w:beforeLines="100" w:after="240" w:afterLines="100"/>
        <w:ind w:firstLine="420"/>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t>6.7.6.1 t₀应大于100秒。</w:t>
      </w:r>
    </w:p>
    <w:p w14:paraId="63053588">
      <w:pPr>
        <w:pStyle w:val="24"/>
        <w:spacing w:before="240" w:beforeLines="100" w:after="240" w:afterLines="100"/>
        <w:ind w:firstLine="420"/>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t>6.7.6.2 供试溶液的流出时间t₁应是t₀的1.3～1.5倍。</w:t>
      </w:r>
    </w:p>
    <w:p w14:paraId="6CE008D5">
      <w:pPr>
        <w:pStyle w:val="24"/>
        <w:spacing w:before="240" w:beforeLines="100" w:after="240" w:afterLines="100"/>
        <w:ind w:firstLine="420"/>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t>6.7.6.3 满足以上两个条件测试方有效，否则应调整第二步稀释的称样量。</w:t>
      </w:r>
    </w:p>
    <w:p w14:paraId="1E8C1795">
      <w:pPr>
        <w:pStyle w:val="27"/>
        <w:numPr>
          <w:ilvl w:val="2"/>
          <w:numId w:val="0"/>
        </w:numPr>
        <w:spacing w:before="240" w:beforeLines="100" w:after="240" w:afterLines="100"/>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t>6.8 核酸</w:t>
      </w:r>
    </w:p>
    <w:p w14:paraId="64782660">
      <w:pPr>
        <w:pStyle w:val="27"/>
        <w:numPr>
          <w:ilvl w:val="2"/>
          <w:numId w:val="0"/>
        </w:numPr>
        <w:spacing w:before="240" w:beforeLines="100" w:after="240" w:afterLines="100"/>
        <w:ind w:firstLine="420" w:firstLineChars="200"/>
        <w:rPr>
          <w:rFonts w:ascii="Times New Roman" w:eastAsia="宋体"/>
          <w:color w:val="000000" w:themeColor="text1"/>
          <w14:textFill>
            <w14:solidFill>
              <w14:schemeClr w14:val="tx1"/>
            </w14:solidFill>
          </w14:textFill>
        </w:rPr>
      </w:pPr>
      <w:r>
        <w:rPr>
          <w:rFonts w:ascii="Times New Roman" w:eastAsia="宋体"/>
          <w:color w:val="000000" w:themeColor="text1"/>
          <w14:textFill>
            <w14:solidFill>
              <w14:schemeClr w14:val="tx1"/>
            </w14:solidFill>
          </w14:textFill>
        </w:rPr>
        <w:t>取6.5.3制备的溶液，以0.9%氯化钠溶液作空白，</w:t>
      </w:r>
      <w:r>
        <w:rPr>
          <w:rFonts w:hint="eastAsia" w:ascii="Times New Roman" w:eastAsia="宋体"/>
          <w:color w:val="000000" w:themeColor="text1"/>
          <w14:textFill>
            <w14:solidFill>
              <w14:schemeClr w14:val="tx1"/>
            </w14:solidFill>
          </w14:textFill>
        </w:rPr>
        <w:t>按</w:t>
      </w:r>
      <w:r>
        <w:rPr>
          <w:rFonts w:ascii="Times New Roman" w:eastAsia="宋体"/>
          <w:color w:val="000000" w:themeColor="text1"/>
          <w14:textFill>
            <w14:solidFill>
              <w14:schemeClr w14:val="tx1"/>
            </w14:solidFill>
          </w14:textFill>
        </w:rPr>
        <w:t>照紫外可见分光光度法（《中华人民共和国药典》（2025年版）四部通则0401），在260 nm波长处测定溶液的吸光度。</w:t>
      </w:r>
    </w:p>
    <w:p w14:paraId="4D3302D1">
      <w:pPr>
        <w:pStyle w:val="27"/>
        <w:numPr>
          <w:ilvl w:val="2"/>
          <w:numId w:val="0"/>
        </w:numPr>
        <w:spacing w:before="240" w:beforeLines="100" w:after="240" w:afterLines="100"/>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t>6.9 蛋白质含量</w:t>
      </w:r>
    </w:p>
    <w:p w14:paraId="2590EA51">
      <w:pPr>
        <w:pStyle w:val="27"/>
        <w:numPr>
          <w:ilvl w:val="2"/>
          <w:numId w:val="0"/>
        </w:numPr>
        <w:spacing w:before="240" w:beforeLines="100" w:after="240" w:afterLines="100"/>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t>6.9.1 仪器</w:t>
      </w:r>
    </w:p>
    <w:p w14:paraId="2F5012BB">
      <w:pPr>
        <w:pStyle w:val="27"/>
        <w:numPr>
          <w:ilvl w:val="2"/>
          <w:numId w:val="0"/>
        </w:numPr>
        <w:spacing w:before="240" w:beforeLines="100" w:after="240" w:afterLines="100"/>
        <w:rPr>
          <w:rFonts w:ascii="Times New Roman" w:eastAsia="宋体"/>
          <w:color w:val="000000" w:themeColor="text1"/>
          <w14:textFill>
            <w14:solidFill>
              <w14:schemeClr w14:val="tx1"/>
            </w14:solidFill>
          </w14:textFill>
        </w:rPr>
      </w:pPr>
      <w:r>
        <w:rPr>
          <w:rFonts w:ascii="Times New Roman" w:eastAsia="宋体"/>
          <w:color w:val="000000" w:themeColor="text1"/>
          <w14:textFill>
            <w14:solidFill>
              <w14:schemeClr w14:val="tx1"/>
            </w14:solidFill>
          </w14:textFill>
        </w:rPr>
        <w:t>6.9.1.1 紫外可见分光光度计。</w:t>
      </w:r>
    </w:p>
    <w:p w14:paraId="16527D9E">
      <w:pPr>
        <w:pStyle w:val="27"/>
        <w:numPr>
          <w:ilvl w:val="2"/>
          <w:numId w:val="0"/>
        </w:numPr>
        <w:spacing w:before="240" w:beforeLines="100" w:after="240" w:afterLines="100"/>
        <w:rPr>
          <w:rFonts w:ascii="Times New Roman" w:eastAsia="宋体"/>
          <w:color w:val="000000" w:themeColor="text1"/>
          <w14:textFill>
            <w14:solidFill>
              <w14:schemeClr w14:val="tx1"/>
            </w14:solidFill>
          </w14:textFill>
        </w:rPr>
      </w:pPr>
      <w:r>
        <w:rPr>
          <w:rFonts w:ascii="Times New Roman" w:eastAsia="宋体"/>
          <w:color w:val="000000" w:themeColor="text1"/>
          <w14:textFill>
            <w14:solidFill>
              <w14:schemeClr w14:val="tx1"/>
            </w14:solidFill>
          </w14:textFill>
        </w:rPr>
        <w:t>6.9.1.2 电子天平，精度0.1 mg。</w:t>
      </w:r>
    </w:p>
    <w:p w14:paraId="4C2045E1">
      <w:pPr>
        <w:pStyle w:val="27"/>
        <w:numPr>
          <w:ilvl w:val="2"/>
          <w:numId w:val="0"/>
        </w:numPr>
        <w:spacing w:before="240" w:beforeLines="100" w:after="240" w:afterLines="100"/>
        <w:rPr>
          <w:rFonts w:ascii="Times New Roman" w:eastAsia="宋体"/>
          <w:color w:val="000000" w:themeColor="text1"/>
          <w14:textFill>
            <w14:solidFill>
              <w14:schemeClr w14:val="tx1"/>
            </w14:solidFill>
          </w14:textFill>
        </w:rPr>
      </w:pPr>
      <w:r>
        <w:rPr>
          <w:rFonts w:ascii="Times New Roman" w:eastAsia="宋体"/>
          <w:color w:val="000000" w:themeColor="text1"/>
          <w14:textFill>
            <w14:solidFill>
              <w14:schemeClr w14:val="tx1"/>
            </w14:solidFill>
          </w14:textFill>
        </w:rPr>
        <w:t>6.9.1.3 移液器。</w:t>
      </w:r>
    </w:p>
    <w:p w14:paraId="385FC20E">
      <w:pPr>
        <w:pStyle w:val="27"/>
        <w:numPr>
          <w:ilvl w:val="2"/>
          <w:numId w:val="0"/>
        </w:numPr>
        <w:spacing w:before="240" w:beforeLines="100" w:after="240" w:afterLines="100"/>
        <w:rPr>
          <w:rFonts w:ascii="Times New Roman" w:eastAsia="宋体"/>
          <w:color w:val="000000" w:themeColor="text1"/>
          <w14:textFill>
            <w14:solidFill>
              <w14:schemeClr w14:val="tx1"/>
            </w14:solidFill>
          </w14:textFill>
        </w:rPr>
      </w:pPr>
      <w:r>
        <w:rPr>
          <w:rFonts w:ascii="Times New Roman" w:eastAsia="宋体"/>
          <w:color w:val="000000" w:themeColor="text1"/>
          <w14:textFill>
            <w14:solidFill>
              <w14:schemeClr w14:val="tx1"/>
            </w14:solidFill>
          </w14:textFill>
        </w:rPr>
        <w:t>6.9.1.4 秒表。</w:t>
      </w:r>
    </w:p>
    <w:p w14:paraId="3333D9C5">
      <w:pPr>
        <w:pStyle w:val="27"/>
        <w:numPr>
          <w:ilvl w:val="2"/>
          <w:numId w:val="0"/>
        </w:numPr>
        <w:spacing w:before="240" w:beforeLines="100" w:after="240" w:afterLines="100"/>
        <w:rPr>
          <w:rFonts w:ascii="Times New Roman" w:eastAsia="宋体"/>
          <w:color w:val="000000" w:themeColor="text1"/>
          <w14:textFill>
            <w14:solidFill>
              <w14:schemeClr w14:val="tx1"/>
            </w14:solidFill>
          </w14:textFill>
        </w:rPr>
      </w:pPr>
      <w:r>
        <w:rPr>
          <w:rFonts w:ascii="Times New Roman" w:eastAsia="宋体"/>
          <w:color w:val="000000" w:themeColor="text1"/>
          <w14:textFill>
            <w14:solidFill>
              <w14:schemeClr w14:val="tx1"/>
            </w14:solidFill>
          </w14:textFill>
        </w:rPr>
        <w:t>6.9.1.5 具塞试管（15 mL）。</w:t>
      </w:r>
    </w:p>
    <w:p w14:paraId="548FAC12">
      <w:pPr>
        <w:pStyle w:val="27"/>
        <w:numPr>
          <w:ilvl w:val="2"/>
          <w:numId w:val="0"/>
        </w:numPr>
        <w:spacing w:before="240" w:beforeLines="100" w:after="240" w:afterLines="100"/>
        <w:rPr>
          <w:rFonts w:ascii="Times New Roman" w:eastAsia="宋体"/>
          <w:color w:val="000000" w:themeColor="text1"/>
          <w14:textFill>
            <w14:solidFill>
              <w14:schemeClr w14:val="tx1"/>
            </w14:solidFill>
          </w14:textFill>
        </w:rPr>
      </w:pPr>
      <w:r>
        <w:rPr>
          <w:rFonts w:ascii="Times New Roman" w:eastAsia="宋体"/>
          <w:color w:val="000000" w:themeColor="text1"/>
          <w14:textFill>
            <w14:solidFill>
              <w14:schemeClr w14:val="tx1"/>
            </w14:solidFill>
          </w14:textFill>
        </w:rPr>
        <w:t>6.9.1.6 漩涡混合器。</w:t>
      </w:r>
    </w:p>
    <w:p w14:paraId="479A7557">
      <w:pPr>
        <w:pStyle w:val="27"/>
        <w:numPr>
          <w:ilvl w:val="2"/>
          <w:numId w:val="0"/>
        </w:numPr>
        <w:spacing w:before="240" w:beforeLines="100" w:after="240" w:afterLines="100"/>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t>6.9.2 试液配制</w:t>
      </w:r>
    </w:p>
    <w:p w14:paraId="195DDBD7">
      <w:pPr>
        <w:pStyle w:val="27"/>
        <w:numPr>
          <w:ilvl w:val="2"/>
          <w:numId w:val="0"/>
        </w:numPr>
        <w:spacing w:before="240" w:beforeLines="100" w:after="240" w:afterLines="100"/>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t>6.9.2.1 碱性酒石酸铜试液</w:t>
      </w:r>
    </w:p>
    <w:p w14:paraId="0D1838DC">
      <w:pPr>
        <w:pStyle w:val="27"/>
        <w:numPr>
          <w:ilvl w:val="2"/>
          <w:numId w:val="0"/>
        </w:numPr>
        <w:spacing w:before="240" w:beforeLines="100" w:after="240" w:afterLines="100"/>
        <w:ind w:firstLine="420" w:firstLineChars="200"/>
        <w:rPr>
          <w:rFonts w:ascii="Times New Roman" w:eastAsia="宋体"/>
          <w:color w:val="000000" w:themeColor="text1"/>
          <w14:textFill>
            <w14:solidFill>
              <w14:schemeClr w14:val="tx1"/>
            </w14:solidFill>
          </w14:textFill>
        </w:rPr>
      </w:pPr>
      <w:r>
        <w:rPr>
          <w:rFonts w:ascii="Times New Roman" w:eastAsia="宋体"/>
          <w:color w:val="000000" w:themeColor="text1"/>
          <w14:textFill>
            <w14:solidFill>
              <w14:schemeClr w14:val="tx1"/>
            </w14:solidFill>
          </w14:textFill>
        </w:rPr>
        <w:t>碱性铜试液：取氢氧化钠10g，碳酸钠50g，加水400mL使溶解，作为甲液；取酒石酸钾0.5g，加水50mL使溶解，另取硫酸铜0.25g，加水30mL使溶解，将两液混合作为乙液。临用前，合并甲、乙液，并加水至500mL。</w:t>
      </w:r>
    </w:p>
    <w:p w14:paraId="541A4A8A">
      <w:pPr>
        <w:pStyle w:val="27"/>
        <w:numPr>
          <w:ilvl w:val="2"/>
          <w:numId w:val="0"/>
        </w:numPr>
        <w:spacing w:before="240" w:beforeLines="100" w:after="240" w:afterLines="100"/>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t>6.9.3 牛血清白蛋白对照溶液的制备</w:t>
      </w:r>
    </w:p>
    <w:p w14:paraId="6CF810D7">
      <w:pPr>
        <w:pStyle w:val="27"/>
        <w:numPr>
          <w:ilvl w:val="2"/>
          <w:numId w:val="0"/>
        </w:numPr>
        <w:spacing w:before="240" w:beforeLines="100" w:after="240" w:afterLines="100"/>
        <w:ind w:firstLine="420" w:firstLineChars="200"/>
        <w:rPr>
          <w:rFonts w:ascii="Times New Roman" w:eastAsia="宋体"/>
          <w:color w:val="000000" w:themeColor="text1"/>
          <w14:textFill>
            <w14:solidFill>
              <w14:schemeClr w14:val="tx1"/>
            </w14:solidFill>
          </w14:textFill>
        </w:rPr>
      </w:pPr>
      <w:r>
        <w:rPr>
          <w:rFonts w:ascii="Times New Roman" w:eastAsia="宋体"/>
          <w:color w:val="000000" w:themeColor="text1"/>
          <w14:textFill>
            <w14:solidFill>
              <w14:schemeClr w14:val="tx1"/>
            </w14:solidFill>
          </w14:textFill>
        </w:rPr>
        <w:t>精密称取牛血清白蛋白约50 mg（M），置</w:t>
      </w:r>
      <w:r>
        <w:rPr>
          <w:rFonts w:hint="eastAsia" w:ascii="Times New Roman" w:eastAsia="宋体"/>
          <w:color w:val="000000" w:themeColor="text1"/>
          <w14:textFill>
            <w14:solidFill>
              <w14:schemeClr w14:val="tx1"/>
            </w14:solidFill>
          </w14:textFill>
        </w:rPr>
        <w:t>于</w:t>
      </w:r>
      <w:r>
        <w:rPr>
          <w:rFonts w:ascii="Times New Roman" w:eastAsia="宋体"/>
          <w:color w:val="000000" w:themeColor="text1"/>
          <w14:textFill>
            <w14:solidFill>
              <w14:schemeClr w14:val="tx1"/>
            </w14:solidFill>
          </w14:textFill>
        </w:rPr>
        <w:t>100 mL量瓶中，加水溶解稀释至刻度，摇匀，作为贮备液。临用前精密量取贮备液5.0 mL，置</w:t>
      </w:r>
      <w:r>
        <w:rPr>
          <w:rFonts w:hint="eastAsia" w:ascii="Times New Roman" w:eastAsia="宋体"/>
          <w:color w:val="000000" w:themeColor="text1"/>
          <w14:textFill>
            <w14:solidFill>
              <w14:schemeClr w14:val="tx1"/>
            </w14:solidFill>
          </w14:textFill>
        </w:rPr>
        <w:t>于</w:t>
      </w:r>
      <w:r>
        <w:rPr>
          <w:rFonts w:ascii="Times New Roman" w:eastAsia="宋体"/>
          <w:color w:val="000000" w:themeColor="text1"/>
          <w14:textFill>
            <w14:solidFill>
              <w14:schemeClr w14:val="tx1"/>
            </w14:solidFill>
          </w14:textFill>
        </w:rPr>
        <w:t>50 mL量瓶中，加水制成每1 mL中约含50 μg的溶液，摇匀。</w:t>
      </w:r>
    </w:p>
    <w:p w14:paraId="0967F988">
      <w:pPr>
        <w:pStyle w:val="27"/>
        <w:numPr>
          <w:ilvl w:val="2"/>
          <w:numId w:val="0"/>
        </w:numPr>
        <w:spacing w:before="240" w:beforeLines="100" w:after="240" w:afterLines="100"/>
        <w:rPr>
          <w:rFonts w:ascii="Times New Roman" w:eastAsia="宋体"/>
          <w:color w:val="000000" w:themeColor="text1"/>
          <w14:textFill>
            <w14:solidFill>
              <w14:schemeClr w14:val="tx1"/>
            </w14:solidFill>
          </w14:textFill>
        </w:rPr>
      </w:pPr>
      <w:r>
        <w:rPr>
          <w:rFonts w:ascii="Times New Roman"/>
          <w:color w:val="000000" w:themeColor="text1"/>
          <w14:textFill>
            <w14:solidFill>
              <w14:schemeClr w14:val="tx1"/>
            </w14:solidFill>
          </w14:textFill>
        </w:rPr>
        <w:t>6.9.4 标准曲线的制备</w:t>
      </w:r>
    </w:p>
    <w:p w14:paraId="62D76A40">
      <w:pPr>
        <w:pStyle w:val="27"/>
        <w:numPr>
          <w:ilvl w:val="2"/>
          <w:numId w:val="0"/>
        </w:numPr>
        <w:spacing w:before="240" w:beforeLines="100" w:after="240" w:afterLines="100"/>
        <w:ind w:firstLine="420" w:firstLineChars="200"/>
        <w:rPr>
          <w:rFonts w:ascii="Times New Roman" w:eastAsia="宋体"/>
          <w:color w:val="000000" w:themeColor="text1"/>
          <w14:textFill>
            <w14:solidFill>
              <w14:schemeClr w14:val="tx1"/>
            </w14:solidFill>
          </w14:textFill>
        </w:rPr>
      </w:pPr>
      <w:r>
        <w:rPr>
          <w:rFonts w:ascii="Times New Roman" w:eastAsia="宋体"/>
          <w:color w:val="000000" w:themeColor="text1"/>
          <w14:textFill>
            <w14:solidFill>
              <w14:schemeClr w14:val="tx1"/>
            </w14:solidFill>
          </w14:textFill>
        </w:rPr>
        <w:t>按表1精密量取对照溶液、水和试液。</w:t>
      </w:r>
    </w:p>
    <w:p w14:paraId="20BD766D">
      <w:pPr>
        <w:pStyle w:val="24"/>
        <w:ind w:firstLine="420"/>
      </w:pPr>
    </w:p>
    <w:p w14:paraId="21975002">
      <w:pPr>
        <w:pStyle w:val="24"/>
        <w:ind w:firstLine="420"/>
      </w:pPr>
    </w:p>
    <w:p w14:paraId="3955CCA7">
      <w:pPr>
        <w:pStyle w:val="24"/>
        <w:ind w:firstLine="420"/>
      </w:pPr>
    </w:p>
    <w:p w14:paraId="3CB99935">
      <w:pPr>
        <w:pStyle w:val="27"/>
        <w:numPr>
          <w:ilvl w:val="2"/>
          <w:numId w:val="0"/>
        </w:numPr>
        <w:spacing w:before="240" w:beforeLines="100" w:after="240" w:afterLines="100"/>
        <w:jc w:val="center"/>
        <w:rPr>
          <w:rFonts w:ascii="Times New Roman"/>
        </w:rPr>
      </w:pPr>
      <w:r>
        <w:rPr>
          <w:rFonts w:ascii="Times New Roman"/>
          <w:color w:val="000000" w:themeColor="text1"/>
          <w14:textFill>
            <w14:solidFill>
              <w14:schemeClr w14:val="tx1"/>
            </w14:solidFill>
          </w14:textFill>
        </w:rPr>
        <w:t>表1 试剂添加量</w:t>
      </w:r>
    </w:p>
    <w:tbl>
      <w:tblPr>
        <w:tblStyle w:val="4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315"/>
        <w:gridCol w:w="567"/>
        <w:gridCol w:w="567"/>
        <w:gridCol w:w="567"/>
        <w:gridCol w:w="567"/>
        <w:gridCol w:w="567"/>
        <w:gridCol w:w="567"/>
        <w:gridCol w:w="567"/>
      </w:tblGrid>
      <w:tr w14:paraId="164980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1" w:hRule="atLeast"/>
          <w:jc w:val="center"/>
        </w:trPr>
        <w:tc>
          <w:tcPr>
            <w:tcW w:w="4315" w:type="dxa"/>
            <w:vAlign w:val="center"/>
          </w:tcPr>
          <w:p w14:paraId="62D0FD69">
            <w:pPr>
              <w:widowControl/>
              <w:tabs>
                <w:tab w:val="center" w:pos="4201"/>
                <w:tab w:val="right" w:leader="dot" w:pos="9298"/>
              </w:tabs>
              <w:autoSpaceDE w:val="0"/>
              <w:autoSpaceDN w:val="0"/>
              <w:adjustRightInd w:val="0"/>
              <w:snapToGrid w:val="0"/>
              <w:jc w:val="center"/>
              <w:rPr>
                <w:rFonts w:ascii="Times New Roman" w:hAnsi="Times New Roman" w:cs="Times New Roman"/>
                <w:kern w:val="0"/>
                <w:sz w:val="18"/>
                <w:szCs w:val="21"/>
              </w:rPr>
            </w:pPr>
            <w:r>
              <w:rPr>
                <w:rFonts w:ascii="Times New Roman" w:hAnsi="Times New Roman" w:cs="Times New Roman"/>
                <w:kern w:val="0"/>
                <w:sz w:val="18"/>
                <w:szCs w:val="21"/>
              </w:rPr>
              <w:t>试管编号</w:t>
            </w:r>
          </w:p>
        </w:tc>
        <w:tc>
          <w:tcPr>
            <w:tcW w:w="567" w:type="dxa"/>
            <w:vAlign w:val="center"/>
          </w:tcPr>
          <w:p w14:paraId="792671A6">
            <w:pPr>
              <w:widowControl/>
              <w:tabs>
                <w:tab w:val="center" w:pos="4201"/>
                <w:tab w:val="right" w:leader="dot" w:pos="9298"/>
              </w:tabs>
              <w:autoSpaceDE w:val="0"/>
              <w:autoSpaceDN w:val="0"/>
              <w:adjustRightInd w:val="0"/>
              <w:snapToGrid w:val="0"/>
              <w:jc w:val="center"/>
              <w:rPr>
                <w:rFonts w:ascii="Times New Roman" w:hAnsi="Times New Roman" w:cs="Times New Roman"/>
                <w:kern w:val="0"/>
                <w:sz w:val="18"/>
                <w:szCs w:val="21"/>
              </w:rPr>
            </w:pPr>
            <w:r>
              <w:rPr>
                <w:rFonts w:ascii="Times New Roman" w:hAnsi="Times New Roman" w:cs="Times New Roman"/>
                <w:kern w:val="0"/>
                <w:sz w:val="18"/>
                <w:szCs w:val="21"/>
              </w:rPr>
              <w:t>0#</w:t>
            </w:r>
          </w:p>
        </w:tc>
        <w:tc>
          <w:tcPr>
            <w:tcW w:w="567" w:type="dxa"/>
            <w:vAlign w:val="center"/>
          </w:tcPr>
          <w:p w14:paraId="1FCC2E6C">
            <w:pPr>
              <w:widowControl/>
              <w:tabs>
                <w:tab w:val="center" w:pos="4201"/>
                <w:tab w:val="right" w:leader="dot" w:pos="9298"/>
              </w:tabs>
              <w:autoSpaceDE w:val="0"/>
              <w:autoSpaceDN w:val="0"/>
              <w:adjustRightInd w:val="0"/>
              <w:snapToGrid w:val="0"/>
              <w:jc w:val="center"/>
              <w:rPr>
                <w:rFonts w:ascii="Times New Roman" w:hAnsi="Times New Roman" w:cs="Times New Roman"/>
                <w:kern w:val="0"/>
                <w:sz w:val="18"/>
                <w:szCs w:val="21"/>
              </w:rPr>
            </w:pPr>
            <w:r>
              <w:rPr>
                <w:rFonts w:ascii="Times New Roman" w:hAnsi="Times New Roman" w:cs="Times New Roman"/>
                <w:kern w:val="0"/>
                <w:sz w:val="18"/>
                <w:szCs w:val="21"/>
              </w:rPr>
              <w:t>1#</w:t>
            </w:r>
          </w:p>
        </w:tc>
        <w:tc>
          <w:tcPr>
            <w:tcW w:w="567" w:type="dxa"/>
            <w:vAlign w:val="center"/>
          </w:tcPr>
          <w:p w14:paraId="759E1F92">
            <w:pPr>
              <w:widowControl/>
              <w:tabs>
                <w:tab w:val="center" w:pos="4201"/>
                <w:tab w:val="right" w:leader="dot" w:pos="9298"/>
              </w:tabs>
              <w:autoSpaceDE w:val="0"/>
              <w:autoSpaceDN w:val="0"/>
              <w:adjustRightInd w:val="0"/>
              <w:snapToGrid w:val="0"/>
              <w:jc w:val="center"/>
              <w:rPr>
                <w:rFonts w:ascii="Times New Roman" w:hAnsi="Times New Roman" w:cs="Times New Roman"/>
                <w:kern w:val="0"/>
                <w:sz w:val="18"/>
                <w:szCs w:val="21"/>
              </w:rPr>
            </w:pPr>
            <w:r>
              <w:rPr>
                <w:rFonts w:ascii="Times New Roman" w:hAnsi="Times New Roman" w:cs="Times New Roman"/>
                <w:kern w:val="0"/>
                <w:sz w:val="18"/>
                <w:szCs w:val="21"/>
              </w:rPr>
              <w:t>2#</w:t>
            </w:r>
          </w:p>
        </w:tc>
        <w:tc>
          <w:tcPr>
            <w:tcW w:w="567" w:type="dxa"/>
            <w:vAlign w:val="center"/>
          </w:tcPr>
          <w:p w14:paraId="211DF607">
            <w:pPr>
              <w:widowControl/>
              <w:tabs>
                <w:tab w:val="center" w:pos="4201"/>
                <w:tab w:val="right" w:leader="dot" w:pos="9298"/>
              </w:tabs>
              <w:autoSpaceDE w:val="0"/>
              <w:autoSpaceDN w:val="0"/>
              <w:adjustRightInd w:val="0"/>
              <w:snapToGrid w:val="0"/>
              <w:jc w:val="center"/>
              <w:rPr>
                <w:rFonts w:ascii="Times New Roman" w:hAnsi="Times New Roman" w:cs="Times New Roman"/>
                <w:kern w:val="0"/>
                <w:sz w:val="18"/>
                <w:szCs w:val="21"/>
              </w:rPr>
            </w:pPr>
            <w:r>
              <w:rPr>
                <w:rFonts w:ascii="Times New Roman" w:hAnsi="Times New Roman" w:cs="Times New Roman"/>
                <w:kern w:val="0"/>
                <w:sz w:val="18"/>
                <w:szCs w:val="21"/>
              </w:rPr>
              <w:t>3#</w:t>
            </w:r>
          </w:p>
        </w:tc>
        <w:tc>
          <w:tcPr>
            <w:tcW w:w="567" w:type="dxa"/>
            <w:vAlign w:val="center"/>
          </w:tcPr>
          <w:p w14:paraId="3760BF14">
            <w:pPr>
              <w:widowControl/>
              <w:tabs>
                <w:tab w:val="center" w:pos="4201"/>
                <w:tab w:val="right" w:leader="dot" w:pos="9298"/>
              </w:tabs>
              <w:autoSpaceDE w:val="0"/>
              <w:autoSpaceDN w:val="0"/>
              <w:adjustRightInd w:val="0"/>
              <w:snapToGrid w:val="0"/>
              <w:jc w:val="center"/>
              <w:rPr>
                <w:rFonts w:ascii="Times New Roman" w:hAnsi="Times New Roman" w:cs="Times New Roman"/>
                <w:kern w:val="0"/>
                <w:sz w:val="18"/>
                <w:szCs w:val="21"/>
              </w:rPr>
            </w:pPr>
            <w:r>
              <w:rPr>
                <w:rFonts w:ascii="Times New Roman" w:hAnsi="Times New Roman" w:cs="Times New Roman"/>
                <w:kern w:val="0"/>
                <w:sz w:val="18"/>
                <w:szCs w:val="21"/>
              </w:rPr>
              <w:t>4#</w:t>
            </w:r>
          </w:p>
        </w:tc>
        <w:tc>
          <w:tcPr>
            <w:tcW w:w="567" w:type="dxa"/>
            <w:vAlign w:val="center"/>
          </w:tcPr>
          <w:p w14:paraId="20B1B462">
            <w:pPr>
              <w:widowControl/>
              <w:tabs>
                <w:tab w:val="center" w:pos="4201"/>
                <w:tab w:val="right" w:leader="dot" w:pos="9298"/>
              </w:tabs>
              <w:autoSpaceDE w:val="0"/>
              <w:autoSpaceDN w:val="0"/>
              <w:adjustRightInd w:val="0"/>
              <w:snapToGrid w:val="0"/>
              <w:jc w:val="center"/>
              <w:rPr>
                <w:rFonts w:ascii="Times New Roman" w:hAnsi="Times New Roman" w:cs="Times New Roman"/>
                <w:kern w:val="0"/>
                <w:sz w:val="18"/>
                <w:szCs w:val="21"/>
              </w:rPr>
            </w:pPr>
            <w:r>
              <w:rPr>
                <w:rFonts w:ascii="Times New Roman" w:hAnsi="Times New Roman" w:cs="Times New Roman"/>
                <w:kern w:val="0"/>
                <w:sz w:val="18"/>
                <w:szCs w:val="21"/>
              </w:rPr>
              <w:t>5#</w:t>
            </w:r>
          </w:p>
        </w:tc>
        <w:tc>
          <w:tcPr>
            <w:tcW w:w="567" w:type="dxa"/>
            <w:vAlign w:val="center"/>
          </w:tcPr>
          <w:p w14:paraId="0F9E0B65">
            <w:pPr>
              <w:widowControl/>
              <w:tabs>
                <w:tab w:val="center" w:pos="4201"/>
                <w:tab w:val="right" w:leader="dot" w:pos="9298"/>
              </w:tabs>
              <w:autoSpaceDE w:val="0"/>
              <w:autoSpaceDN w:val="0"/>
              <w:adjustRightInd w:val="0"/>
              <w:snapToGrid w:val="0"/>
              <w:jc w:val="center"/>
              <w:rPr>
                <w:rFonts w:ascii="Times New Roman" w:hAnsi="Times New Roman" w:cs="Times New Roman"/>
                <w:kern w:val="0"/>
                <w:sz w:val="18"/>
                <w:szCs w:val="21"/>
              </w:rPr>
            </w:pPr>
            <w:r>
              <w:rPr>
                <w:rFonts w:ascii="Times New Roman" w:hAnsi="Times New Roman" w:cs="Times New Roman"/>
                <w:kern w:val="0"/>
                <w:sz w:val="18"/>
                <w:szCs w:val="21"/>
              </w:rPr>
              <w:t>6#</w:t>
            </w:r>
          </w:p>
        </w:tc>
      </w:tr>
      <w:tr w14:paraId="098F71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1" w:hRule="atLeast"/>
          <w:jc w:val="center"/>
        </w:trPr>
        <w:tc>
          <w:tcPr>
            <w:tcW w:w="4315" w:type="dxa"/>
            <w:vAlign w:val="center"/>
          </w:tcPr>
          <w:p w14:paraId="6639E434">
            <w:pPr>
              <w:widowControl/>
              <w:tabs>
                <w:tab w:val="center" w:pos="4201"/>
                <w:tab w:val="right" w:leader="dot" w:pos="9298"/>
              </w:tabs>
              <w:autoSpaceDE w:val="0"/>
              <w:autoSpaceDN w:val="0"/>
              <w:adjustRightInd w:val="0"/>
              <w:snapToGrid w:val="0"/>
              <w:jc w:val="center"/>
              <w:rPr>
                <w:rFonts w:ascii="Times New Roman" w:hAnsi="Times New Roman" w:cs="Times New Roman"/>
                <w:kern w:val="0"/>
                <w:sz w:val="18"/>
                <w:szCs w:val="21"/>
              </w:rPr>
            </w:pPr>
            <w:r>
              <w:rPr>
                <w:rFonts w:ascii="Times New Roman" w:hAnsi="Times New Roman" w:cs="Times New Roman"/>
                <w:kern w:val="0"/>
                <w:sz w:val="18"/>
                <w:szCs w:val="21"/>
              </w:rPr>
              <w:t>对照溶液（mL）</w:t>
            </w:r>
          </w:p>
        </w:tc>
        <w:tc>
          <w:tcPr>
            <w:tcW w:w="567" w:type="dxa"/>
            <w:vAlign w:val="center"/>
          </w:tcPr>
          <w:p w14:paraId="2C5DAC6C">
            <w:pPr>
              <w:widowControl/>
              <w:tabs>
                <w:tab w:val="center" w:pos="4201"/>
                <w:tab w:val="right" w:leader="dot" w:pos="9298"/>
              </w:tabs>
              <w:autoSpaceDE w:val="0"/>
              <w:autoSpaceDN w:val="0"/>
              <w:adjustRightInd w:val="0"/>
              <w:snapToGrid w:val="0"/>
              <w:jc w:val="center"/>
              <w:rPr>
                <w:rFonts w:ascii="Times New Roman" w:hAnsi="Times New Roman" w:cs="Times New Roman"/>
                <w:kern w:val="0"/>
                <w:sz w:val="18"/>
                <w:szCs w:val="21"/>
              </w:rPr>
            </w:pPr>
            <w:r>
              <w:rPr>
                <w:rFonts w:ascii="Times New Roman" w:hAnsi="Times New Roman" w:cs="Times New Roman"/>
                <w:kern w:val="0"/>
                <w:sz w:val="18"/>
                <w:szCs w:val="21"/>
              </w:rPr>
              <w:t>0</w:t>
            </w:r>
          </w:p>
        </w:tc>
        <w:tc>
          <w:tcPr>
            <w:tcW w:w="567" w:type="dxa"/>
            <w:vAlign w:val="center"/>
          </w:tcPr>
          <w:p w14:paraId="51E2ACDD">
            <w:pPr>
              <w:widowControl/>
              <w:tabs>
                <w:tab w:val="center" w:pos="4201"/>
                <w:tab w:val="right" w:leader="dot" w:pos="9298"/>
              </w:tabs>
              <w:autoSpaceDE w:val="0"/>
              <w:autoSpaceDN w:val="0"/>
              <w:adjustRightInd w:val="0"/>
              <w:snapToGrid w:val="0"/>
              <w:jc w:val="center"/>
              <w:rPr>
                <w:rFonts w:ascii="Times New Roman" w:hAnsi="Times New Roman" w:cs="Times New Roman"/>
                <w:kern w:val="0"/>
                <w:sz w:val="18"/>
                <w:szCs w:val="21"/>
              </w:rPr>
            </w:pPr>
            <w:r>
              <w:rPr>
                <w:rFonts w:ascii="Times New Roman" w:hAnsi="Times New Roman" w:cs="Times New Roman"/>
                <w:kern w:val="0"/>
                <w:sz w:val="18"/>
                <w:szCs w:val="21"/>
              </w:rPr>
              <w:t>0.1</w:t>
            </w:r>
          </w:p>
        </w:tc>
        <w:tc>
          <w:tcPr>
            <w:tcW w:w="567" w:type="dxa"/>
            <w:vAlign w:val="center"/>
          </w:tcPr>
          <w:p w14:paraId="0A3A1854">
            <w:pPr>
              <w:widowControl/>
              <w:tabs>
                <w:tab w:val="center" w:pos="4201"/>
                <w:tab w:val="right" w:leader="dot" w:pos="9298"/>
              </w:tabs>
              <w:autoSpaceDE w:val="0"/>
              <w:autoSpaceDN w:val="0"/>
              <w:adjustRightInd w:val="0"/>
              <w:snapToGrid w:val="0"/>
              <w:jc w:val="center"/>
              <w:rPr>
                <w:rFonts w:ascii="Times New Roman" w:hAnsi="Times New Roman" w:cs="Times New Roman"/>
                <w:kern w:val="0"/>
                <w:sz w:val="18"/>
                <w:szCs w:val="21"/>
              </w:rPr>
            </w:pPr>
            <w:r>
              <w:rPr>
                <w:rFonts w:ascii="Times New Roman" w:hAnsi="Times New Roman" w:cs="Times New Roman"/>
                <w:kern w:val="0"/>
                <w:sz w:val="18"/>
                <w:szCs w:val="21"/>
              </w:rPr>
              <w:t>0.2</w:t>
            </w:r>
          </w:p>
        </w:tc>
        <w:tc>
          <w:tcPr>
            <w:tcW w:w="567" w:type="dxa"/>
            <w:vAlign w:val="center"/>
          </w:tcPr>
          <w:p w14:paraId="65354AF2">
            <w:pPr>
              <w:widowControl/>
              <w:tabs>
                <w:tab w:val="center" w:pos="4201"/>
                <w:tab w:val="right" w:leader="dot" w:pos="9298"/>
              </w:tabs>
              <w:autoSpaceDE w:val="0"/>
              <w:autoSpaceDN w:val="0"/>
              <w:adjustRightInd w:val="0"/>
              <w:snapToGrid w:val="0"/>
              <w:jc w:val="center"/>
              <w:rPr>
                <w:rFonts w:ascii="Times New Roman" w:hAnsi="Times New Roman" w:cs="Times New Roman"/>
                <w:kern w:val="0"/>
                <w:sz w:val="18"/>
                <w:szCs w:val="21"/>
              </w:rPr>
            </w:pPr>
            <w:r>
              <w:rPr>
                <w:rFonts w:ascii="Times New Roman" w:hAnsi="Times New Roman" w:cs="Times New Roman"/>
                <w:kern w:val="0"/>
                <w:sz w:val="18"/>
                <w:szCs w:val="21"/>
              </w:rPr>
              <w:t>0.4</w:t>
            </w:r>
          </w:p>
        </w:tc>
        <w:tc>
          <w:tcPr>
            <w:tcW w:w="567" w:type="dxa"/>
            <w:vAlign w:val="center"/>
          </w:tcPr>
          <w:p w14:paraId="6BAEC9B4">
            <w:pPr>
              <w:widowControl/>
              <w:tabs>
                <w:tab w:val="center" w:pos="4201"/>
                <w:tab w:val="right" w:leader="dot" w:pos="9298"/>
              </w:tabs>
              <w:autoSpaceDE w:val="0"/>
              <w:autoSpaceDN w:val="0"/>
              <w:adjustRightInd w:val="0"/>
              <w:snapToGrid w:val="0"/>
              <w:jc w:val="center"/>
              <w:rPr>
                <w:rFonts w:ascii="Times New Roman" w:hAnsi="Times New Roman" w:cs="Times New Roman"/>
                <w:kern w:val="0"/>
                <w:sz w:val="18"/>
                <w:szCs w:val="21"/>
              </w:rPr>
            </w:pPr>
            <w:r>
              <w:rPr>
                <w:rFonts w:ascii="Times New Roman" w:hAnsi="Times New Roman" w:cs="Times New Roman"/>
                <w:kern w:val="0"/>
                <w:sz w:val="18"/>
                <w:szCs w:val="21"/>
              </w:rPr>
              <w:t>0.6</w:t>
            </w:r>
          </w:p>
        </w:tc>
        <w:tc>
          <w:tcPr>
            <w:tcW w:w="567" w:type="dxa"/>
            <w:vAlign w:val="center"/>
          </w:tcPr>
          <w:p w14:paraId="182B8A4B">
            <w:pPr>
              <w:widowControl/>
              <w:tabs>
                <w:tab w:val="center" w:pos="4201"/>
                <w:tab w:val="right" w:leader="dot" w:pos="9298"/>
              </w:tabs>
              <w:autoSpaceDE w:val="0"/>
              <w:autoSpaceDN w:val="0"/>
              <w:adjustRightInd w:val="0"/>
              <w:snapToGrid w:val="0"/>
              <w:jc w:val="center"/>
              <w:rPr>
                <w:rFonts w:ascii="Times New Roman" w:hAnsi="Times New Roman" w:cs="Times New Roman"/>
                <w:kern w:val="0"/>
                <w:sz w:val="18"/>
                <w:szCs w:val="21"/>
              </w:rPr>
            </w:pPr>
            <w:r>
              <w:rPr>
                <w:rFonts w:ascii="Times New Roman" w:hAnsi="Times New Roman" w:cs="Times New Roman"/>
                <w:kern w:val="0"/>
                <w:sz w:val="18"/>
                <w:szCs w:val="21"/>
              </w:rPr>
              <w:t>0.8</w:t>
            </w:r>
          </w:p>
        </w:tc>
        <w:tc>
          <w:tcPr>
            <w:tcW w:w="567" w:type="dxa"/>
            <w:vAlign w:val="center"/>
          </w:tcPr>
          <w:p w14:paraId="59031575">
            <w:pPr>
              <w:widowControl/>
              <w:tabs>
                <w:tab w:val="center" w:pos="4201"/>
                <w:tab w:val="right" w:leader="dot" w:pos="9298"/>
              </w:tabs>
              <w:autoSpaceDE w:val="0"/>
              <w:autoSpaceDN w:val="0"/>
              <w:adjustRightInd w:val="0"/>
              <w:snapToGrid w:val="0"/>
              <w:jc w:val="center"/>
              <w:rPr>
                <w:rFonts w:ascii="Times New Roman" w:hAnsi="Times New Roman" w:cs="Times New Roman"/>
                <w:kern w:val="0"/>
                <w:sz w:val="18"/>
                <w:szCs w:val="21"/>
              </w:rPr>
            </w:pPr>
            <w:r>
              <w:rPr>
                <w:rFonts w:ascii="Times New Roman" w:hAnsi="Times New Roman" w:cs="Times New Roman"/>
                <w:kern w:val="0"/>
                <w:sz w:val="18"/>
                <w:szCs w:val="21"/>
              </w:rPr>
              <w:t>1</w:t>
            </w:r>
          </w:p>
        </w:tc>
      </w:tr>
      <w:tr w14:paraId="04CDCC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4" w:hRule="atLeast"/>
          <w:jc w:val="center"/>
        </w:trPr>
        <w:tc>
          <w:tcPr>
            <w:tcW w:w="4315" w:type="dxa"/>
            <w:vAlign w:val="center"/>
          </w:tcPr>
          <w:p w14:paraId="53B79DFF">
            <w:pPr>
              <w:widowControl/>
              <w:tabs>
                <w:tab w:val="center" w:pos="4201"/>
                <w:tab w:val="right" w:leader="dot" w:pos="9298"/>
              </w:tabs>
              <w:autoSpaceDE w:val="0"/>
              <w:autoSpaceDN w:val="0"/>
              <w:adjustRightInd w:val="0"/>
              <w:snapToGrid w:val="0"/>
              <w:jc w:val="center"/>
              <w:rPr>
                <w:rFonts w:ascii="Times New Roman" w:hAnsi="Times New Roman" w:cs="Times New Roman"/>
                <w:kern w:val="0"/>
                <w:sz w:val="18"/>
                <w:szCs w:val="21"/>
              </w:rPr>
            </w:pPr>
            <w:r>
              <w:rPr>
                <w:rFonts w:ascii="Times New Roman" w:hAnsi="Times New Roman" w:cs="Times New Roman"/>
                <w:kern w:val="0"/>
                <w:sz w:val="18"/>
                <w:szCs w:val="21"/>
              </w:rPr>
              <w:t>水（mL）</w:t>
            </w:r>
          </w:p>
        </w:tc>
        <w:tc>
          <w:tcPr>
            <w:tcW w:w="567" w:type="dxa"/>
            <w:vAlign w:val="center"/>
          </w:tcPr>
          <w:p w14:paraId="21EE9531">
            <w:pPr>
              <w:widowControl/>
              <w:tabs>
                <w:tab w:val="center" w:pos="4201"/>
                <w:tab w:val="right" w:leader="dot" w:pos="9298"/>
              </w:tabs>
              <w:autoSpaceDE w:val="0"/>
              <w:autoSpaceDN w:val="0"/>
              <w:adjustRightInd w:val="0"/>
              <w:snapToGrid w:val="0"/>
              <w:jc w:val="center"/>
              <w:rPr>
                <w:rFonts w:ascii="Times New Roman" w:hAnsi="Times New Roman" w:cs="Times New Roman"/>
                <w:kern w:val="0"/>
                <w:sz w:val="18"/>
                <w:szCs w:val="21"/>
              </w:rPr>
            </w:pPr>
            <w:r>
              <w:rPr>
                <w:rFonts w:ascii="Times New Roman" w:hAnsi="Times New Roman" w:cs="Times New Roman"/>
                <w:kern w:val="0"/>
                <w:sz w:val="18"/>
                <w:szCs w:val="21"/>
              </w:rPr>
              <w:t>1</w:t>
            </w:r>
          </w:p>
        </w:tc>
        <w:tc>
          <w:tcPr>
            <w:tcW w:w="567" w:type="dxa"/>
            <w:vAlign w:val="center"/>
          </w:tcPr>
          <w:p w14:paraId="72CF2554">
            <w:pPr>
              <w:widowControl/>
              <w:tabs>
                <w:tab w:val="center" w:pos="4201"/>
                <w:tab w:val="right" w:leader="dot" w:pos="9298"/>
              </w:tabs>
              <w:autoSpaceDE w:val="0"/>
              <w:autoSpaceDN w:val="0"/>
              <w:adjustRightInd w:val="0"/>
              <w:snapToGrid w:val="0"/>
              <w:jc w:val="center"/>
              <w:rPr>
                <w:rFonts w:ascii="Times New Roman" w:hAnsi="Times New Roman" w:cs="Times New Roman"/>
                <w:kern w:val="0"/>
                <w:sz w:val="18"/>
                <w:szCs w:val="21"/>
              </w:rPr>
            </w:pPr>
            <w:r>
              <w:rPr>
                <w:rFonts w:ascii="Times New Roman" w:hAnsi="Times New Roman" w:cs="Times New Roman"/>
                <w:kern w:val="0"/>
                <w:sz w:val="18"/>
                <w:szCs w:val="21"/>
              </w:rPr>
              <w:t>0.9</w:t>
            </w:r>
          </w:p>
        </w:tc>
        <w:tc>
          <w:tcPr>
            <w:tcW w:w="567" w:type="dxa"/>
            <w:vAlign w:val="center"/>
          </w:tcPr>
          <w:p w14:paraId="31EFDBBE">
            <w:pPr>
              <w:widowControl/>
              <w:tabs>
                <w:tab w:val="center" w:pos="4201"/>
                <w:tab w:val="right" w:leader="dot" w:pos="9298"/>
              </w:tabs>
              <w:autoSpaceDE w:val="0"/>
              <w:autoSpaceDN w:val="0"/>
              <w:adjustRightInd w:val="0"/>
              <w:snapToGrid w:val="0"/>
              <w:jc w:val="center"/>
              <w:rPr>
                <w:rFonts w:ascii="Times New Roman" w:hAnsi="Times New Roman" w:cs="Times New Roman"/>
                <w:kern w:val="0"/>
                <w:sz w:val="18"/>
                <w:szCs w:val="21"/>
              </w:rPr>
            </w:pPr>
            <w:r>
              <w:rPr>
                <w:rFonts w:ascii="Times New Roman" w:hAnsi="Times New Roman" w:cs="Times New Roman"/>
                <w:kern w:val="0"/>
                <w:sz w:val="18"/>
                <w:szCs w:val="21"/>
              </w:rPr>
              <w:t>0.8</w:t>
            </w:r>
          </w:p>
        </w:tc>
        <w:tc>
          <w:tcPr>
            <w:tcW w:w="567" w:type="dxa"/>
            <w:vAlign w:val="center"/>
          </w:tcPr>
          <w:p w14:paraId="04053992">
            <w:pPr>
              <w:widowControl/>
              <w:tabs>
                <w:tab w:val="center" w:pos="4201"/>
                <w:tab w:val="right" w:leader="dot" w:pos="9298"/>
              </w:tabs>
              <w:autoSpaceDE w:val="0"/>
              <w:autoSpaceDN w:val="0"/>
              <w:adjustRightInd w:val="0"/>
              <w:snapToGrid w:val="0"/>
              <w:jc w:val="center"/>
              <w:rPr>
                <w:rFonts w:ascii="Times New Roman" w:hAnsi="Times New Roman" w:cs="Times New Roman"/>
                <w:kern w:val="0"/>
                <w:sz w:val="18"/>
                <w:szCs w:val="21"/>
              </w:rPr>
            </w:pPr>
            <w:r>
              <w:rPr>
                <w:rFonts w:ascii="Times New Roman" w:hAnsi="Times New Roman" w:cs="Times New Roman"/>
                <w:kern w:val="0"/>
                <w:sz w:val="18"/>
                <w:szCs w:val="21"/>
              </w:rPr>
              <w:t>0.6</w:t>
            </w:r>
          </w:p>
        </w:tc>
        <w:tc>
          <w:tcPr>
            <w:tcW w:w="567" w:type="dxa"/>
            <w:vAlign w:val="center"/>
          </w:tcPr>
          <w:p w14:paraId="03169784">
            <w:pPr>
              <w:widowControl/>
              <w:tabs>
                <w:tab w:val="center" w:pos="4201"/>
                <w:tab w:val="right" w:leader="dot" w:pos="9298"/>
              </w:tabs>
              <w:autoSpaceDE w:val="0"/>
              <w:autoSpaceDN w:val="0"/>
              <w:adjustRightInd w:val="0"/>
              <w:snapToGrid w:val="0"/>
              <w:jc w:val="center"/>
              <w:rPr>
                <w:rFonts w:ascii="Times New Roman" w:hAnsi="Times New Roman" w:cs="Times New Roman"/>
                <w:kern w:val="0"/>
                <w:sz w:val="18"/>
                <w:szCs w:val="21"/>
              </w:rPr>
            </w:pPr>
            <w:r>
              <w:rPr>
                <w:rFonts w:ascii="Times New Roman" w:hAnsi="Times New Roman" w:cs="Times New Roman"/>
                <w:kern w:val="0"/>
                <w:sz w:val="18"/>
                <w:szCs w:val="21"/>
              </w:rPr>
              <w:t>0.4</w:t>
            </w:r>
          </w:p>
        </w:tc>
        <w:tc>
          <w:tcPr>
            <w:tcW w:w="567" w:type="dxa"/>
            <w:vAlign w:val="center"/>
          </w:tcPr>
          <w:p w14:paraId="7AC836C1">
            <w:pPr>
              <w:widowControl/>
              <w:tabs>
                <w:tab w:val="center" w:pos="4201"/>
                <w:tab w:val="right" w:leader="dot" w:pos="9298"/>
              </w:tabs>
              <w:autoSpaceDE w:val="0"/>
              <w:autoSpaceDN w:val="0"/>
              <w:adjustRightInd w:val="0"/>
              <w:snapToGrid w:val="0"/>
              <w:jc w:val="center"/>
              <w:rPr>
                <w:rFonts w:ascii="Times New Roman" w:hAnsi="Times New Roman" w:cs="Times New Roman"/>
                <w:kern w:val="0"/>
                <w:sz w:val="18"/>
                <w:szCs w:val="21"/>
              </w:rPr>
            </w:pPr>
            <w:r>
              <w:rPr>
                <w:rFonts w:ascii="Times New Roman" w:hAnsi="Times New Roman" w:cs="Times New Roman"/>
                <w:kern w:val="0"/>
                <w:sz w:val="18"/>
                <w:szCs w:val="21"/>
              </w:rPr>
              <w:t>0.2</w:t>
            </w:r>
          </w:p>
        </w:tc>
        <w:tc>
          <w:tcPr>
            <w:tcW w:w="567" w:type="dxa"/>
            <w:vAlign w:val="center"/>
          </w:tcPr>
          <w:p w14:paraId="3CD10474">
            <w:pPr>
              <w:widowControl/>
              <w:tabs>
                <w:tab w:val="center" w:pos="4201"/>
                <w:tab w:val="right" w:leader="dot" w:pos="9298"/>
              </w:tabs>
              <w:autoSpaceDE w:val="0"/>
              <w:autoSpaceDN w:val="0"/>
              <w:adjustRightInd w:val="0"/>
              <w:snapToGrid w:val="0"/>
              <w:jc w:val="center"/>
              <w:rPr>
                <w:rFonts w:ascii="Times New Roman" w:hAnsi="Times New Roman" w:cs="Times New Roman"/>
                <w:kern w:val="0"/>
                <w:sz w:val="18"/>
                <w:szCs w:val="21"/>
              </w:rPr>
            </w:pPr>
            <w:r>
              <w:rPr>
                <w:rFonts w:ascii="Times New Roman" w:hAnsi="Times New Roman" w:cs="Times New Roman"/>
                <w:kern w:val="0"/>
                <w:sz w:val="18"/>
                <w:szCs w:val="21"/>
              </w:rPr>
              <w:t>0</w:t>
            </w:r>
          </w:p>
        </w:tc>
      </w:tr>
      <w:tr w14:paraId="551461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1" w:hRule="atLeast"/>
          <w:jc w:val="center"/>
        </w:trPr>
        <w:tc>
          <w:tcPr>
            <w:tcW w:w="4315" w:type="dxa"/>
            <w:vAlign w:val="center"/>
          </w:tcPr>
          <w:p w14:paraId="49C5D670">
            <w:pPr>
              <w:widowControl/>
              <w:tabs>
                <w:tab w:val="center" w:pos="4201"/>
                <w:tab w:val="right" w:leader="dot" w:pos="9298"/>
              </w:tabs>
              <w:autoSpaceDE w:val="0"/>
              <w:autoSpaceDN w:val="0"/>
              <w:adjustRightInd w:val="0"/>
              <w:snapToGrid w:val="0"/>
              <w:jc w:val="center"/>
              <w:rPr>
                <w:rFonts w:ascii="Times New Roman" w:hAnsi="Times New Roman" w:cs="Times New Roman"/>
                <w:kern w:val="0"/>
                <w:sz w:val="18"/>
                <w:szCs w:val="21"/>
              </w:rPr>
            </w:pPr>
            <w:r>
              <w:rPr>
                <w:rFonts w:ascii="Times New Roman" w:hAnsi="Times New Roman" w:cs="Times New Roman"/>
                <w:kern w:val="0"/>
                <w:sz w:val="18"/>
                <w:szCs w:val="21"/>
              </w:rPr>
              <w:t>碱性酒石酸铜试剂（mL）</w:t>
            </w:r>
          </w:p>
        </w:tc>
        <w:tc>
          <w:tcPr>
            <w:tcW w:w="567" w:type="dxa"/>
            <w:vAlign w:val="center"/>
          </w:tcPr>
          <w:p w14:paraId="63097DDC">
            <w:pPr>
              <w:widowControl/>
              <w:tabs>
                <w:tab w:val="center" w:pos="4201"/>
                <w:tab w:val="right" w:leader="dot" w:pos="9298"/>
              </w:tabs>
              <w:autoSpaceDE w:val="0"/>
              <w:autoSpaceDN w:val="0"/>
              <w:adjustRightInd w:val="0"/>
              <w:snapToGrid w:val="0"/>
              <w:jc w:val="center"/>
              <w:rPr>
                <w:rFonts w:ascii="Times New Roman" w:hAnsi="Times New Roman" w:cs="Times New Roman"/>
                <w:kern w:val="0"/>
                <w:sz w:val="18"/>
                <w:szCs w:val="21"/>
              </w:rPr>
            </w:pPr>
            <w:r>
              <w:rPr>
                <w:rFonts w:ascii="Times New Roman" w:hAnsi="Times New Roman" w:cs="Times New Roman"/>
                <w:kern w:val="0"/>
                <w:sz w:val="18"/>
                <w:szCs w:val="21"/>
              </w:rPr>
              <w:t>1</w:t>
            </w:r>
          </w:p>
        </w:tc>
        <w:tc>
          <w:tcPr>
            <w:tcW w:w="567" w:type="dxa"/>
            <w:vAlign w:val="center"/>
          </w:tcPr>
          <w:p w14:paraId="00D87CCF">
            <w:pPr>
              <w:widowControl/>
              <w:tabs>
                <w:tab w:val="center" w:pos="4201"/>
                <w:tab w:val="right" w:leader="dot" w:pos="9298"/>
              </w:tabs>
              <w:autoSpaceDE w:val="0"/>
              <w:autoSpaceDN w:val="0"/>
              <w:adjustRightInd w:val="0"/>
              <w:snapToGrid w:val="0"/>
              <w:jc w:val="center"/>
              <w:rPr>
                <w:rFonts w:ascii="Times New Roman" w:hAnsi="Times New Roman" w:cs="Times New Roman"/>
                <w:kern w:val="0"/>
                <w:sz w:val="18"/>
                <w:szCs w:val="21"/>
              </w:rPr>
            </w:pPr>
            <w:r>
              <w:rPr>
                <w:rFonts w:ascii="Times New Roman" w:hAnsi="Times New Roman" w:cs="Times New Roman"/>
                <w:kern w:val="0"/>
                <w:sz w:val="18"/>
                <w:szCs w:val="21"/>
              </w:rPr>
              <w:t>1</w:t>
            </w:r>
          </w:p>
        </w:tc>
        <w:tc>
          <w:tcPr>
            <w:tcW w:w="567" w:type="dxa"/>
            <w:vAlign w:val="center"/>
          </w:tcPr>
          <w:p w14:paraId="73D35FDF">
            <w:pPr>
              <w:widowControl/>
              <w:tabs>
                <w:tab w:val="center" w:pos="4201"/>
                <w:tab w:val="right" w:leader="dot" w:pos="9298"/>
              </w:tabs>
              <w:autoSpaceDE w:val="0"/>
              <w:autoSpaceDN w:val="0"/>
              <w:adjustRightInd w:val="0"/>
              <w:snapToGrid w:val="0"/>
              <w:jc w:val="center"/>
              <w:rPr>
                <w:rFonts w:ascii="Times New Roman" w:hAnsi="Times New Roman" w:cs="Times New Roman"/>
                <w:kern w:val="0"/>
                <w:sz w:val="18"/>
                <w:szCs w:val="21"/>
              </w:rPr>
            </w:pPr>
            <w:r>
              <w:rPr>
                <w:rFonts w:ascii="Times New Roman" w:hAnsi="Times New Roman" w:cs="Times New Roman"/>
                <w:kern w:val="0"/>
                <w:sz w:val="18"/>
                <w:szCs w:val="21"/>
              </w:rPr>
              <w:t>1</w:t>
            </w:r>
          </w:p>
        </w:tc>
        <w:tc>
          <w:tcPr>
            <w:tcW w:w="567" w:type="dxa"/>
            <w:vAlign w:val="center"/>
          </w:tcPr>
          <w:p w14:paraId="51ECEB46">
            <w:pPr>
              <w:widowControl/>
              <w:tabs>
                <w:tab w:val="center" w:pos="4201"/>
                <w:tab w:val="right" w:leader="dot" w:pos="9298"/>
              </w:tabs>
              <w:autoSpaceDE w:val="0"/>
              <w:autoSpaceDN w:val="0"/>
              <w:adjustRightInd w:val="0"/>
              <w:snapToGrid w:val="0"/>
              <w:jc w:val="center"/>
              <w:rPr>
                <w:rFonts w:ascii="Times New Roman" w:hAnsi="Times New Roman" w:cs="Times New Roman"/>
                <w:kern w:val="0"/>
                <w:sz w:val="18"/>
                <w:szCs w:val="21"/>
              </w:rPr>
            </w:pPr>
            <w:r>
              <w:rPr>
                <w:rFonts w:ascii="Times New Roman" w:hAnsi="Times New Roman" w:cs="Times New Roman"/>
                <w:kern w:val="0"/>
                <w:sz w:val="18"/>
                <w:szCs w:val="21"/>
              </w:rPr>
              <w:t>1</w:t>
            </w:r>
          </w:p>
        </w:tc>
        <w:tc>
          <w:tcPr>
            <w:tcW w:w="567" w:type="dxa"/>
            <w:vAlign w:val="center"/>
          </w:tcPr>
          <w:p w14:paraId="2ADE345A">
            <w:pPr>
              <w:widowControl/>
              <w:tabs>
                <w:tab w:val="center" w:pos="4201"/>
                <w:tab w:val="right" w:leader="dot" w:pos="9298"/>
              </w:tabs>
              <w:autoSpaceDE w:val="0"/>
              <w:autoSpaceDN w:val="0"/>
              <w:adjustRightInd w:val="0"/>
              <w:snapToGrid w:val="0"/>
              <w:jc w:val="center"/>
              <w:rPr>
                <w:rFonts w:ascii="Times New Roman" w:hAnsi="Times New Roman" w:cs="Times New Roman"/>
                <w:kern w:val="0"/>
                <w:sz w:val="18"/>
                <w:szCs w:val="21"/>
              </w:rPr>
            </w:pPr>
            <w:r>
              <w:rPr>
                <w:rFonts w:ascii="Times New Roman" w:hAnsi="Times New Roman" w:cs="Times New Roman"/>
                <w:kern w:val="0"/>
                <w:sz w:val="18"/>
                <w:szCs w:val="21"/>
              </w:rPr>
              <w:t>1</w:t>
            </w:r>
          </w:p>
        </w:tc>
        <w:tc>
          <w:tcPr>
            <w:tcW w:w="567" w:type="dxa"/>
            <w:vAlign w:val="center"/>
          </w:tcPr>
          <w:p w14:paraId="506871EC">
            <w:pPr>
              <w:widowControl/>
              <w:tabs>
                <w:tab w:val="center" w:pos="4201"/>
                <w:tab w:val="right" w:leader="dot" w:pos="9298"/>
              </w:tabs>
              <w:autoSpaceDE w:val="0"/>
              <w:autoSpaceDN w:val="0"/>
              <w:adjustRightInd w:val="0"/>
              <w:snapToGrid w:val="0"/>
              <w:jc w:val="center"/>
              <w:rPr>
                <w:rFonts w:ascii="Times New Roman" w:hAnsi="Times New Roman" w:cs="Times New Roman"/>
                <w:kern w:val="0"/>
                <w:sz w:val="18"/>
                <w:szCs w:val="21"/>
              </w:rPr>
            </w:pPr>
            <w:r>
              <w:rPr>
                <w:rFonts w:ascii="Times New Roman" w:hAnsi="Times New Roman" w:cs="Times New Roman"/>
                <w:kern w:val="0"/>
                <w:sz w:val="18"/>
                <w:szCs w:val="21"/>
              </w:rPr>
              <w:t>1</w:t>
            </w:r>
          </w:p>
        </w:tc>
        <w:tc>
          <w:tcPr>
            <w:tcW w:w="567" w:type="dxa"/>
            <w:vAlign w:val="center"/>
          </w:tcPr>
          <w:p w14:paraId="65D3515F">
            <w:pPr>
              <w:widowControl/>
              <w:tabs>
                <w:tab w:val="center" w:pos="4201"/>
                <w:tab w:val="right" w:leader="dot" w:pos="9298"/>
              </w:tabs>
              <w:autoSpaceDE w:val="0"/>
              <w:autoSpaceDN w:val="0"/>
              <w:adjustRightInd w:val="0"/>
              <w:snapToGrid w:val="0"/>
              <w:jc w:val="center"/>
              <w:rPr>
                <w:rFonts w:ascii="Times New Roman" w:hAnsi="Times New Roman" w:cs="Times New Roman"/>
                <w:kern w:val="0"/>
                <w:sz w:val="18"/>
                <w:szCs w:val="21"/>
              </w:rPr>
            </w:pPr>
            <w:r>
              <w:rPr>
                <w:rFonts w:ascii="Times New Roman" w:hAnsi="Times New Roman" w:cs="Times New Roman"/>
                <w:kern w:val="0"/>
                <w:sz w:val="18"/>
                <w:szCs w:val="21"/>
              </w:rPr>
              <w:t>1</w:t>
            </w:r>
          </w:p>
        </w:tc>
      </w:tr>
      <w:tr w14:paraId="0FB2E2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1" w:hRule="atLeast"/>
          <w:jc w:val="center"/>
        </w:trPr>
        <w:tc>
          <w:tcPr>
            <w:tcW w:w="4315" w:type="dxa"/>
            <w:vAlign w:val="center"/>
          </w:tcPr>
          <w:p w14:paraId="411300AC">
            <w:pPr>
              <w:widowControl/>
              <w:tabs>
                <w:tab w:val="center" w:pos="4201"/>
                <w:tab w:val="right" w:leader="dot" w:pos="9298"/>
              </w:tabs>
              <w:autoSpaceDE w:val="0"/>
              <w:autoSpaceDN w:val="0"/>
              <w:adjustRightInd w:val="0"/>
              <w:snapToGrid w:val="0"/>
              <w:jc w:val="center"/>
              <w:rPr>
                <w:rFonts w:ascii="Times New Roman" w:hAnsi="Times New Roman" w:cs="Times New Roman"/>
                <w:kern w:val="0"/>
                <w:sz w:val="18"/>
                <w:szCs w:val="21"/>
              </w:rPr>
            </w:pPr>
            <w:r>
              <w:rPr>
                <w:rFonts w:ascii="Times New Roman" w:hAnsi="Times New Roman" w:cs="Times New Roman"/>
                <w:kern w:val="0"/>
                <w:sz w:val="18"/>
                <w:szCs w:val="21"/>
              </w:rPr>
              <w:t>福林试液</w:t>
            </w:r>
            <w:r>
              <w:rPr>
                <w:rFonts w:hint="eastAsia" w:ascii="Times New Roman" w:hAnsi="Times New Roman" w:cs="Times New Roman"/>
                <w:kern w:val="0"/>
                <w:sz w:val="18"/>
                <w:szCs w:val="21"/>
              </w:rPr>
              <w:t>[</w:t>
            </w:r>
            <w:r>
              <w:rPr>
                <w:rFonts w:ascii="Times New Roman" w:hAnsi="Times New Roman" w:cs="Times New Roman"/>
                <w:kern w:val="0"/>
                <w:sz w:val="18"/>
                <w:szCs w:val="21"/>
              </w:rPr>
              <w:t>取福林试液中的贮备液（2mol/L酸浓度）1→16]（mL）</w:t>
            </w:r>
          </w:p>
        </w:tc>
        <w:tc>
          <w:tcPr>
            <w:tcW w:w="567" w:type="dxa"/>
            <w:vAlign w:val="center"/>
          </w:tcPr>
          <w:p w14:paraId="6E8A79B5">
            <w:pPr>
              <w:widowControl/>
              <w:tabs>
                <w:tab w:val="center" w:pos="4201"/>
                <w:tab w:val="right" w:leader="dot" w:pos="9298"/>
              </w:tabs>
              <w:autoSpaceDE w:val="0"/>
              <w:autoSpaceDN w:val="0"/>
              <w:adjustRightInd w:val="0"/>
              <w:snapToGrid w:val="0"/>
              <w:jc w:val="center"/>
              <w:rPr>
                <w:rFonts w:ascii="Times New Roman" w:hAnsi="Times New Roman" w:cs="Times New Roman"/>
                <w:kern w:val="0"/>
                <w:sz w:val="18"/>
                <w:szCs w:val="21"/>
              </w:rPr>
            </w:pPr>
            <w:r>
              <w:rPr>
                <w:rFonts w:ascii="Times New Roman" w:hAnsi="Times New Roman" w:cs="Times New Roman"/>
                <w:kern w:val="0"/>
                <w:sz w:val="18"/>
                <w:szCs w:val="21"/>
              </w:rPr>
              <w:t>4</w:t>
            </w:r>
          </w:p>
        </w:tc>
        <w:tc>
          <w:tcPr>
            <w:tcW w:w="567" w:type="dxa"/>
            <w:vAlign w:val="center"/>
          </w:tcPr>
          <w:p w14:paraId="043EC706">
            <w:pPr>
              <w:widowControl/>
              <w:tabs>
                <w:tab w:val="center" w:pos="4201"/>
                <w:tab w:val="right" w:leader="dot" w:pos="9298"/>
              </w:tabs>
              <w:autoSpaceDE w:val="0"/>
              <w:autoSpaceDN w:val="0"/>
              <w:adjustRightInd w:val="0"/>
              <w:snapToGrid w:val="0"/>
              <w:jc w:val="center"/>
              <w:rPr>
                <w:rFonts w:ascii="Times New Roman" w:hAnsi="Times New Roman" w:cs="Times New Roman"/>
                <w:kern w:val="0"/>
                <w:sz w:val="18"/>
                <w:szCs w:val="21"/>
              </w:rPr>
            </w:pPr>
            <w:r>
              <w:rPr>
                <w:rFonts w:ascii="Times New Roman" w:hAnsi="Times New Roman" w:cs="Times New Roman"/>
                <w:kern w:val="0"/>
                <w:sz w:val="18"/>
                <w:szCs w:val="21"/>
              </w:rPr>
              <w:t>4</w:t>
            </w:r>
          </w:p>
        </w:tc>
        <w:tc>
          <w:tcPr>
            <w:tcW w:w="567" w:type="dxa"/>
            <w:vAlign w:val="center"/>
          </w:tcPr>
          <w:p w14:paraId="3E612077">
            <w:pPr>
              <w:widowControl/>
              <w:tabs>
                <w:tab w:val="center" w:pos="4201"/>
                <w:tab w:val="right" w:leader="dot" w:pos="9298"/>
              </w:tabs>
              <w:autoSpaceDE w:val="0"/>
              <w:autoSpaceDN w:val="0"/>
              <w:adjustRightInd w:val="0"/>
              <w:snapToGrid w:val="0"/>
              <w:jc w:val="center"/>
              <w:rPr>
                <w:rFonts w:ascii="Times New Roman" w:hAnsi="Times New Roman" w:cs="Times New Roman"/>
                <w:kern w:val="0"/>
                <w:sz w:val="18"/>
                <w:szCs w:val="21"/>
              </w:rPr>
            </w:pPr>
            <w:r>
              <w:rPr>
                <w:rFonts w:ascii="Times New Roman" w:hAnsi="Times New Roman" w:cs="Times New Roman"/>
                <w:kern w:val="0"/>
                <w:sz w:val="18"/>
                <w:szCs w:val="21"/>
              </w:rPr>
              <w:t>4</w:t>
            </w:r>
          </w:p>
        </w:tc>
        <w:tc>
          <w:tcPr>
            <w:tcW w:w="567" w:type="dxa"/>
            <w:vAlign w:val="center"/>
          </w:tcPr>
          <w:p w14:paraId="6DEB9ADE">
            <w:pPr>
              <w:widowControl/>
              <w:tabs>
                <w:tab w:val="center" w:pos="4201"/>
                <w:tab w:val="right" w:leader="dot" w:pos="9298"/>
              </w:tabs>
              <w:autoSpaceDE w:val="0"/>
              <w:autoSpaceDN w:val="0"/>
              <w:adjustRightInd w:val="0"/>
              <w:snapToGrid w:val="0"/>
              <w:jc w:val="center"/>
              <w:rPr>
                <w:rFonts w:ascii="Times New Roman" w:hAnsi="Times New Roman" w:cs="Times New Roman"/>
                <w:kern w:val="0"/>
                <w:sz w:val="18"/>
                <w:szCs w:val="21"/>
              </w:rPr>
            </w:pPr>
            <w:r>
              <w:rPr>
                <w:rFonts w:ascii="Times New Roman" w:hAnsi="Times New Roman" w:cs="Times New Roman"/>
                <w:kern w:val="0"/>
                <w:sz w:val="18"/>
                <w:szCs w:val="21"/>
              </w:rPr>
              <w:t>4</w:t>
            </w:r>
          </w:p>
        </w:tc>
        <w:tc>
          <w:tcPr>
            <w:tcW w:w="567" w:type="dxa"/>
            <w:vAlign w:val="center"/>
          </w:tcPr>
          <w:p w14:paraId="063967F6">
            <w:pPr>
              <w:widowControl/>
              <w:tabs>
                <w:tab w:val="center" w:pos="4201"/>
                <w:tab w:val="right" w:leader="dot" w:pos="9298"/>
              </w:tabs>
              <w:autoSpaceDE w:val="0"/>
              <w:autoSpaceDN w:val="0"/>
              <w:adjustRightInd w:val="0"/>
              <w:snapToGrid w:val="0"/>
              <w:jc w:val="center"/>
              <w:rPr>
                <w:rFonts w:ascii="Times New Roman" w:hAnsi="Times New Roman" w:cs="Times New Roman"/>
                <w:kern w:val="0"/>
                <w:sz w:val="18"/>
                <w:szCs w:val="21"/>
              </w:rPr>
            </w:pPr>
            <w:r>
              <w:rPr>
                <w:rFonts w:ascii="Times New Roman" w:hAnsi="Times New Roman" w:cs="Times New Roman"/>
                <w:kern w:val="0"/>
                <w:sz w:val="18"/>
                <w:szCs w:val="21"/>
              </w:rPr>
              <w:t>4</w:t>
            </w:r>
          </w:p>
        </w:tc>
        <w:tc>
          <w:tcPr>
            <w:tcW w:w="567" w:type="dxa"/>
            <w:vAlign w:val="center"/>
          </w:tcPr>
          <w:p w14:paraId="6DC331A3">
            <w:pPr>
              <w:widowControl/>
              <w:tabs>
                <w:tab w:val="center" w:pos="4201"/>
                <w:tab w:val="right" w:leader="dot" w:pos="9298"/>
              </w:tabs>
              <w:autoSpaceDE w:val="0"/>
              <w:autoSpaceDN w:val="0"/>
              <w:adjustRightInd w:val="0"/>
              <w:snapToGrid w:val="0"/>
              <w:jc w:val="center"/>
              <w:rPr>
                <w:rFonts w:ascii="Times New Roman" w:hAnsi="Times New Roman" w:cs="Times New Roman"/>
                <w:kern w:val="0"/>
                <w:sz w:val="18"/>
                <w:szCs w:val="21"/>
              </w:rPr>
            </w:pPr>
            <w:r>
              <w:rPr>
                <w:rFonts w:ascii="Times New Roman" w:hAnsi="Times New Roman" w:cs="Times New Roman"/>
                <w:kern w:val="0"/>
                <w:sz w:val="18"/>
                <w:szCs w:val="21"/>
              </w:rPr>
              <w:t>4</w:t>
            </w:r>
          </w:p>
        </w:tc>
        <w:tc>
          <w:tcPr>
            <w:tcW w:w="567" w:type="dxa"/>
            <w:vAlign w:val="center"/>
          </w:tcPr>
          <w:p w14:paraId="1C9F17DB">
            <w:pPr>
              <w:widowControl/>
              <w:tabs>
                <w:tab w:val="center" w:pos="4201"/>
                <w:tab w:val="right" w:leader="dot" w:pos="9298"/>
              </w:tabs>
              <w:autoSpaceDE w:val="0"/>
              <w:autoSpaceDN w:val="0"/>
              <w:adjustRightInd w:val="0"/>
              <w:snapToGrid w:val="0"/>
              <w:jc w:val="center"/>
              <w:rPr>
                <w:rFonts w:ascii="Times New Roman" w:hAnsi="Times New Roman" w:cs="Times New Roman"/>
                <w:kern w:val="0"/>
                <w:sz w:val="18"/>
                <w:szCs w:val="21"/>
              </w:rPr>
            </w:pPr>
            <w:r>
              <w:rPr>
                <w:rFonts w:ascii="Times New Roman" w:hAnsi="Times New Roman" w:cs="Times New Roman"/>
                <w:kern w:val="0"/>
                <w:sz w:val="18"/>
                <w:szCs w:val="21"/>
              </w:rPr>
              <w:t>4</w:t>
            </w:r>
          </w:p>
        </w:tc>
      </w:tr>
    </w:tbl>
    <w:p w14:paraId="43C66858">
      <w:pPr>
        <w:pStyle w:val="27"/>
        <w:numPr>
          <w:ilvl w:val="2"/>
          <w:numId w:val="0"/>
        </w:numPr>
        <w:spacing w:before="240" w:beforeLines="100" w:after="240" w:afterLines="100"/>
        <w:ind w:firstLine="420" w:firstLineChars="200"/>
        <w:rPr>
          <w:rFonts w:ascii="Times New Roman" w:eastAsia="宋体"/>
          <w:color w:val="000000" w:themeColor="text1"/>
          <w14:textFill>
            <w14:solidFill>
              <w14:schemeClr w14:val="tx1"/>
            </w14:solidFill>
          </w14:textFill>
        </w:rPr>
      </w:pPr>
      <w:r>
        <w:rPr>
          <w:rFonts w:ascii="Times New Roman" w:eastAsia="宋体"/>
          <w:color w:val="000000" w:themeColor="text1"/>
          <w14:textFill>
            <w14:solidFill>
              <w14:schemeClr w14:val="tx1"/>
            </w14:solidFill>
          </w14:textFill>
        </w:rPr>
        <w:t>对照溶液浓度按式（5）计算：</w:t>
      </w:r>
    </w:p>
    <w:p w14:paraId="46F2F90C">
      <w:pPr>
        <w:pStyle w:val="27"/>
        <w:numPr>
          <w:ilvl w:val="2"/>
          <w:numId w:val="0"/>
        </w:numPr>
        <w:spacing w:before="240" w:beforeLines="100" w:after="240" w:afterLines="100"/>
        <w:ind w:firstLine="420" w:firstLineChars="200"/>
        <w:rPr>
          <w:rFonts w:ascii="Times New Roman" w:eastAsia="宋体"/>
          <w:color w:val="000000" w:themeColor="text1"/>
          <w14:textFill>
            <w14:solidFill>
              <w14:schemeClr w14:val="tx1"/>
            </w14:solidFill>
          </w14:textFill>
        </w:rPr>
      </w:pPr>
      <w:r>
        <w:rPr>
          <w:rFonts w:ascii="Times New Roman" w:eastAsia="宋体"/>
          <w:color w:val="000000" w:themeColor="text1"/>
          <w14:textFill>
            <w14:solidFill>
              <w14:schemeClr w14:val="tx1"/>
            </w14:solidFill>
          </w14:textFill>
        </w:rPr>
        <w:t>Cᵢ（μg/mL）=</w:t>
      </w:r>
      <m:oMath>
        <m:f>
          <m:fPr>
            <m:ctrlPr>
              <w:rPr>
                <w:rFonts w:ascii="Cambria Math" w:hAnsi="Cambria Math" w:eastAsia="宋体"/>
                <w:color w:val="000000" w:themeColor="text1"/>
                <w14:textFill>
                  <w14:solidFill>
                    <w14:schemeClr w14:val="tx1"/>
                  </w14:solidFill>
                </w14:textFill>
              </w:rPr>
            </m:ctrlPr>
          </m:fPr>
          <m:num>
            <m:r>
              <m:rPr>
                <m:nor/>
                <m:sty m:val="p"/>
              </m:rPr>
              <w:rPr>
                <w:rFonts w:ascii="Times New Roman" w:eastAsia="宋体"/>
                <w:b w:val="0"/>
                <w:i w:val="0"/>
                <w:color w:val="000000" w:themeColor="text1"/>
                <w14:textFill>
                  <w14:solidFill>
                    <w14:schemeClr w14:val="tx1"/>
                  </w14:solidFill>
                </w14:textFill>
              </w:rPr>
              <m:t>M×</m:t>
            </m:r>
            <m:sSup>
              <m:sSupPr>
                <m:ctrlPr>
                  <w:rPr>
                    <w:rFonts w:ascii="Cambria Math" w:hAnsi="Cambria Math" w:eastAsia="宋体"/>
                    <w:color w:val="000000" w:themeColor="text1"/>
                    <w14:textFill>
                      <w14:solidFill>
                        <w14:schemeClr w14:val="tx1"/>
                      </w14:solidFill>
                    </w14:textFill>
                  </w:rPr>
                </m:ctrlPr>
              </m:sSupPr>
              <m:e>
                <m:r>
                  <m:rPr>
                    <m:sty m:val="p"/>
                  </m:rPr>
                  <w:rPr>
                    <w:rFonts w:ascii="Cambria Math" w:hAnsi="Cambria Math" w:eastAsia="宋体"/>
                    <w:color w:val="000000" w:themeColor="text1"/>
                    <w14:textFill>
                      <w14:solidFill>
                        <w14:schemeClr w14:val="tx1"/>
                      </w14:solidFill>
                    </w14:textFill>
                  </w:rPr>
                  <m:t>10</m:t>
                </m:r>
                <m:ctrlPr>
                  <w:rPr>
                    <w:rFonts w:ascii="Cambria Math" w:hAnsi="Cambria Math" w:eastAsia="宋体"/>
                    <w:color w:val="000000" w:themeColor="text1"/>
                    <w14:textFill>
                      <w14:solidFill>
                        <w14:schemeClr w14:val="tx1"/>
                      </w14:solidFill>
                    </w14:textFill>
                  </w:rPr>
                </m:ctrlPr>
              </m:e>
              <m:sup>
                <m:r>
                  <m:rPr>
                    <m:sty m:val="p"/>
                  </m:rPr>
                  <w:rPr>
                    <w:rFonts w:ascii="Cambria Math" w:hAnsi="Cambria Math" w:eastAsia="宋体"/>
                    <w:color w:val="000000" w:themeColor="text1"/>
                    <w14:textFill>
                      <w14:solidFill>
                        <w14:schemeClr w14:val="tx1"/>
                      </w14:solidFill>
                    </w14:textFill>
                  </w:rPr>
                  <m:t>6</m:t>
                </m:r>
                <m:ctrlPr>
                  <w:rPr>
                    <w:rFonts w:ascii="Cambria Math" w:hAnsi="Cambria Math" w:eastAsia="宋体"/>
                    <w:color w:val="000000" w:themeColor="text1"/>
                    <w14:textFill>
                      <w14:solidFill>
                        <w14:schemeClr w14:val="tx1"/>
                      </w14:solidFill>
                    </w14:textFill>
                  </w:rPr>
                </m:ctrlPr>
              </m:sup>
            </m:sSup>
            <m:r>
              <m:rPr>
                <m:nor/>
                <m:sty m:val="p"/>
              </m:rPr>
              <w:rPr>
                <w:rFonts w:ascii="Times New Roman" w:eastAsia="宋体"/>
                <w:b w:val="0"/>
                <w:i w:val="0"/>
                <w:color w:val="000000" w:themeColor="text1"/>
                <w14:textFill>
                  <w14:solidFill>
                    <w14:schemeClr w14:val="tx1"/>
                  </w14:solidFill>
                </w14:textFill>
              </w:rPr>
              <m:t>×对照品含量</m:t>
            </m:r>
            <m:ctrlPr>
              <w:rPr>
                <w:rFonts w:ascii="Cambria Math" w:hAnsi="Cambria Math" w:eastAsia="宋体"/>
                <w:color w:val="000000" w:themeColor="text1"/>
                <w14:textFill>
                  <w14:solidFill>
                    <w14:schemeClr w14:val="tx1"/>
                  </w14:solidFill>
                </w14:textFill>
              </w:rPr>
            </m:ctrlPr>
          </m:num>
          <m:den>
            <m:r>
              <m:rPr>
                <m:nor/>
                <m:sty m:val="p"/>
              </m:rPr>
              <w:rPr>
                <w:rFonts w:ascii="Times New Roman" w:eastAsia="宋体"/>
                <w:b w:val="0"/>
                <w:i w:val="0"/>
                <w:color w:val="000000" w:themeColor="text1"/>
                <w14:textFill>
                  <w14:solidFill>
                    <w14:schemeClr w14:val="tx1"/>
                  </w14:solidFill>
                </w14:textFill>
              </w:rPr>
              <m:t>100</m:t>
            </m:r>
            <m:ctrlPr>
              <w:rPr>
                <w:rFonts w:ascii="Cambria Math" w:hAnsi="Cambria Math" w:eastAsia="宋体"/>
                <w:color w:val="000000" w:themeColor="text1"/>
                <w14:textFill>
                  <w14:solidFill>
                    <w14:schemeClr w14:val="tx1"/>
                  </w14:solidFill>
                </w14:textFill>
              </w:rPr>
            </m:ctrlPr>
          </m:den>
        </m:f>
        <m:r>
          <m:rPr>
            <m:nor/>
            <m:sty m:val="p"/>
          </m:rPr>
          <w:rPr>
            <w:rFonts w:ascii="Times New Roman" w:eastAsia="宋体"/>
            <w:b w:val="0"/>
            <w:i w:val="0"/>
            <w:color w:val="000000" w:themeColor="text1"/>
            <w14:textFill>
              <w14:solidFill>
                <w14:schemeClr w14:val="tx1"/>
              </w14:solidFill>
            </w14:textFill>
          </w:rPr>
          <m:t>×</m:t>
        </m:r>
        <m:f>
          <m:fPr>
            <m:ctrlPr>
              <w:rPr>
                <w:rFonts w:ascii="Cambria Math" w:hAnsi="Cambria Math" w:eastAsia="宋体"/>
                <w:color w:val="000000" w:themeColor="text1"/>
                <w14:textFill>
                  <w14:solidFill>
                    <w14:schemeClr w14:val="tx1"/>
                  </w14:solidFill>
                </w14:textFill>
              </w:rPr>
            </m:ctrlPr>
          </m:fPr>
          <m:num>
            <m:r>
              <m:rPr>
                <m:nor/>
                <m:sty m:val="p"/>
              </m:rPr>
              <w:rPr>
                <w:rFonts w:ascii="Times New Roman" w:eastAsia="宋体"/>
                <w:b w:val="0"/>
                <w:i w:val="0"/>
                <w:color w:val="000000" w:themeColor="text1"/>
                <w14:textFill>
                  <w14:solidFill>
                    <w14:schemeClr w14:val="tx1"/>
                  </w14:solidFill>
                </w14:textFill>
              </w:rPr>
              <m:t>5</m:t>
            </m:r>
            <m:ctrlPr>
              <w:rPr>
                <w:rFonts w:ascii="Cambria Math" w:hAnsi="Cambria Math" w:eastAsia="宋体"/>
                <w:color w:val="000000" w:themeColor="text1"/>
                <w14:textFill>
                  <w14:solidFill>
                    <w14:schemeClr w14:val="tx1"/>
                  </w14:solidFill>
                </w14:textFill>
              </w:rPr>
            </m:ctrlPr>
          </m:num>
          <m:den>
            <m:r>
              <m:rPr>
                <m:nor/>
                <m:sty m:val="p"/>
              </m:rPr>
              <w:rPr>
                <w:rFonts w:ascii="Times New Roman" w:eastAsia="宋体"/>
                <w:b w:val="0"/>
                <w:i w:val="0"/>
                <w:color w:val="000000" w:themeColor="text1"/>
                <w14:textFill>
                  <w14:solidFill>
                    <w14:schemeClr w14:val="tx1"/>
                  </w14:solidFill>
                </w14:textFill>
              </w:rPr>
              <m:t>50</m:t>
            </m:r>
            <m:ctrlPr>
              <w:rPr>
                <w:rFonts w:ascii="Cambria Math" w:hAnsi="Cambria Math" w:eastAsia="宋体"/>
                <w:color w:val="000000" w:themeColor="text1"/>
                <w14:textFill>
                  <w14:solidFill>
                    <w14:schemeClr w14:val="tx1"/>
                  </w14:solidFill>
                </w14:textFill>
              </w:rPr>
            </m:ctrlPr>
          </m:den>
        </m:f>
      </m:oMath>
      <w:r>
        <w:rPr>
          <w:rFonts w:ascii="Times New Roman" w:eastAsia="宋体"/>
          <w:color w:val="000000" w:themeColor="text1"/>
          <w14:textFill>
            <w14:solidFill>
              <w14:schemeClr w14:val="tx1"/>
            </w14:solidFill>
          </w14:textFill>
        </w:rPr>
        <w:t>……（5）</w:t>
      </w:r>
    </w:p>
    <w:p w14:paraId="2E9F9FAD">
      <w:pPr>
        <w:pStyle w:val="27"/>
        <w:numPr>
          <w:ilvl w:val="2"/>
          <w:numId w:val="0"/>
        </w:numPr>
        <w:spacing w:before="240" w:beforeLines="100" w:after="240" w:afterLines="100"/>
        <w:ind w:firstLine="420" w:firstLineChars="200"/>
        <w:rPr>
          <w:rFonts w:ascii="Times New Roman" w:eastAsia="宋体"/>
          <w:color w:val="000000" w:themeColor="text1"/>
          <w14:textFill>
            <w14:solidFill>
              <w14:schemeClr w14:val="tx1"/>
            </w14:solidFill>
          </w14:textFill>
        </w:rPr>
      </w:pPr>
      <w:r>
        <w:rPr>
          <w:rFonts w:ascii="Times New Roman" w:eastAsia="宋体"/>
          <w:color w:val="000000" w:themeColor="text1"/>
          <w14:textFill>
            <w14:solidFill>
              <w14:schemeClr w14:val="tx1"/>
            </w14:solidFill>
          </w14:textFill>
        </w:rPr>
        <w:t>式中：M为称取对照品量，</w:t>
      </w:r>
      <w:r>
        <w:rPr>
          <w:rFonts w:hint="eastAsia" w:ascii="Times New Roman" w:eastAsia="宋体"/>
          <w:color w:val="000000" w:themeColor="text1"/>
          <w14:textFill>
            <w14:solidFill>
              <w14:schemeClr w14:val="tx1"/>
            </w14:solidFill>
          </w14:textFill>
        </w:rPr>
        <w:t>单位为克（</w:t>
      </w:r>
      <w:r>
        <w:rPr>
          <w:rFonts w:ascii="Times New Roman" w:eastAsia="宋体"/>
          <w:color w:val="000000" w:themeColor="text1"/>
          <w14:textFill>
            <w14:solidFill>
              <w14:schemeClr w14:val="tx1"/>
            </w14:solidFill>
          </w14:textFill>
        </w:rPr>
        <w:t>g</w:t>
      </w:r>
      <w:r>
        <w:rPr>
          <w:rFonts w:hint="eastAsia" w:ascii="Times New Roman" w:eastAsia="宋体"/>
          <w:color w:val="000000" w:themeColor="text1"/>
          <w14:textFill>
            <w14:solidFill>
              <w14:schemeClr w14:val="tx1"/>
            </w14:solidFill>
          </w14:textFill>
        </w:rPr>
        <w:t>）</w:t>
      </w:r>
      <w:r>
        <w:rPr>
          <w:rFonts w:ascii="Times New Roman" w:eastAsia="宋体"/>
          <w:color w:val="000000" w:themeColor="text1"/>
          <w14:textFill>
            <w14:solidFill>
              <w14:schemeClr w14:val="tx1"/>
            </w14:solidFill>
          </w14:textFill>
        </w:rPr>
        <w:t>;</w:t>
      </w:r>
    </w:p>
    <w:p w14:paraId="68BF9159">
      <w:pPr>
        <w:pStyle w:val="27"/>
        <w:numPr>
          <w:ilvl w:val="2"/>
          <w:numId w:val="0"/>
        </w:numPr>
        <w:spacing w:before="240" w:beforeLines="100" w:after="240" w:afterLines="100"/>
        <w:rPr>
          <w:rFonts w:ascii="Times New Roman" w:eastAsia="宋体"/>
          <w:color w:val="000000" w:themeColor="text1"/>
          <w14:textFill>
            <w14:solidFill>
              <w14:schemeClr w14:val="tx1"/>
            </w14:solidFill>
          </w14:textFill>
        </w:rPr>
      </w:pPr>
      <w:r>
        <w:rPr>
          <w:rFonts w:ascii="Times New Roman"/>
          <w:color w:val="000000" w:themeColor="text1"/>
          <w14:textFill>
            <w14:solidFill>
              <w14:schemeClr w14:val="tx1"/>
            </w14:solidFill>
          </w14:textFill>
        </w:rPr>
        <w:t>6.9.5 供试品溶液的制备</w:t>
      </w:r>
    </w:p>
    <w:p w14:paraId="252C0C01">
      <w:pPr>
        <w:pStyle w:val="27"/>
        <w:numPr>
          <w:ilvl w:val="2"/>
          <w:numId w:val="0"/>
        </w:numPr>
        <w:spacing w:before="240" w:beforeLines="100" w:after="240" w:afterLines="100"/>
        <w:ind w:firstLine="420" w:firstLineChars="200"/>
        <w:rPr>
          <w:rFonts w:ascii="Times New Roman" w:eastAsia="宋体"/>
          <w:color w:val="000000" w:themeColor="text1"/>
          <w14:textFill>
            <w14:solidFill>
              <w14:schemeClr w14:val="tx1"/>
            </w14:solidFill>
          </w14:textFill>
        </w:rPr>
      </w:pPr>
      <w:r>
        <w:rPr>
          <w:rFonts w:hint="eastAsia" w:ascii="Times New Roman" w:eastAsia="宋体"/>
          <w:color w:val="000000" w:themeColor="text1"/>
          <w14:textFill>
            <w14:solidFill>
              <w14:schemeClr w14:val="tx1"/>
            </w14:solidFill>
          </w14:textFill>
        </w:rPr>
        <w:t>精密称取本品约</w:t>
      </w:r>
      <w:r>
        <w:rPr>
          <w:rFonts w:ascii="Times New Roman" w:eastAsia="宋体"/>
          <w:color w:val="000000" w:themeColor="text1"/>
          <w14:textFill>
            <w14:solidFill>
              <w14:schemeClr w14:val="tx1"/>
            </w14:solidFill>
          </w14:textFill>
        </w:rPr>
        <w:t>20mg</w:t>
      </w:r>
      <w:r>
        <w:rPr>
          <w:rFonts w:hint="eastAsia" w:ascii="Times New Roman" w:eastAsia="宋体"/>
          <w:color w:val="000000" w:themeColor="text1"/>
          <w14:textFill>
            <w14:solidFill>
              <w14:schemeClr w14:val="tx1"/>
            </w14:solidFill>
          </w14:textFill>
        </w:rPr>
        <w:t>（</w:t>
      </w:r>
      <w:r>
        <w:rPr>
          <w:rFonts w:ascii="Times New Roman" w:eastAsia="宋体"/>
          <w:color w:val="000000" w:themeColor="text1"/>
          <w14:textFill>
            <w14:solidFill>
              <w14:schemeClr w14:val="tx1"/>
            </w14:solidFill>
          </w14:textFill>
        </w:rPr>
        <w:t>W</w:t>
      </w:r>
      <w:r>
        <w:rPr>
          <w:rFonts w:hint="eastAsia" w:ascii="Times New Roman" w:eastAsia="宋体"/>
          <w:color w:val="000000" w:themeColor="text1"/>
          <w14:textFill>
            <w14:solidFill>
              <w14:schemeClr w14:val="tx1"/>
            </w14:solidFill>
          </w14:textFill>
        </w:rPr>
        <w:t>），置于</w:t>
      </w:r>
      <w:r>
        <w:rPr>
          <w:rFonts w:ascii="Times New Roman" w:eastAsia="宋体"/>
          <w:color w:val="000000" w:themeColor="text1"/>
          <w14:textFill>
            <w14:solidFill>
              <w14:schemeClr w14:val="tx1"/>
            </w14:solidFill>
          </w14:textFill>
        </w:rPr>
        <w:t>15 mL</w:t>
      </w:r>
      <w:r>
        <w:rPr>
          <w:rFonts w:hint="eastAsia" w:ascii="Times New Roman" w:eastAsia="宋体"/>
          <w:color w:val="000000" w:themeColor="text1"/>
          <w14:textFill>
            <w14:solidFill>
              <w14:schemeClr w14:val="tx1"/>
            </w14:solidFill>
          </w14:textFill>
        </w:rPr>
        <w:t>具塞试管中，加水</w:t>
      </w:r>
      <w:r>
        <w:rPr>
          <w:rFonts w:ascii="Times New Roman" w:eastAsia="宋体"/>
          <w:color w:val="000000" w:themeColor="text1"/>
          <w14:textFill>
            <w14:solidFill>
              <w14:schemeClr w14:val="tx1"/>
            </w14:solidFill>
          </w14:textFill>
        </w:rPr>
        <w:t>1.0mL，加塞，用封口膜封口，间歇超声加速溶解（如需过夜，在2℃～8℃放置），24小时之内测定。供试品溶液平行制备2管。</w:t>
      </w:r>
    </w:p>
    <w:p w14:paraId="05F86194">
      <w:pPr>
        <w:pStyle w:val="27"/>
        <w:numPr>
          <w:ilvl w:val="2"/>
          <w:numId w:val="0"/>
        </w:numPr>
        <w:spacing w:before="240" w:beforeLines="100" w:after="240" w:afterLines="100"/>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t>6.9.6 测定</w:t>
      </w:r>
    </w:p>
    <w:p w14:paraId="2CA0AB22">
      <w:pPr>
        <w:pStyle w:val="27"/>
        <w:numPr>
          <w:ilvl w:val="2"/>
          <w:numId w:val="0"/>
        </w:numPr>
        <w:spacing w:before="240" w:beforeLines="100" w:after="240" w:afterLines="100"/>
        <w:ind w:firstLine="420" w:firstLineChars="200"/>
        <w:rPr>
          <w:rFonts w:ascii="Times New Roman" w:eastAsia="宋体"/>
          <w:color w:val="000000" w:themeColor="text1"/>
          <w14:textFill>
            <w14:solidFill>
              <w14:schemeClr w14:val="tx1"/>
            </w14:solidFill>
          </w14:textFill>
        </w:rPr>
      </w:pPr>
      <w:r>
        <w:rPr>
          <w:rFonts w:ascii="Times New Roman" w:eastAsia="宋体"/>
          <w:color w:val="000000" w:themeColor="text1"/>
          <w14:textFill>
            <w14:solidFill>
              <w14:schemeClr w14:val="tx1"/>
            </w14:solidFill>
          </w14:textFill>
        </w:rPr>
        <w:t>取对照品及供试液，分别加碱性铜试液1 mL，混匀，放置10分钟，各加入福林酚试液[取福林试液中的贮备液（2mol/L酸浓度）1→16]4.0mL，立即混匀，室温放置30分钟，</w:t>
      </w:r>
      <w:r>
        <w:rPr>
          <w:rFonts w:hint="eastAsia" w:ascii="Times New Roman" w:eastAsia="宋体"/>
          <w:color w:val="000000" w:themeColor="text1"/>
          <w14:textFill>
            <w14:solidFill>
              <w14:schemeClr w14:val="tx1"/>
            </w14:solidFill>
          </w14:textFill>
        </w:rPr>
        <w:t>按</w:t>
      </w:r>
      <w:r>
        <w:rPr>
          <w:rFonts w:ascii="Times New Roman" w:eastAsia="宋体"/>
          <w:color w:val="000000" w:themeColor="text1"/>
          <w14:textFill>
            <w14:solidFill>
              <w14:schemeClr w14:val="tx1"/>
            </w14:solidFill>
          </w14:textFill>
        </w:rPr>
        <w:t>照紫外-可见分光光度法（通则0401），在650nm的波长处测定吸光度；同时以0号管作为空白。以系列对照品溶液的浓度与其相对应的吸光度计算线性回归方程及相关系数(要求r</w:t>
      </w:r>
      <w:r>
        <w:rPr>
          <w:rFonts w:hint="eastAsia"/>
        </w:rPr>
        <w:t>≥</w:t>
      </w:r>
      <w:r>
        <w:rPr>
          <w:rFonts w:ascii="Times New Roman" w:eastAsia="宋体"/>
          <w:color w:val="000000" w:themeColor="text1"/>
          <w14:textFill>
            <w14:solidFill>
              <w14:schemeClr w14:val="tx1"/>
            </w14:solidFill>
          </w14:textFill>
        </w:rPr>
        <w:t>0.990)。从线性回归方程计算供试品溶液中的蛋白质浓度，并乘以稀释倍数，即得。</w:t>
      </w:r>
    </w:p>
    <w:p w14:paraId="49CEC9CE">
      <w:pPr>
        <w:pStyle w:val="27"/>
        <w:numPr>
          <w:ilvl w:val="2"/>
          <w:numId w:val="0"/>
        </w:numPr>
        <w:spacing w:before="240" w:beforeLines="100" w:after="240" w:afterLines="100"/>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t>6.9.7 计算</w:t>
      </w:r>
    </w:p>
    <w:p w14:paraId="57EFDFE2">
      <w:pPr>
        <w:pStyle w:val="27"/>
        <w:numPr>
          <w:ilvl w:val="2"/>
          <w:numId w:val="0"/>
        </w:numPr>
        <w:spacing w:before="240" w:beforeLines="100" w:after="240" w:afterLines="100"/>
        <w:ind w:firstLine="420" w:firstLineChars="200"/>
        <w:rPr>
          <w:rFonts w:ascii="Times New Roman" w:eastAsia="宋体"/>
          <w:color w:val="000000" w:themeColor="text1"/>
          <w14:textFill>
            <w14:solidFill>
              <w14:schemeClr w14:val="tx1"/>
            </w14:solidFill>
          </w14:textFill>
        </w:rPr>
      </w:pPr>
      <w:r>
        <w:rPr>
          <w:rFonts w:ascii="Times New Roman" w:eastAsia="宋体"/>
          <w:color w:val="000000" w:themeColor="text1"/>
          <w14:textFill>
            <w14:solidFill>
              <w14:schemeClr w14:val="tx1"/>
            </w14:solidFill>
          </w14:textFill>
        </w:rPr>
        <w:t>蛋白质含量按式（6）计算：</w:t>
      </w:r>
    </w:p>
    <w:p w14:paraId="2591A79C">
      <w:pPr>
        <w:pStyle w:val="27"/>
        <w:numPr>
          <w:ilvl w:val="2"/>
          <w:numId w:val="0"/>
        </w:numPr>
        <w:spacing w:before="240" w:beforeLines="100" w:after="240" w:afterLines="100"/>
        <w:ind w:firstLine="420" w:firstLineChars="200"/>
        <w:rPr>
          <w:rFonts w:ascii="Times New Roman" w:eastAsia="宋体"/>
          <w:color w:val="000000" w:themeColor="text1"/>
          <w14:textFill>
            <w14:solidFill>
              <w14:schemeClr w14:val="tx1"/>
            </w14:solidFill>
          </w14:textFill>
        </w:rPr>
      </w:pPr>
      <w:r>
        <w:rPr>
          <w:rFonts w:ascii="Times New Roman" w:eastAsia="宋体"/>
          <w:color w:val="000000" w:themeColor="text1"/>
          <w14:textFill>
            <w14:solidFill>
              <w14:schemeClr w14:val="tx1"/>
            </w14:solidFill>
          </w14:textFill>
        </w:rPr>
        <w:t>Pᵣ=</w:t>
      </w:r>
      <m:oMath>
        <m:f>
          <m:fPr>
            <m:ctrlPr>
              <w:rPr>
                <w:rFonts w:ascii="Cambria Math" w:hAnsi="Cambria Math" w:eastAsia="宋体"/>
                <w:color w:val="000000" w:themeColor="text1"/>
                <w14:textFill>
                  <w14:solidFill>
                    <w14:schemeClr w14:val="tx1"/>
                  </w14:solidFill>
                </w14:textFill>
              </w:rPr>
            </m:ctrlPr>
          </m:fPr>
          <m:num>
            <m:r>
              <m:rPr>
                <m:sty m:val="p"/>
              </m:rPr>
              <w:rPr>
                <w:rFonts w:ascii="Cambria Math" w:hAnsi="Cambria Math" w:eastAsia="宋体"/>
                <w:color w:val="000000" w:themeColor="text1"/>
                <w14:textFill>
                  <w14:solidFill>
                    <w14:schemeClr w14:val="tx1"/>
                  </w14:solidFill>
                </w14:textFill>
              </w:rPr>
              <m:t>C</m:t>
            </m:r>
            <m:ctrlPr>
              <w:rPr>
                <w:rFonts w:ascii="Cambria Math" w:hAnsi="Cambria Math" w:eastAsia="宋体"/>
                <w:color w:val="000000" w:themeColor="text1"/>
                <w14:textFill>
                  <w14:solidFill>
                    <w14:schemeClr w14:val="tx1"/>
                  </w14:solidFill>
                </w14:textFill>
              </w:rPr>
            </m:ctrlPr>
          </m:num>
          <m:den>
            <m:r>
              <m:rPr>
                <m:sty m:val="p"/>
              </m:rPr>
              <w:rPr>
                <w:rFonts w:ascii="Cambria Math" w:hAnsi="Cambria Math" w:eastAsia="宋体"/>
                <w:color w:val="000000" w:themeColor="text1"/>
                <w14:textFill>
                  <w14:solidFill>
                    <w14:schemeClr w14:val="tx1"/>
                  </w14:solidFill>
                </w14:textFill>
              </w:rPr>
              <m:t>W×</m:t>
            </m:r>
            <m:sSup>
              <m:sSupPr>
                <m:ctrlPr>
                  <w:rPr>
                    <w:rFonts w:ascii="Cambria Math" w:hAnsi="Cambria Math" w:eastAsia="宋体"/>
                    <w:color w:val="000000" w:themeColor="text1"/>
                    <w14:textFill>
                      <w14:solidFill>
                        <w14:schemeClr w14:val="tx1"/>
                      </w14:solidFill>
                    </w14:textFill>
                  </w:rPr>
                </m:ctrlPr>
              </m:sSupPr>
              <m:e>
                <m:r>
                  <m:rPr>
                    <m:sty m:val="p"/>
                  </m:rPr>
                  <w:rPr>
                    <w:rFonts w:ascii="Cambria Math" w:hAnsi="Cambria Math" w:eastAsia="宋体"/>
                    <w:color w:val="000000" w:themeColor="text1"/>
                    <w14:textFill>
                      <w14:solidFill>
                        <w14:schemeClr w14:val="tx1"/>
                      </w14:solidFill>
                    </w14:textFill>
                  </w:rPr>
                  <m:t>10</m:t>
                </m:r>
                <m:ctrlPr>
                  <w:rPr>
                    <w:rFonts w:ascii="Cambria Math" w:hAnsi="Cambria Math" w:eastAsia="宋体"/>
                    <w:color w:val="000000" w:themeColor="text1"/>
                    <w14:textFill>
                      <w14:solidFill>
                        <w14:schemeClr w14:val="tx1"/>
                      </w14:solidFill>
                    </w14:textFill>
                  </w:rPr>
                </m:ctrlPr>
              </m:e>
              <m:sup>
                <m:r>
                  <m:rPr>
                    <m:sty m:val="p"/>
                  </m:rPr>
                  <w:rPr>
                    <w:rFonts w:ascii="Cambria Math" w:hAnsi="Cambria Math" w:eastAsia="宋体"/>
                    <w:color w:val="000000" w:themeColor="text1"/>
                    <w14:textFill>
                      <w14:solidFill>
                        <w14:schemeClr w14:val="tx1"/>
                      </w14:solidFill>
                    </w14:textFill>
                  </w:rPr>
                  <m:t>6</m:t>
                </m:r>
                <m:ctrlPr>
                  <w:rPr>
                    <w:rFonts w:ascii="Cambria Math" w:hAnsi="Cambria Math" w:eastAsia="宋体"/>
                    <w:color w:val="000000" w:themeColor="text1"/>
                    <w14:textFill>
                      <w14:solidFill>
                        <w14:schemeClr w14:val="tx1"/>
                      </w14:solidFill>
                    </w14:textFill>
                  </w:rPr>
                </m:ctrlPr>
              </m:sup>
            </m:sSup>
            <m:r>
              <m:rPr>
                <m:sty m:val="p"/>
              </m:rPr>
              <w:rPr>
                <w:rFonts w:ascii="Cambria Math" w:hAnsi="Cambria Math" w:eastAsia="宋体"/>
                <w:color w:val="000000" w:themeColor="text1"/>
                <w14:textFill>
                  <w14:solidFill>
                    <w14:schemeClr w14:val="tx1"/>
                  </w14:solidFill>
                </w14:textFill>
              </w:rPr>
              <m:t>×(1−</m:t>
            </m:r>
            <m:sSub>
              <m:sSubPr>
                <m:ctrlPr>
                  <w:rPr>
                    <w:rFonts w:ascii="Cambria Math" w:hAnsi="Cambria Math" w:eastAsia="宋体"/>
                    <w:color w:val="000000" w:themeColor="text1"/>
                    <w14:textFill>
                      <w14:solidFill>
                        <w14:schemeClr w14:val="tx1"/>
                      </w14:solidFill>
                    </w14:textFill>
                  </w:rPr>
                </m:ctrlPr>
              </m:sSubPr>
              <m:e>
                <m:r>
                  <m:rPr>
                    <m:sty m:val="p"/>
                  </m:rPr>
                  <w:rPr>
                    <w:rFonts w:ascii="Cambria Math" w:hAnsi="Cambria Math" w:eastAsia="宋体"/>
                    <w:color w:val="000000" w:themeColor="text1"/>
                    <w14:textFill>
                      <w14:solidFill>
                        <w14:schemeClr w14:val="tx1"/>
                      </w14:solidFill>
                    </w14:textFill>
                  </w:rPr>
                  <m:t>h</m:t>
                </m:r>
                <m:ctrlPr>
                  <w:rPr>
                    <w:rFonts w:ascii="Cambria Math" w:hAnsi="Cambria Math" w:eastAsia="宋体"/>
                    <w:color w:val="000000" w:themeColor="text1"/>
                    <w14:textFill>
                      <w14:solidFill>
                        <w14:schemeClr w14:val="tx1"/>
                      </w14:solidFill>
                    </w14:textFill>
                  </w:rPr>
                </m:ctrlPr>
              </m:e>
              <m:sub>
                <m:r>
                  <m:rPr>
                    <m:sty m:val="p"/>
                  </m:rPr>
                  <w:rPr>
                    <w:rFonts w:ascii="Cambria Math" w:hAnsi="Cambria Math" w:eastAsia="宋体"/>
                    <w:color w:val="000000" w:themeColor="text1"/>
                    <w14:textFill>
                      <w14:solidFill>
                        <w14:schemeClr w14:val="tx1"/>
                      </w14:solidFill>
                    </w14:textFill>
                  </w:rPr>
                  <m:t>0</m:t>
                </m:r>
                <m:ctrlPr>
                  <w:rPr>
                    <w:rFonts w:ascii="Cambria Math" w:hAnsi="Cambria Math" w:eastAsia="宋体"/>
                    <w:color w:val="000000" w:themeColor="text1"/>
                    <w14:textFill>
                      <w14:solidFill>
                        <w14:schemeClr w14:val="tx1"/>
                      </w14:solidFill>
                    </w14:textFill>
                  </w:rPr>
                </m:ctrlPr>
              </m:sub>
            </m:sSub>
            <m:r>
              <m:rPr>
                <m:sty m:val="p"/>
              </m:rPr>
              <w:rPr>
                <w:rFonts w:ascii="Cambria Math" w:hAnsi="Cambria Math" w:eastAsia="宋体"/>
                <w:color w:val="000000" w:themeColor="text1"/>
                <w14:textFill>
                  <w14:solidFill>
                    <w14:schemeClr w14:val="tx1"/>
                  </w14:solidFill>
                </w14:textFill>
              </w:rPr>
              <m:t>）</m:t>
            </m:r>
            <m:ctrlPr>
              <w:rPr>
                <w:rFonts w:ascii="Cambria Math" w:hAnsi="Cambria Math" w:eastAsia="宋体"/>
                <w:color w:val="000000" w:themeColor="text1"/>
                <w14:textFill>
                  <w14:solidFill>
                    <w14:schemeClr w14:val="tx1"/>
                  </w14:solidFill>
                </w14:textFill>
              </w:rPr>
            </m:ctrlPr>
          </m:den>
        </m:f>
        <m:r>
          <m:rPr>
            <m:sty m:val="p"/>
          </m:rPr>
          <w:rPr>
            <w:rFonts w:ascii="Cambria Math" w:hAnsi="Cambria Math" w:eastAsia="宋体"/>
            <w:color w:val="000000" w:themeColor="text1"/>
            <w14:textFill>
              <w14:solidFill>
                <w14:schemeClr w14:val="tx1"/>
              </w14:solidFill>
            </w14:textFill>
          </w:rPr>
          <m:t>×100%</m:t>
        </m:r>
      </m:oMath>
      <w:r>
        <w:rPr>
          <w:rFonts w:ascii="Times New Roman" w:eastAsia="宋体"/>
          <w:color w:val="000000" w:themeColor="text1"/>
          <w14:textFill>
            <w14:solidFill>
              <w14:schemeClr w14:val="tx1"/>
            </w14:solidFill>
          </w14:textFill>
        </w:rPr>
        <w:t xml:space="preserve"> ……（6）</w:t>
      </w:r>
    </w:p>
    <w:p w14:paraId="19CB96FB">
      <w:pPr>
        <w:pStyle w:val="27"/>
        <w:numPr>
          <w:ilvl w:val="2"/>
          <w:numId w:val="0"/>
        </w:numPr>
        <w:spacing w:before="240" w:beforeLines="100" w:after="240" w:afterLines="100"/>
        <w:ind w:firstLine="420" w:firstLineChars="200"/>
        <w:rPr>
          <w:rFonts w:ascii="Times New Roman" w:eastAsia="宋体"/>
          <w:color w:val="000000" w:themeColor="text1"/>
          <w14:textFill>
            <w14:solidFill>
              <w14:schemeClr w14:val="tx1"/>
            </w14:solidFill>
          </w14:textFill>
        </w:rPr>
      </w:pPr>
      <w:r>
        <w:rPr>
          <w:rFonts w:ascii="Times New Roman" w:eastAsia="宋体"/>
          <w:color w:val="000000" w:themeColor="text1"/>
          <w14:textFill>
            <w14:solidFill>
              <w14:schemeClr w14:val="tx1"/>
            </w14:solidFill>
          </w14:textFill>
        </w:rPr>
        <w:t>式中：</w:t>
      </w:r>
    </w:p>
    <w:p w14:paraId="62162EFC">
      <w:pPr>
        <w:pStyle w:val="27"/>
        <w:numPr>
          <w:ilvl w:val="2"/>
          <w:numId w:val="0"/>
        </w:numPr>
        <w:spacing w:before="240" w:beforeLines="100" w:after="240" w:afterLines="100"/>
        <w:ind w:firstLine="420" w:firstLineChars="200"/>
        <w:rPr>
          <w:rFonts w:ascii="Times New Roman" w:eastAsia="宋体"/>
          <w:color w:val="000000" w:themeColor="text1"/>
          <w14:textFill>
            <w14:solidFill>
              <w14:schemeClr w14:val="tx1"/>
            </w14:solidFill>
          </w14:textFill>
        </w:rPr>
      </w:pPr>
      <w:r>
        <w:rPr>
          <w:rFonts w:ascii="Times New Roman" w:eastAsia="宋体"/>
          <w:color w:val="000000" w:themeColor="text1"/>
          <w14:textFill>
            <w14:solidFill>
              <w14:schemeClr w14:val="tx1"/>
            </w14:solidFill>
          </w14:textFill>
        </w:rPr>
        <w:t>C —— 由回归方程得到的蛋白质浓度，单位为微克每毫升（μg/mL）；</w:t>
      </w:r>
    </w:p>
    <w:p w14:paraId="4DD854D3">
      <w:pPr>
        <w:pStyle w:val="27"/>
        <w:numPr>
          <w:ilvl w:val="2"/>
          <w:numId w:val="0"/>
        </w:numPr>
        <w:spacing w:before="240" w:beforeLines="100" w:after="240" w:afterLines="100"/>
        <w:ind w:firstLine="420" w:firstLineChars="200"/>
        <w:rPr>
          <w:rFonts w:ascii="Times New Roman" w:eastAsia="宋体"/>
          <w:color w:val="000000" w:themeColor="text1"/>
          <w14:textFill>
            <w14:solidFill>
              <w14:schemeClr w14:val="tx1"/>
            </w14:solidFill>
          </w14:textFill>
        </w:rPr>
      </w:pPr>
      <w:r>
        <w:rPr>
          <w:rFonts w:ascii="Times New Roman" w:eastAsia="宋体"/>
          <w:color w:val="000000" w:themeColor="text1"/>
          <w14:textFill>
            <w14:solidFill>
              <w14:schemeClr w14:val="tx1"/>
            </w14:solidFill>
          </w14:textFill>
        </w:rPr>
        <w:t>W —— 称取试样质量，单位为克（g）；</w:t>
      </w:r>
    </w:p>
    <w:p w14:paraId="2E76BF90">
      <w:pPr>
        <w:pStyle w:val="27"/>
        <w:numPr>
          <w:ilvl w:val="2"/>
          <w:numId w:val="0"/>
        </w:numPr>
        <w:spacing w:before="240" w:beforeLines="100" w:after="240" w:afterLines="100"/>
        <w:ind w:firstLine="420" w:firstLineChars="200"/>
        <w:rPr>
          <w:rFonts w:ascii="Times New Roman" w:eastAsia="宋体"/>
          <w:color w:val="000000" w:themeColor="text1"/>
          <w14:textFill>
            <w14:solidFill>
              <w14:schemeClr w14:val="tx1"/>
            </w14:solidFill>
          </w14:textFill>
        </w:rPr>
      </w:pPr>
      <w:r>
        <w:rPr>
          <w:rFonts w:ascii="Times New Roman" w:eastAsia="宋体"/>
          <w:color w:val="000000" w:themeColor="text1"/>
          <w14:textFill>
            <w14:solidFill>
              <w14:schemeClr w14:val="tx1"/>
            </w14:solidFill>
          </w14:textFill>
        </w:rPr>
        <w:t>h</w:t>
      </w:r>
      <w:r>
        <w:rPr>
          <w:rFonts w:ascii="Times New Roman" w:eastAsia="宋体"/>
          <w:color w:val="000000" w:themeColor="text1"/>
          <w:vertAlign w:val="subscript"/>
          <w14:textFill>
            <w14:solidFill>
              <w14:schemeClr w14:val="tx1"/>
            </w14:solidFill>
          </w14:textFill>
        </w:rPr>
        <w:t xml:space="preserve">0 </w:t>
      </w:r>
      <w:r>
        <w:rPr>
          <w:rFonts w:ascii="Times New Roman" w:eastAsia="宋体"/>
          <w:color w:val="000000" w:themeColor="text1"/>
          <w14:textFill>
            <w14:solidFill>
              <w14:schemeClr w14:val="tx1"/>
            </w14:solidFill>
          </w14:textFill>
        </w:rPr>
        <w:t>—— 试样的干燥失重，单位为%。</w:t>
      </w:r>
    </w:p>
    <w:p w14:paraId="04417484">
      <w:pPr>
        <w:pStyle w:val="27"/>
        <w:numPr>
          <w:ilvl w:val="2"/>
          <w:numId w:val="0"/>
        </w:numPr>
        <w:spacing w:before="240" w:beforeLines="100" w:after="240" w:afterLines="100"/>
        <w:rPr>
          <w:rFonts w:ascii="Times New Roman"/>
        </w:rPr>
      </w:pPr>
      <w:r>
        <w:rPr>
          <w:rFonts w:ascii="Times New Roman"/>
          <w:color w:val="000000" w:themeColor="text1"/>
          <w14:textFill>
            <w14:solidFill>
              <w14:schemeClr w14:val="tx1"/>
            </w14:solidFill>
          </w14:textFill>
        </w:rPr>
        <w:t>6.9.8 结果报告</w:t>
      </w:r>
    </w:p>
    <w:p w14:paraId="6C4C1679">
      <w:pPr>
        <w:pStyle w:val="27"/>
        <w:numPr>
          <w:ilvl w:val="2"/>
          <w:numId w:val="0"/>
        </w:numPr>
        <w:spacing w:before="240" w:beforeLines="100" w:after="240" w:afterLines="100"/>
        <w:ind w:firstLine="420" w:firstLineChars="200"/>
        <w:rPr>
          <w:rFonts w:ascii="Times New Roman" w:eastAsia="宋体"/>
          <w:color w:val="000000" w:themeColor="text1"/>
          <w14:textFill>
            <w14:solidFill>
              <w14:schemeClr w14:val="tx1"/>
            </w14:solidFill>
          </w14:textFill>
        </w:rPr>
      </w:pPr>
      <w:r>
        <w:rPr>
          <w:rFonts w:ascii="Times New Roman" w:eastAsia="宋体"/>
          <w:color w:val="000000" w:themeColor="text1"/>
          <w14:textFill>
            <w14:solidFill>
              <w14:schemeClr w14:val="tx1"/>
            </w14:solidFill>
          </w14:textFill>
        </w:rPr>
        <w:t>两个平行测定结果相对偏差应不超过15%。以平行测定结果的平均值报告，结果表示到小数点后两位。</w:t>
      </w:r>
    </w:p>
    <w:p w14:paraId="40394501">
      <w:pPr>
        <w:pStyle w:val="27"/>
        <w:numPr>
          <w:ilvl w:val="2"/>
          <w:numId w:val="0"/>
        </w:numPr>
        <w:spacing w:before="240" w:beforeLines="100" w:after="240" w:afterLines="100"/>
        <w:rPr>
          <w:rFonts w:ascii="Times New Roman"/>
        </w:rPr>
      </w:pPr>
      <w:r>
        <w:rPr>
          <w:rFonts w:ascii="Times New Roman"/>
          <w:color w:val="000000" w:themeColor="text1"/>
          <w14:textFill>
            <w14:solidFill>
              <w14:schemeClr w14:val="tx1"/>
            </w14:solidFill>
          </w14:textFill>
        </w:rPr>
        <w:t>6.10 氯化物</w:t>
      </w:r>
    </w:p>
    <w:p w14:paraId="79AFC833">
      <w:pPr>
        <w:pStyle w:val="27"/>
        <w:numPr>
          <w:ilvl w:val="2"/>
          <w:numId w:val="0"/>
        </w:numPr>
        <w:spacing w:before="240" w:beforeLines="100" w:after="240" w:afterLines="100"/>
        <w:ind w:firstLine="420" w:firstLineChars="200"/>
        <w:rPr>
          <w:rFonts w:ascii="Times New Roman" w:eastAsia="宋体"/>
          <w:color w:val="000000" w:themeColor="text1"/>
          <w14:textFill>
            <w14:solidFill>
              <w14:schemeClr w14:val="tx1"/>
            </w14:solidFill>
          </w14:textFill>
        </w:rPr>
      </w:pPr>
      <w:r>
        <w:rPr>
          <w:rFonts w:ascii="Times New Roman" w:eastAsia="宋体"/>
          <w:color w:val="000000" w:themeColor="text1"/>
          <w14:textFill>
            <w14:solidFill>
              <w14:schemeClr w14:val="tx1"/>
            </w14:solidFill>
          </w14:textFill>
        </w:rPr>
        <w:t>按</w:t>
      </w:r>
      <w:r>
        <w:rPr>
          <w:rFonts w:hint="eastAsia" w:ascii="Times New Roman" w:eastAsia="宋体"/>
          <w:color w:val="000000" w:themeColor="text1"/>
          <w14:textFill>
            <w14:solidFill>
              <w14:schemeClr w14:val="tx1"/>
            </w14:solidFill>
          </w14:textFill>
        </w:rPr>
        <w:t>照</w:t>
      </w:r>
      <w:r>
        <w:rPr>
          <w:rFonts w:ascii="Times New Roman" w:eastAsia="宋体"/>
          <w:color w:val="000000" w:themeColor="text1"/>
          <w14:textFill>
            <w14:solidFill>
              <w14:schemeClr w14:val="tx1"/>
            </w14:solidFill>
          </w14:textFill>
        </w:rPr>
        <w:t>《中华人民共和国药典》（2025年版）四部通则0801测定。取0.010g供试品，加水溶解使成25mL，再加稀硝酸10mL；溶液如不澄清，应</w:t>
      </w:r>
      <w:r>
        <w:rPr>
          <w:rFonts w:hint="eastAsia" w:ascii="Times New Roman" w:eastAsia="宋体"/>
          <w:color w:val="000000" w:themeColor="text1"/>
          <w14:textFill>
            <w14:solidFill>
              <w14:schemeClr w14:val="tx1"/>
            </w14:solidFill>
          </w14:textFill>
        </w:rPr>
        <w:t>过滤</w:t>
      </w:r>
      <w:r>
        <w:rPr>
          <w:rFonts w:ascii="Times New Roman" w:eastAsia="宋体"/>
          <w:color w:val="000000" w:themeColor="text1"/>
          <w14:textFill>
            <w14:solidFill>
              <w14:schemeClr w14:val="tx1"/>
            </w14:solidFill>
          </w14:textFill>
        </w:rPr>
        <w:t>；置</w:t>
      </w:r>
      <w:r>
        <w:rPr>
          <w:rFonts w:hint="eastAsia" w:ascii="Times New Roman" w:eastAsia="宋体"/>
          <w:color w:val="000000" w:themeColor="text1"/>
          <w14:textFill>
            <w14:solidFill>
              <w14:schemeClr w14:val="tx1"/>
            </w14:solidFill>
          </w14:textFill>
        </w:rPr>
        <w:t>于</w:t>
      </w:r>
      <w:r>
        <w:rPr>
          <w:rFonts w:ascii="Times New Roman" w:eastAsia="宋体"/>
          <w:color w:val="000000" w:themeColor="text1"/>
          <w14:textFill>
            <w14:solidFill>
              <w14:schemeClr w14:val="tx1"/>
            </w14:solidFill>
          </w14:textFill>
        </w:rPr>
        <w:t>50mL纳氏比色管中，加水使成约40mL，摇匀，即得供试品溶液。另取5mL标准氯化钠溶液</w:t>
      </w:r>
      <w:r>
        <w:rPr>
          <w:rFonts w:hint="eastAsia" w:ascii="Times New Roman" w:eastAsia="宋体"/>
          <w:color w:val="000000" w:themeColor="text1"/>
          <w14:textFill>
            <w14:solidFill>
              <w14:schemeClr w14:val="tx1"/>
            </w14:solidFill>
          </w14:textFill>
        </w:rPr>
        <w:t>（每</w:t>
      </w:r>
      <w:r>
        <w:rPr>
          <w:rFonts w:ascii="Times New Roman" w:eastAsia="宋体"/>
          <w:color w:val="000000" w:themeColor="text1"/>
          <w14:textFill>
            <w14:solidFill>
              <w14:schemeClr w14:val="tx1"/>
            </w14:solidFill>
          </w14:textFill>
        </w:rPr>
        <w:t>1mL</w:t>
      </w:r>
      <w:r>
        <w:rPr>
          <w:rFonts w:hint="eastAsia" w:ascii="Times New Roman" w:eastAsia="宋体"/>
          <w:color w:val="000000" w:themeColor="text1"/>
          <w14:textFill>
            <w14:solidFill>
              <w14:schemeClr w14:val="tx1"/>
            </w14:solidFill>
          </w14:textFill>
        </w:rPr>
        <w:t>相当于</w:t>
      </w:r>
      <w:r>
        <w:rPr>
          <w:rFonts w:ascii="Times New Roman" w:eastAsia="宋体"/>
          <w:color w:val="000000" w:themeColor="text1"/>
          <w14:textFill>
            <w14:solidFill>
              <w14:schemeClr w14:val="tx1"/>
            </w14:solidFill>
          </w14:textFill>
        </w:rPr>
        <w:t>10μg</w:t>
      </w:r>
      <w:r>
        <w:rPr>
          <w:rFonts w:hint="eastAsia" w:ascii="Times New Roman" w:eastAsia="宋体"/>
          <w:color w:val="000000" w:themeColor="text1"/>
          <w14:textFill>
            <w14:solidFill>
              <w14:schemeClr w14:val="tx1"/>
            </w14:solidFill>
          </w14:textFill>
        </w:rPr>
        <w:t>的</w:t>
      </w:r>
      <w:r>
        <w:rPr>
          <w:rFonts w:ascii="Times New Roman" w:eastAsia="宋体"/>
          <w:color w:val="000000" w:themeColor="text1"/>
          <w14:textFill>
            <w14:solidFill>
              <w14:schemeClr w14:val="tx1"/>
            </w14:solidFill>
          </w14:textFill>
        </w:rPr>
        <w:t>Cl</w:t>
      </w:r>
      <w:r>
        <w:rPr>
          <w:rFonts w:hint="eastAsia" w:ascii="Times New Roman" w:eastAsia="宋体"/>
          <w:color w:val="000000" w:themeColor="text1"/>
          <w14:textFill>
            <w14:solidFill>
              <w14:schemeClr w14:val="tx1"/>
            </w14:solidFill>
          </w14:textFill>
        </w:rPr>
        <w:t>）</w:t>
      </w:r>
      <w:r>
        <w:rPr>
          <w:rFonts w:ascii="Times New Roman" w:eastAsia="宋体"/>
          <w:color w:val="000000" w:themeColor="text1"/>
          <w14:textFill>
            <w14:solidFill>
              <w14:schemeClr w14:val="tx1"/>
            </w14:solidFill>
          </w14:textFill>
        </w:rPr>
        <w:t>，置</w:t>
      </w:r>
      <w:r>
        <w:rPr>
          <w:rFonts w:hint="eastAsia" w:ascii="Times New Roman" w:eastAsia="宋体"/>
          <w:color w:val="000000" w:themeColor="text1"/>
          <w14:textFill>
            <w14:solidFill>
              <w14:schemeClr w14:val="tx1"/>
            </w14:solidFill>
          </w14:textFill>
        </w:rPr>
        <w:t>于</w:t>
      </w:r>
      <w:r>
        <w:rPr>
          <w:rFonts w:ascii="Times New Roman" w:eastAsia="宋体"/>
          <w:color w:val="000000" w:themeColor="text1"/>
          <w14:textFill>
            <w14:solidFill>
              <w14:schemeClr w14:val="tx1"/>
            </w14:solidFill>
          </w14:textFill>
        </w:rPr>
        <w:t>50mL纳氏比色管中，加稀硝酸10mL，加水使成40mL，摇匀，即得对照溶液。于供试品溶液与对照溶液中，分别加入硝酸银试液1.0mL，用水稀释使成50mL，摇匀，在暗处放置5分钟，同置黑色背景上，从比色管上方向下观察比较，样品的浊度不得深于对照。</w:t>
      </w:r>
    </w:p>
    <w:p w14:paraId="31904155">
      <w:pPr>
        <w:pStyle w:val="27"/>
        <w:numPr>
          <w:ilvl w:val="2"/>
          <w:numId w:val="0"/>
        </w:numPr>
        <w:spacing w:before="240" w:beforeLines="100" w:after="240" w:afterLines="100"/>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t>6.11 铁含量</w:t>
      </w:r>
    </w:p>
    <w:p w14:paraId="16CC77D1">
      <w:pPr>
        <w:pStyle w:val="27"/>
        <w:numPr>
          <w:ilvl w:val="2"/>
          <w:numId w:val="0"/>
        </w:numPr>
        <w:spacing w:before="240" w:beforeLines="100" w:after="240" w:afterLines="100"/>
        <w:ind w:firstLine="420" w:firstLineChars="200"/>
        <w:rPr>
          <w:rFonts w:ascii="Times New Roman"/>
        </w:rPr>
      </w:pPr>
      <w:r>
        <w:rPr>
          <w:rFonts w:ascii="Times New Roman" w:eastAsia="宋体"/>
          <w:color w:val="000000" w:themeColor="text1"/>
          <w14:textFill>
            <w14:solidFill>
              <w14:schemeClr w14:val="tx1"/>
            </w14:solidFill>
          </w14:textFill>
        </w:rPr>
        <w:t>取试样0.50 g，置50 mL纳氏比色管中，加水45 mL，在100 ℃加热至溶解（约需1.5小时），冷却，加2 mL盐酸，混合。另取铁标准溶液（10 μg/mL）1.5 mL，置50 mL纳氏比色管中，加水稀释至45 mL，加盐酸2.0 mL，混合，作为对照管。每个比色管中分别加入过硫酸铵50 mg和硫氰酸铵溶液3.0 mL，混合。供试溶液所显的颜色不得深于对照溶液。按《中华人民共和国药典》（2025年版）四部通则0807</w:t>
      </w:r>
      <w:r>
        <w:rPr>
          <w:rFonts w:ascii="Times New Roman"/>
        </w:rPr>
        <w:t>测定。</w:t>
      </w:r>
    </w:p>
    <w:p w14:paraId="1B9310DB">
      <w:pPr>
        <w:pStyle w:val="27"/>
        <w:numPr>
          <w:ilvl w:val="2"/>
          <w:numId w:val="0"/>
        </w:numPr>
        <w:spacing w:before="240" w:beforeLines="100" w:after="240" w:afterLines="100"/>
        <w:rPr>
          <w:rFonts w:ascii="Times New Roman"/>
        </w:rPr>
      </w:pPr>
      <w:r>
        <w:rPr>
          <w:rFonts w:ascii="Times New Roman"/>
          <w:color w:val="000000" w:themeColor="text1"/>
          <w14:textFill>
            <w14:solidFill>
              <w14:schemeClr w14:val="tx1"/>
            </w14:solidFill>
          </w14:textFill>
        </w:rPr>
        <w:t>6.12 重金属</w:t>
      </w:r>
    </w:p>
    <w:p w14:paraId="31974C95">
      <w:pPr>
        <w:pStyle w:val="24"/>
        <w:ind w:firstLine="420"/>
        <w:rPr>
          <w:rFonts w:ascii="Times New Roman"/>
        </w:rPr>
      </w:pPr>
      <w:r>
        <w:rPr>
          <w:rFonts w:ascii="Times New Roman"/>
        </w:rPr>
        <w:t>取试样1.0 g，按《中华人民共和国药典》（2025年版）四部通则0821第二法测定。</w:t>
      </w:r>
      <w:r>
        <w:rPr>
          <w:rFonts w:hint="eastAsia" w:ascii="Times New Roman"/>
        </w:rPr>
        <w:t>重金属含量应不超过</w:t>
      </w:r>
      <w:r>
        <w:rPr>
          <w:rFonts w:ascii="Times New Roman"/>
        </w:rPr>
        <w:t xml:space="preserve">20 </w:t>
      </w:r>
      <w:r>
        <w:rPr>
          <w:rFonts w:ascii="Times New Roman"/>
          <w:color w:val="000000" w:themeColor="text1"/>
          <w14:textFill>
            <w14:solidFill>
              <w14:schemeClr w14:val="tx1"/>
            </w14:solidFill>
          </w14:textFill>
        </w:rPr>
        <w:t>μg</w:t>
      </w:r>
      <w:r>
        <w:rPr>
          <w:rFonts w:hint="eastAsia" w:ascii="Times New Roman"/>
          <w:color w:val="000000" w:themeColor="text1"/>
          <w14:textFill>
            <w14:solidFill>
              <w14:schemeClr w14:val="tx1"/>
            </w14:solidFill>
          </w14:textFill>
        </w:rPr>
        <w:t>/g</w:t>
      </w:r>
      <w:r>
        <w:rPr>
          <w:rFonts w:ascii="Times New Roman"/>
        </w:rPr>
        <w:t>。</w:t>
      </w:r>
    </w:p>
    <w:p w14:paraId="09E8ECFF">
      <w:pPr>
        <w:pStyle w:val="27"/>
        <w:numPr>
          <w:ilvl w:val="2"/>
          <w:numId w:val="0"/>
        </w:numPr>
        <w:spacing w:before="240" w:beforeLines="100" w:after="240" w:afterLines="100"/>
        <w:rPr>
          <w:rFonts w:ascii="Times New Roman"/>
        </w:rPr>
      </w:pPr>
      <w:r>
        <w:rPr>
          <w:rFonts w:ascii="Times New Roman"/>
          <w:color w:val="000000" w:themeColor="text1"/>
          <w14:textFill>
            <w14:solidFill>
              <w14:schemeClr w14:val="tx1"/>
            </w14:solidFill>
          </w14:textFill>
        </w:rPr>
        <w:t>6.13 干燥失重</w:t>
      </w:r>
    </w:p>
    <w:p w14:paraId="41D71F52">
      <w:pPr>
        <w:pStyle w:val="27"/>
        <w:numPr>
          <w:ilvl w:val="2"/>
          <w:numId w:val="0"/>
        </w:numPr>
        <w:spacing w:before="240" w:beforeLines="100" w:after="240" w:afterLines="100"/>
        <w:rPr>
          <w:rFonts w:ascii="Times New Roman" w:eastAsia="宋体"/>
          <w:color w:val="000000" w:themeColor="text1"/>
          <w14:textFill>
            <w14:solidFill>
              <w14:schemeClr w14:val="tx1"/>
            </w14:solidFill>
          </w14:textFill>
        </w:rPr>
      </w:pPr>
      <w:r>
        <w:rPr>
          <w:rFonts w:ascii="Times New Roman" w:eastAsia="宋体"/>
          <w:color w:val="000000" w:themeColor="text1"/>
          <w14:textFill>
            <w14:solidFill>
              <w14:schemeClr w14:val="tx1"/>
            </w14:solidFill>
          </w14:textFill>
        </w:rPr>
        <w:t>6.13.1 仪器</w:t>
      </w:r>
    </w:p>
    <w:p w14:paraId="5217F9CC">
      <w:pPr>
        <w:pStyle w:val="27"/>
        <w:numPr>
          <w:ilvl w:val="2"/>
          <w:numId w:val="0"/>
        </w:numPr>
        <w:spacing w:before="240" w:beforeLines="100" w:after="240" w:afterLines="100"/>
        <w:rPr>
          <w:rFonts w:ascii="Times New Roman" w:eastAsia="宋体"/>
          <w:color w:val="000000" w:themeColor="text1"/>
          <w14:textFill>
            <w14:solidFill>
              <w14:schemeClr w14:val="tx1"/>
            </w14:solidFill>
          </w14:textFill>
        </w:rPr>
      </w:pPr>
      <w:r>
        <w:rPr>
          <w:rFonts w:ascii="Times New Roman" w:eastAsia="宋体"/>
          <w:color w:val="000000" w:themeColor="text1"/>
          <w14:textFill>
            <w14:solidFill>
              <w14:schemeClr w14:val="tx1"/>
            </w14:solidFill>
          </w14:textFill>
        </w:rPr>
        <w:t>6.13.1.1 真空干燥箱。</w:t>
      </w:r>
    </w:p>
    <w:p w14:paraId="5B401F1B">
      <w:pPr>
        <w:pStyle w:val="27"/>
        <w:numPr>
          <w:ilvl w:val="2"/>
          <w:numId w:val="0"/>
        </w:numPr>
        <w:spacing w:before="240" w:beforeLines="100" w:after="240" w:afterLines="100"/>
        <w:rPr>
          <w:rFonts w:ascii="Times New Roman" w:eastAsia="宋体"/>
          <w:color w:val="000000" w:themeColor="text1"/>
          <w14:textFill>
            <w14:solidFill>
              <w14:schemeClr w14:val="tx1"/>
            </w14:solidFill>
          </w14:textFill>
        </w:rPr>
      </w:pPr>
      <w:r>
        <w:rPr>
          <w:rFonts w:ascii="Times New Roman" w:eastAsia="宋体"/>
          <w:color w:val="000000" w:themeColor="text1"/>
          <w14:textFill>
            <w14:solidFill>
              <w14:schemeClr w14:val="tx1"/>
            </w14:solidFill>
          </w14:textFill>
        </w:rPr>
        <w:t>6.13.1.2 电子天平，精度0.1 mg。</w:t>
      </w:r>
    </w:p>
    <w:p w14:paraId="7EDFE835">
      <w:pPr>
        <w:pStyle w:val="27"/>
        <w:numPr>
          <w:ilvl w:val="2"/>
          <w:numId w:val="0"/>
        </w:numPr>
        <w:spacing w:before="240" w:beforeLines="100" w:after="240" w:afterLines="100"/>
        <w:rPr>
          <w:rFonts w:ascii="Times New Roman" w:eastAsia="宋体"/>
          <w:color w:val="000000" w:themeColor="text1"/>
          <w14:textFill>
            <w14:solidFill>
              <w14:schemeClr w14:val="tx1"/>
            </w14:solidFill>
          </w14:textFill>
        </w:rPr>
      </w:pPr>
      <w:r>
        <w:rPr>
          <w:rFonts w:ascii="Times New Roman"/>
          <w:color w:val="000000" w:themeColor="text1"/>
          <w14:textFill>
            <w14:solidFill>
              <w14:schemeClr w14:val="tx1"/>
            </w14:solidFill>
          </w14:textFill>
        </w:rPr>
        <w:t>6.13.2 测定</w:t>
      </w:r>
    </w:p>
    <w:p w14:paraId="450211E7">
      <w:pPr>
        <w:pStyle w:val="24"/>
        <w:ind w:firstLine="420"/>
        <w:rPr>
          <w:rFonts w:ascii="Times New Roman"/>
        </w:rPr>
      </w:pPr>
      <w:r>
        <w:rPr>
          <w:rFonts w:ascii="Times New Roman"/>
        </w:rPr>
        <w:t>按《中华人民共和国药典》（2025年版）四部通则0831测定，取试样约0.5 g，精密称定，置已恒重的扁形称量瓶中，振动使均匀分布，以五氧化二磷为干燥剂，105℃下干燥</w:t>
      </w:r>
      <w:r>
        <w:rPr>
          <w:rFonts w:hint="eastAsia" w:ascii="Times New Roman"/>
        </w:rPr>
        <w:t>至</w:t>
      </w:r>
      <w:r>
        <w:rPr>
          <w:rFonts w:ascii="Times New Roman"/>
        </w:rPr>
        <w:t>恒重，称重。</w:t>
      </w:r>
    </w:p>
    <w:p w14:paraId="587B1785">
      <w:pPr>
        <w:pStyle w:val="27"/>
        <w:numPr>
          <w:ilvl w:val="2"/>
          <w:numId w:val="0"/>
        </w:numPr>
        <w:spacing w:before="240" w:beforeLines="100" w:after="240" w:afterLines="100"/>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t>6.13.3 计算</w:t>
      </w:r>
    </w:p>
    <w:p w14:paraId="281749D0">
      <w:pPr>
        <w:pStyle w:val="24"/>
        <w:ind w:firstLine="420"/>
        <w:rPr>
          <w:rFonts w:ascii="Times New Roman"/>
        </w:rPr>
      </w:pPr>
      <w:r>
        <w:rPr>
          <w:rFonts w:ascii="Times New Roman"/>
        </w:rPr>
        <w:t>干燥失重按式（7）计算：</w:t>
      </w:r>
    </w:p>
    <w:p w14:paraId="7F1E98ED">
      <w:pPr>
        <w:pStyle w:val="27"/>
        <w:numPr>
          <w:ilvl w:val="2"/>
          <w:numId w:val="0"/>
        </w:numPr>
        <w:spacing w:before="240" w:beforeLines="100" w:after="240" w:afterLines="100"/>
        <w:ind w:firstLine="420" w:firstLineChars="200"/>
        <w:rPr>
          <w:rFonts w:ascii="Times New Roman" w:eastAsia="宋体"/>
          <w:color w:val="000000" w:themeColor="text1"/>
          <w14:textFill>
            <w14:solidFill>
              <w14:schemeClr w14:val="tx1"/>
            </w14:solidFill>
          </w14:textFill>
        </w:rPr>
      </w:pPr>
      <w:r>
        <w:rPr>
          <w:rFonts w:ascii="Times New Roman" w:eastAsia="宋体"/>
          <w:color w:val="000000" w:themeColor="text1"/>
          <w14:textFill>
            <w14:solidFill>
              <w14:schemeClr w14:val="tx1"/>
            </w14:solidFill>
          </w14:textFill>
        </w:rPr>
        <w:t>h</w:t>
      </w:r>
      <w:r>
        <w:rPr>
          <w:rFonts w:ascii="Times New Roman" w:eastAsia="宋体"/>
          <w:color w:val="000000" w:themeColor="text1"/>
          <w:vertAlign w:val="subscript"/>
          <w14:textFill>
            <w14:solidFill>
              <w14:schemeClr w14:val="tx1"/>
            </w14:solidFill>
          </w14:textFill>
        </w:rPr>
        <w:t>0</w:t>
      </w:r>
      <w:r>
        <w:rPr>
          <w:rFonts w:ascii="Times New Roman" w:eastAsia="宋体"/>
          <w:color w:val="000000" w:themeColor="text1"/>
          <w14:textFill>
            <w14:solidFill>
              <w14:schemeClr w14:val="tx1"/>
            </w14:solidFill>
          </w14:textFill>
        </w:rPr>
        <w:t xml:space="preserve">= </w:t>
      </w:r>
      <m:oMath>
        <m:f>
          <m:fPr>
            <m:ctrlPr>
              <w:rPr>
                <w:rFonts w:ascii="Cambria Math" w:hAnsi="Cambria Math" w:eastAsia="宋体"/>
                <w:color w:val="000000" w:themeColor="text1"/>
                <w14:textFill>
                  <w14:solidFill>
                    <w14:schemeClr w14:val="tx1"/>
                  </w14:solidFill>
                </w14:textFill>
              </w:rPr>
            </m:ctrlPr>
          </m:fPr>
          <m:num>
            <m:sSub>
              <m:sSubPr>
                <m:ctrlPr>
                  <w:rPr>
                    <w:rFonts w:ascii="Cambria Math" w:hAnsi="Cambria Math" w:eastAsia="宋体"/>
                    <w:i/>
                    <w:color w:val="000000" w:themeColor="text1"/>
                    <w14:textFill>
                      <w14:solidFill>
                        <w14:schemeClr w14:val="tx1"/>
                      </w14:solidFill>
                    </w14:textFill>
                  </w:rPr>
                </m:ctrlPr>
              </m:sSubPr>
              <m:e>
                <m:r>
                  <m:rPr/>
                  <w:rPr>
                    <w:rFonts w:ascii="Cambria Math" w:hAnsi="Cambria Math" w:eastAsia="宋体"/>
                    <w:color w:val="000000" w:themeColor="text1"/>
                    <w14:textFill>
                      <w14:solidFill>
                        <w14:schemeClr w14:val="tx1"/>
                      </w14:solidFill>
                    </w14:textFill>
                  </w:rPr>
                  <m:t>m</m:t>
                </m:r>
                <m:ctrlPr>
                  <w:rPr>
                    <w:rFonts w:ascii="Cambria Math" w:hAnsi="Cambria Math" w:eastAsia="宋体"/>
                    <w:i/>
                    <w:color w:val="000000" w:themeColor="text1"/>
                    <w14:textFill>
                      <w14:solidFill>
                        <w14:schemeClr w14:val="tx1"/>
                      </w14:solidFill>
                    </w14:textFill>
                  </w:rPr>
                </m:ctrlPr>
              </m:e>
              <m:sub>
                <m:r>
                  <m:rPr/>
                  <w:rPr>
                    <w:rFonts w:ascii="Cambria Math" w:hAnsi="Cambria Math" w:eastAsia="宋体"/>
                    <w:color w:val="000000" w:themeColor="text1"/>
                    <w14:textFill>
                      <w14:solidFill>
                        <w14:schemeClr w14:val="tx1"/>
                      </w14:solidFill>
                    </w14:textFill>
                  </w:rPr>
                  <m:t>2</m:t>
                </m:r>
                <m:ctrlPr>
                  <w:rPr>
                    <w:rFonts w:ascii="Cambria Math" w:hAnsi="Cambria Math" w:eastAsia="宋体"/>
                    <w:i/>
                    <w:color w:val="000000" w:themeColor="text1"/>
                    <w14:textFill>
                      <w14:solidFill>
                        <w14:schemeClr w14:val="tx1"/>
                      </w14:solidFill>
                    </w14:textFill>
                  </w:rPr>
                </m:ctrlPr>
              </m:sub>
            </m:sSub>
            <m:r>
              <m:rPr/>
              <w:rPr>
                <w:rFonts w:ascii="Cambria Math" w:hAnsi="Cambria Math" w:eastAsia="宋体"/>
                <w:color w:val="000000" w:themeColor="text1"/>
                <w14:textFill>
                  <w14:solidFill>
                    <w14:schemeClr w14:val="tx1"/>
                  </w14:solidFill>
                </w14:textFill>
              </w:rPr>
              <m:t>−</m:t>
            </m:r>
            <m:sSub>
              <m:sSubPr>
                <m:ctrlPr>
                  <w:rPr>
                    <w:rFonts w:ascii="Cambria Math" w:hAnsi="Cambria Math" w:eastAsia="宋体"/>
                    <w:i/>
                    <w:color w:val="000000" w:themeColor="text1"/>
                    <w14:textFill>
                      <w14:solidFill>
                        <w14:schemeClr w14:val="tx1"/>
                      </w14:solidFill>
                    </w14:textFill>
                  </w:rPr>
                </m:ctrlPr>
              </m:sSubPr>
              <m:e>
                <m:r>
                  <m:rPr/>
                  <w:rPr>
                    <w:rFonts w:ascii="Cambria Math" w:hAnsi="Cambria Math" w:eastAsia="宋体"/>
                    <w:color w:val="000000" w:themeColor="text1"/>
                    <w14:textFill>
                      <w14:solidFill>
                        <w14:schemeClr w14:val="tx1"/>
                      </w14:solidFill>
                    </w14:textFill>
                  </w:rPr>
                  <m:t>m</m:t>
                </m:r>
                <m:ctrlPr>
                  <w:rPr>
                    <w:rFonts w:ascii="Cambria Math" w:hAnsi="Cambria Math" w:eastAsia="宋体"/>
                    <w:i/>
                    <w:color w:val="000000" w:themeColor="text1"/>
                    <w14:textFill>
                      <w14:solidFill>
                        <w14:schemeClr w14:val="tx1"/>
                      </w14:solidFill>
                    </w14:textFill>
                  </w:rPr>
                </m:ctrlPr>
              </m:e>
              <m:sub>
                <m:r>
                  <m:rPr/>
                  <w:rPr>
                    <w:rFonts w:ascii="Cambria Math" w:hAnsi="Cambria Math" w:eastAsia="宋体"/>
                    <w:color w:val="000000" w:themeColor="text1"/>
                    <w14:textFill>
                      <w14:solidFill>
                        <w14:schemeClr w14:val="tx1"/>
                      </w14:solidFill>
                    </w14:textFill>
                  </w:rPr>
                  <m:t>1</m:t>
                </m:r>
                <m:ctrlPr>
                  <w:rPr>
                    <w:rFonts w:ascii="Cambria Math" w:hAnsi="Cambria Math" w:eastAsia="宋体"/>
                    <w:i/>
                    <w:color w:val="000000" w:themeColor="text1"/>
                    <w14:textFill>
                      <w14:solidFill>
                        <w14:schemeClr w14:val="tx1"/>
                      </w14:solidFill>
                    </w14:textFill>
                  </w:rPr>
                </m:ctrlPr>
              </m:sub>
            </m:sSub>
            <m:ctrlPr>
              <w:rPr>
                <w:rFonts w:ascii="Cambria Math" w:hAnsi="Cambria Math" w:eastAsia="宋体"/>
                <w:color w:val="000000" w:themeColor="text1"/>
                <w14:textFill>
                  <w14:solidFill>
                    <w14:schemeClr w14:val="tx1"/>
                  </w14:solidFill>
                </w14:textFill>
              </w:rPr>
            </m:ctrlPr>
          </m:num>
          <m:den>
            <m:sSub>
              <m:sSubPr>
                <m:ctrlPr>
                  <w:rPr>
                    <w:rFonts w:ascii="Cambria Math" w:hAnsi="Cambria Math" w:eastAsia="宋体"/>
                    <w:i/>
                    <w:color w:val="000000" w:themeColor="text1"/>
                    <w14:textFill>
                      <w14:solidFill>
                        <w14:schemeClr w14:val="tx1"/>
                      </w14:solidFill>
                    </w14:textFill>
                  </w:rPr>
                </m:ctrlPr>
              </m:sSubPr>
              <m:e>
                <m:r>
                  <m:rPr/>
                  <w:rPr>
                    <w:rFonts w:ascii="Cambria Math" w:hAnsi="Cambria Math" w:eastAsia="宋体"/>
                    <w:color w:val="000000" w:themeColor="text1"/>
                    <w14:textFill>
                      <w14:solidFill>
                        <w14:schemeClr w14:val="tx1"/>
                      </w14:solidFill>
                    </w14:textFill>
                  </w:rPr>
                  <m:t>m</m:t>
                </m:r>
                <m:ctrlPr>
                  <w:rPr>
                    <w:rFonts w:ascii="Cambria Math" w:hAnsi="Cambria Math" w:eastAsia="宋体"/>
                    <w:i/>
                    <w:color w:val="000000" w:themeColor="text1"/>
                    <w14:textFill>
                      <w14:solidFill>
                        <w14:schemeClr w14:val="tx1"/>
                      </w14:solidFill>
                    </w14:textFill>
                  </w:rPr>
                </m:ctrlPr>
              </m:e>
              <m:sub>
                <m:r>
                  <m:rPr/>
                  <w:rPr>
                    <w:rFonts w:ascii="Cambria Math" w:hAnsi="Cambria Math" w:eastAsia="宋体"/>
                    <w:color w:val="000000" w:themeColor="text1"/>
                    <w14:textFill>
                      <w14:solidFill>
                        <w14:schemeClr w14:val="tx1"/>
                      </w14:solidFill>
                    </w14:textFill>
                  </w:rPr>
                  <m:t>2</m:t>
                </m:r>
                <m:ctrlPr>
                  <w:rPr>
                    <w:rFonts w:ascii="Cambria Math" w:hAnsi="Cambria Math" w:eastAsia="宋体"/>
                    <w:i/>
                    <w:color w:val="000000" w:themeColor="text1"/>
                    <w14:textFill>
                      <w14:solidFill>
                        <w14:schemeClr w14:val="tx1"/>
                      </w14:solidFill>
                    </w14:textFill>
                  </w:rPr>
                </m:ctrlPr>
              </m:sub>
            </m:sSub>
            <m:r>
              <m:rPr/>
              <w:rPr>
                <w:rFonts w:ascii="Cambria Math" w:hAnsi="Cambria Math" w:eastAsia="宋体"/>
                <w:color w:val="000000" w:themeColor="text1"/>
                <w14:textFill>
                  <w14:solidFill>
                    <w14:schemeClr w14:val="tx1"/>
                  </w14:solidFill>
                </w14:textFill>
              </w:rPr>
              <m:t>−</m:t>
            </m:r>
            <m:sSub>
              <m:sSubPr>
                <m:ctrlPr>
                  <w:rPr>
                    <w:rFonts w:ascii="Cambria Math" w:hAnsi="Cambria Math" w:eastAsia="宋体"/>
                    <w:i/>
                    <w:color w:val="000000" w:themeColor="text1"/>
                    <w14:textFill>
                      <w14:solidFill>
                        <w14:schemeClr w14:val="tx1"/>
                      </w14:solidFill>
                    </w14:textFill>
                  </w:rPr>
                </m:ctrlPr>
              </m:sSubPr>
              <m:e>
                <m:r>
                  <m:rPr/>
                  <w:rPr>
                    <w:rFonts w:ascii="Cambria Math" w:hAnsi="Cambria Math" w:eastAsia="宋体"/>
                    <w:color w:val="000000" w:themeColor="text1"/>
                    <w14:textFill>
                      <w14:solidFill>
                        <w14:schemeClr w14:val="tx1"/>
                      </w14:solidFill>
                    </w14:textFill>
                  </w:rPr>
                  <m:t>m</m:t>
                </m:r>
                <m:ctrlPr>
                  <w:rPr>
                    <w:rFonts w:ascii="Cambria Math" w:hAnsi="Cambria Math" w:eastAsia="宋体"/>
                    <w:i/>
                    <w:color w:val="000000" w:themeColor="text1"/>
                    <w14:textFill>
                      <w14:solidFill>
                        <w14:schemeClr w14:val="tx1"/>
                      </w14:solidFill>
                    </w14:textFill>
                  </w:rPr>
                </m:ctrlPr>
              </m:e>
              <m:sub>
                <m:r>
                  <m:rPr/>
                  <w:rPr>
                    <w:rFonts w:ascii="Cambria Math" w:hAnsi="Cambria Math" w:eastAsia="宋体"/>
                    <w:color w:val="000000" w:themeColor="text1"/>
                    <w14:textFill>
                      <w14:solidFill>
                        <w14:schemeClr w14:val="tx1"/>
                      </w14:solidFill>
                    </w14:textFill>
                  </w:rPr>
                  <m:t>0</m:t>
                </m:r>
                <m:ctrlPr>
                  <w:rPr>
                    <w:rFonts w:ascii="Cambria Math" w:hAnsi="Cambria Math" w:eastAsia="宋体"/>
                    <w:i/>
                    <w:color w:val="000000" w:themeColor="text1"/>
                    <w14:textFill>
                      <w14:solidFill>
                        <w14:schemeClr w14:val="tx1"/>
                      </w14:solidFill>
                    </w14:textFill>
                  </w:rPr>
                </m:ctrlPr>
              </m:sub>
            </m:sSub>
            <m:ctrlPr>
              <w:rPr>
                <w:rFonts w:ascii="Cambria Math" w:hAnsi="Cambria Math" w:eastAsia="宋体"/>
                <w:color w:val="000000" w:themeColor="text1"/>
                <w14:textFill>
                  <w14:solidFill>
                    <w14:schemeClr w14:val="tx1"/>
                  </w14:solidFill>
                </w14:textFill>
              </w:rPr>
            </m:ctrlPr>
          </m:den>
        </m:f>
        <m:r>
          <m:rPr/>
          <w:rPr>
            <w:rFonts w:ascii="Cambria Math" w:hAnsi="Cambria Math" w:eastAsia="宋体"/>
            <w:color w:val="000000" w:themeColor="text1"/>
            <w14:textFill>
              <w14:solidFill>
                <w14:schemeClr w14:val="tx1"/>
              </w14:solidFill>
            </w14:textFill>
          </w:rPr>
          <m:t>×100%</m:t>
        </m:r>
      </m:oMath>
      <w:r>
        <w:rPr>
          <w:rFonts w:ascii="Times New Roman" w:eastAsia="宋体"/>
          <w:color w:val="000000" w:themeColor="text1"/>
          <w14:textFill>
            <w14:solidFill>
              <w14:schemeClr w14:val="tx1"/>
            </w14:solidFill>
          </w14:textFill>
        </w:rPr>
        <w:t>……（7）</w:t>
      </w:r>
    </w:p>
    <w:p w14:paraId="4248E126">
      <w:pPr>
        <w:pStyle w:val="27"/>
        <w:numPr>
          <w:ilvl w:val="2"/>
          <w:numId w:val="0"/>
        </w:numPr>
        <w:spacing w:before="240" w:beforeLines="100" w:after="240" w:afterLines="100"/>
        <w:ind w:firstLine="420" w:firstLineChars="200"/>
        <w:rPr>
          <w:rFonts w:ascii="Times New Roman" w:eastAsia="宋体"/>
          <w:color w:val="000000" w:themeColor="text1"/>
          <w14:textFill>
            <w14:solidFill>
              <w14:schemeClr w14:val="tx1"/>
            </w14:solidFill>
          </w14:textFill>
        </w:rPr>
      </w:pPr>
      <w:r>
        <w:rPr>
          <w:rFonts w:ascii="Times New Roman" w:eastAsia="宋体"/>
          <w:color w:val="000000" w:themeColor="text1"/>
          <w14:textFill>
            <w14:solidFill>
              <w14:schemeClr w14:val="tx1"/>
            </w14:solidFill>
          </w14:textFill>
        </w:rPr>
        <w:t>式中：</w:t>
      </w:r>
    </w:p>
    <w:p w14:paraId="608E0BEB">
      <w:pPr>
        <w:pStyle w:val="27"/>
        <w:numPr>
          <w:ilvl w:val="2"/>
          <w:numId w:val="0"/>
        </w:numPr>
        <w:spacing w:before="240" w:beforeLines="100" w:after="240" w:afterLines="100"/>
        <w:ind w:firstLine="420" w:firstLineChars="200"/>
        <w:rPr>
          <w:rFonts w:ascii="Times New Roman" w:eastAsia="宋体"/>
          <w:color w:val="000000" w:themeColor="text1"/>
          <w14:textFill>
            <w14:solidFill>
              <w14:schemeClr w14:val="tx1"/>
            </w14:solidFill>
          </w14:textFill>
        </w:rPr>
      </w:pPr>
      <w:r>
        <w:rPr>
          <w:rFonts w:ascii="Times New Roman" w:eastAsia="宋体"/>
          <w:color w:val="000000" w:themeColor="text1"/>
          <w14:textFill>
            <w14:solidFill>
              <w14:schemeClr w14:val="tx1"/>
            </w14:solidFill>
          </w14:textFill>
        </w:rPr>
        <w:t>m₀ —— 空称量瓶质量，单位为克（g）；</w:t>
      </w:r>
    </w:p>
    <w:p w14:paraId="6567961B">
      <w:pPr>
        <w:pStyle w:val="27"/>
        <w:numPr>
          <w:ilvl w:val="2"/>
          <w:numId w:val="0"/>
        </w:numPr>
        <w:spacing w:before="240" w:beforeLines="100" w:after="240" w:afterLines="100"/>
        <w:ind w:firstLine="420" w:firstLineChars="200"/>
        <w:rPr>
          <w:rFonts w:ascii="Times New Roman" w:eastAsia="宋体"/>
          <w:color w:val="000000" w:themeColor="text1"/>
          <w14:textFill>
            <w14:solidFill>
              <w14:schemeClr w14:val="tx1"/>
            </w14:solidFill>
          </w14:textFill>
        </w:rPr>
      </w:pPr>
      <w:r>
        <w:rPr>
          <w:rFonts w:ascii="Times New Roman" w:eastAsia="宋体"/>
          <w:color w:val="000000" w:themeColor="text1"/>
          <w14:textFill>
            <w14:solidFill>
              <w14:schemeClr w14:val="tx1"/>
            </w14:solidFill>
          </w14:textFill>
        </w:rPr>
        <w:t>m₂ —— 干燥前试样加称量瓶质量，单位为克（g）；</w:t>
      </w:r>
    </w:p>
    <w:p w14:paraId="7D27F4DC">
      <w:pPr>
        <w:pStyle w:val="27"/>
        <w:numPr>
          <w:ilvl w:val="2"/>
          <w:numId w:val="0"/>
        </w:numPr>
        <w:spacing w:before="240" w:beforeLines="100" w:after="240" w:afterLines="100"/>
        <w:ind w:firstLine="420" w:firstLineChars="200"/>
        <w:rPr>
          <w:rFonts w:ascii="Times New Roman" w:eastAsia="宋体"/>
          <w:color w:val="000000" w:themeColor="text1"/>
          <w14:textFill>
            <w14:solidFill>
              <w14:schemeClr w14:val="tx1"/>
            </w14:solidFill>
          </w14:textFill>
        </w:rPr>
      </w:pPr>
      <w:r>
        <w:rPr>
          <w:rFonts w:ascii="Times New Roman" w:eastAsia="宋体"/>
          <w:color w:val="000000" w:themeColor="text1"/>
          <w14:textFill>
            <w14:solidFill>
              <w14:schemeClr w14:val="tx1"/>
            </w14:solidFill>
          </w14:textFill>
        </w:rPr>
        <w:t>m₁ —— 干燥6小时后试样加称量瓶质量，单位为克（g）。</w:t>
      </w:r>
    </w:p>
    <w:p w14:paraId="4C57CFE2">
      <w:pPr>
        <w:pStyle w:val="27"/>
        <w:numPr>
          <w:ilvl w:val="2"/>
          <w:numId w:val="0"/>
        </w:numPr>
        <w:spacing w:before="240" w:beforeLines="100" w:after="240" w:afterLines="100"/>
        <w:rPr>
          <w:rFonts w:ascii="Times New Roman" w:eastAsia="宋体"/>
          <w:color w:val="000000" w:themeColor="text1"/>
          <w14:textFill>
            <w14:solidFill>
              <w14:schemeClr w14:val="tx1"/>
            </w14:solidFill>
          </w14:textFill>
        </w:rPr>
      </w:pPr>
      <w:r>
        <w:rPr>
          <w:rFonts w:ascii="Times New Roman"/>
          <w:color w:val="000000" w:themeColor="text1"/>
          <w14:textFill>
            <w14:solidFill>
              <w14:schemeClr w14:val="tx1"/>
            </w14:solidFill>
          </w14:textFill>
        </w:rPr>
        <w:t>6.14 细菌内毒素</w:t>
      </w:r>
    </w:p>
    <w:p w14:paraId="25786F12">
      <w:pPr>
        <w:pStyle w:val="27"/>
        <w:numPr>
          <w:ilvl w:val="2"/>
          <w:numId w:val="0"/>
        </w:numPr>
        <w:spacing w:before="240" w:beforeLines="100" w:after="240" w:afterLines="100"/>
        <w:ind w:firstLine="420" w:firstLineChars="200"/>
        <w:rPr>
          <w:rFonts w:ascii="Times New Roman" w:eastAsia="宋体"/>
          <w:color w:val="000000" w:themeColor="text1"/>
          <w14:textFill>
            <w14:solidFill>
              <w14:schemeClr w14:val="tx1"/>
            </w14:solidFill>
          </w14:textFill>
        </w:rPr>
      </w:pPr>
      <w:r>
        <w:rPr>
          <w:rFonts w:ascii="Times New Roman" w:eastAsia="宋体"/>
          <w:color w:val="000000" w:themeColor="text1"/>
          <w14:textFill>
            <w14:solidFill>
              <w14:schemeClr w14:val="tx1"/>
            </w14:solidFill>
          </w14:textFill>
        </w:rPr>
        <w:t>用细菌内毒素检测用水配成2 mg/mL软骨素钠溶液，按《中华人民共和国药典》（2025年版）四部通则1143凝胶限度法测定。试样细菌内毒素含量应不超过0.05 EU/mg。</w:t>
      </w:r>
    </w:p>
    <w:p w14:paraId="50EAD3AC">
      <w:pPr>
        <w:pStyle w:val="27"/>
        <w:numPr>
          <w:ilvl w:val="2"/>
          <w:numId w:val="0"/>
        </w:numPr>
        <w:spacing w:before="240" w:beforeLines="100" w:after="240" w:afterLines="100"/>
        <w:rPr>
          <w:rFonts w:ascii="Times New Roman" w:eastAsia="宋体"/>
          <w:color w:val="000000" w:themeColor="text1"/>
          <w14:textFill>
            <w14:solidFill>
              <w14:schemeClr w14:val="tx1"/>
            </w14:solidFill>
          </w14:textFill>
        </w:rPr>
      </w:pPr>
      <w:r>
        <w:rPr>
          <w:rFonts w:ascii="Times New Roman"/>
          <w:color w:val="000000" w:themeColor="text1"/>
          <w14:textFill>
            <w14:solidFill>
              <w14:schemeClr w14:val="tx1"/>
            </w14:solidFill>
          </w14:textFill>
        </w:rPr>
        <w:t>6.15 微生物限度</w:t>
      </w:r>
    </w:p>
    <w:p w14:paraId="680636D5">
      <w:pPr>
        <w:pStyle w:val="27"/>
        <w:numPr>
          <w:ilvl w:val="2"/>
          <w:numId w:val="0"/>
        </w:numPr>
        <w:spacing w:before="240" w:beforeLines="100" w:after="240" w:afterLines="100"/>
        <w:ind w:firstLine="420" w:firstLineChars="200"/>
        <w:rPr>
          <w:rFonts w:ascii="Times New Roman" w:eastAsia="宋体"/>
          <w:color w:val="000000" w:themeColor="text1"/>
          <w14:textFill>
            <w14:solidFill>
              <w14:schemeClr w14:val="tx1"/>
            </w14:solidFill>
          </w14:textFill>
        </w:rPr>
      </w:pPr>
      <w:r>
        <w:rPr>
          <w:rFonts w:ascii="Times New Roman" w:eastAsia="宋体"/>
          <w:color w:val="000000" w:themeColor="text1"/>
          <w14:textFill>
            <w14:solidFill>
              <w14:schemeClr w14:val="tx1"/>
            </w14:solidFill>
          </w14:textFill>
        </w:rPr>
        <w:t>按《中华人民共和国药典》（2025年版）四部通则1105和1106规定的方法测定。</w:t>
      </w:r>
    </w:p>
    <w:p w14:paraId="4A69AE76">
      <w:pPr>
        <w:pStyle w:val="27"/>
        <w:numPr>
          <w:ilvl w:val="2"/>
          <w:numId w:val="0"/>
        </w:numPr>
        <w:spacing w:before="240" w:beforeLines="100" w:after="240" w:afterLines="100"/>
        <w:rPr>
          <w:rFonts w:ascii="Times New Roman"/>
        </w:rPr>
      </w:pPr>
      <w:r>
        <w:rPr>
          <w:rFonts w:ascii="Times New Roman"/>
          <w:color w:val="000000" w:themeColor="text1"/>
          <w14:textFill>
            <w14:solidFill>
              <w14:schemeClr w14:val="tx1"/>
            </w14:solidFill>
          </w14:textFill>
        </w:rPr>
        <w:t>6.16 乙醇残留</w:t>
      </w:r>
    </w:p>
    <w:p w14:paraId="0DDBA6DA">
      <w:pPr>
        <w:pStyle w:val="27"/>
        <w:numPr>
          <w:ilvl w:val="2"/>
          <w:numId w:val="0"/>
        </w:numPr>
        <w:spacing w:before="240" w:beforeLines="100" w:after="240" w:afterLines="100"/>
        <w:rPr>
          <w:rFonts w:ascii="Times New Roman"/>
        </w:rPr>
      </w:pPr>
      <w:r>
        <w:rPr>
          <w:rFonts w:ascii="Times New Roman"/>
          <w:color w:val="000000" w:themeColor="text1"/>
          <w14:textFill>
            <w14:solidFill>
              <w14:schemeClr w14:val="tx1"/>
            </w14:solidFill>
          </w14:textFill>
        </w:rPr>
        <w:t>6.16.1 仪器</w:t>
      </w:r>
    </w:p>
    <w:p w14:paraId="76E91DD7">
      <w:pPr>
        <w:pStyle w:val="27"/>
        <w:numPr>
          <w:ilvl w:val="2"/>
          <w:numId w:val="0"/>
        </w:numPr>
        <w:spacing w:before="240" w:beforeLines="100" w:after="240" w:afterLines="100"/>
        <w:ind w:firstLine="420" w:firstLineChars="200"/>
        <w:rPr>
          <w:rFonts w:ascii="Times New Roman" w:eastAsia="宋体"/>
          <w:color w:val="000000" w:themeColor="text1"/>
          <w14:textFill>
            <w14:solidFill>
              <w14:schemeClr w14:val="tx1"/>
            </w14:solidFill>
          </w14:textFill>
        </w:rPr>
      </w:pPr>
      <w:r>
        <w:rPr>
          <w:rFonts w:ascii="Times New Roman" w:eastAsia="宋体"/>
          <w:color w:val="000000" w:themeColor="text1"/>
          <w14:textFill>
            <w14:solidFill>
              <w14:schemeClr w14:val="tx1"/>
            </w14:solidFill>
          </w14:textFill>
        </w:rPr>
        <w:t>6.16.1.1 气相色谱仪（FID检测器）。</w:t>
      </w:r>
    </w:p>
    <w:p w14:paraId="13CF5DE1">
      <w:pPr>
        <w:pStyle w:val="27"/>
        <w:numPr>
          <w:ilvl w:val="2"/>
          <w:numId w:val="0"/>
        </w:numPr>
        <w:spacing w:before="240" w:beforeLines="100" w:after="240" w:afterLines="100"/>
        <w:ind w:firstLine="420" w:firstLineChars="200"/>
        <w:rPr>
          <w:rFonts w:ascii="Times New Roman" w:eastAsia="宋体"/>
          <w:color w:val="000000" w:themeColor="text1"/>
          <w14:textFill>
            <w14:solidFill>
              <w14:schemeClr w14:val="tx1"/>
            </w14:solidFill>
          </w14:textFill>
        </w:rPr>
      </w:pPr>
      <w:r>
        <w:rPr>
          <w:rFonts w:ascii="Times New Roman" w:eastAsia="宋体"/>
          <w:color w:val="000000" w:themeColor="text1"/>
          <w14:textFill>
            <w14:solidFill>
              <w14:schemeClr w14:val="tx1"/>
            </w14:solidFill>
          </w14:textFill>
        </w:rPr>
        <w:t>6.16.1.2 顶空进样器。</w:t>
      </w:r>
    </w:p>
    <w:p w14:paraId="67C5157A">
      <w:pPr>
        <w:pStyle w:val="27"/>
        <w:numPr>
          <w:ilvl w:val="2"/>
          <w:numId w:val="0"/>
        </w:numPr>
        <w:spacing w:before="240" w:beforeLines="100" w:after="240" w:afterLines="100"/>
        <w:ind w:firstLine="420" w:firstLineChars="200"/>
        <w:rPr>
          <w:rFonts w:ascii="Times New Roman" w:eastAsia="宋体"/>
          <w:color w:val="000000" w:themeColor="text1"/>
          <w14:textFill>
            <w14:solidFill>
              <w14:schemeClr w14:val="tx1"/>
            </w14:solidFill>
          </w14:textFill>
        </w:rPr>
      </w:pPr>
      <w:r>
        <w:rPr>
          <w:rFonts w:ascii="Times New Roman" w:eastAsia="宋体"/>
          <w:color w:val="000000" w:themeColor="text1"/>
          <w14:textFill>
            <w14:solidFill>
              <w14:schemeClr w14:val="tx1"/>
            </w14:solidFill>
          </w14:textFill>
        </w:rPr>
        <w:t>6.16.1.3 电子天平，精度0.1 mg。</w:t>
      </w:r>
    </w:p>
    <w:p w14:paraId="570632F2">
      <w:pPr>
        <w:pStyle w:val="27"/>
        <w:numPr>
          <w:ilvl w:val="2"/>
          <w:numId w:val="0"/>
        </w:numPr>
        <w:spacing w:before="240" w:beforeLines="100" w:after="240" w:afterLines="100"/>
        <w:rPr>
          <w:rFonts w:ascii="Times New Roman"/>
        </w:rPr>
      </w:pPr>
      <w:r>
        <w:rPr>
          <w:rFonts w:ascii="Times New Roman"/>
          <w:color w:val="000000" w:themeColor="text1"/>
          <w14:textFill>
            <w14:solidFill>
              <w14:schemeClr w14:val="tx1"/>
            </w14:solidFill>
          </w14:textFill>
        </w:rPr>
        <w:t>6.16.2 参考色谱条件</w:t>
      </w:r>
    </w:p>
    <w:p w14:paraId="571E96F8">
      <w:pPr>
        <w:pStyle w:val="27"/>
        <w:numPr>
          <w:ilvl w:val="2"/>
          <w:numId w:val="0"/>
        </w:numPr>
        <w:spacing w:before="240" w:beforeLines="100" w:after="240" w:afterLines="100"/>
        <w:ind w:firstLine="420" w:firstLineChars="200"/>
        <w:rPr>
          <w:rFonts w:ascii="Times New Roman" w:eastAsia="宋体"/>
          <w:color w:val="000000" w:themeColor="text1"/>
          <w14:textFill>
            <w14:solidFill>
              <w14:schemeClr w14:val="tx1"/>
            </w14:solidFill>
          </w14:textFill>
        </w:rPr>
      </w:pPr>
      <w:r>
        <w:rPr>
          <w:rFonts w:ascii="Times New Roman" w:eastAsia="宋体"/>
          <w:color w:val="000000" w:themeColor="text1"/>
          <w14:textFill>
            <w14:solidFill>
              <w14:schemeClr w14:val="tx1"/>
            </w14:solidFill>
          </w14:textFill>
        </w:rPr>
        <w:t>色谱柱：DB-624（0.45 mm × 30 m，膜厚2.55 μm）或其他</w:t>
      </w:r>
      <w:r>
        <w:rPr>
          <w:rFonts w:hint="eastAsia" w:ascii="Times New Roman" w:eastAsia="宋体"/>
          <w:color w:val="000000" w:themeColor="text1"/>
          <w14:textFill>
            <w14:solidFill>
              <w14:schemeClr w14:val="tx1"/>
            </w14:solidFill>
          </w14:textFill>
        </w:rPr>
        <w:t>分离效能</w:t>
      </w:r>
      <w:r>
        <w:rPr>
          <w:rFonts w:ascii="Times New Roman" w:eastAsia="宋体"/>
          <w:color w:val="000000" w:themeColor="text1"/>
          <w14:textFill>
            <w14:solidFill>
              <w14:schemeClr w14:val="tx1"/>
            </w14:solidFill>
          </w14:textFill>
        </w:rPr>
        <w:t>相当的色谱柱。</w:t>
      </w:r>
    </w:p>
    <w:p w14:paraId="3801C78A">
      <w:pPr>
        <w:pStyle w:val="27"/>
        <w:numPr>
          <w:ilvl w:val="2"/>
          <w:numId w:val="0"/>
        </w:numPr>
        <w:spacing w:before="240" w:beforeLines="100" w:after="240" w:afterLines="100"/>
        <w:ind w:firstLine="420" w:firstLineChars="200"/>
        <w:rPr>
          <w:rFonts w:ascii="Times New Roman" w:eastAsia="宋体"/>
          <w:color w:val="000000" w:themeColor="text1"/>
          <w14:textFill>
            <w14:solidFill>
              <w14:schemeClr w14:val="tx1"/>
            </w14:solidFill>
          </w14:textFill>
        </w:rPr>
      </w:pPr>
      <w:r>
        <w:rPr>
          <w:rFonts w:ascii="Times New Roman" w:eastAsia="宋体"/>
          <w:color w:val="000000" w:themeColor="text1"/>
          <w14:textFill>
            <w14:solidFill>
              <w14:schemeClr w14:val="tx1"/>
            </w14:solidFill>
          </w14:textFill>
        </w:rPr>
        <w:t>检测器：FID。</w:t>
      </w:r>
    </w:p>
    <w:p w14:paraId="0030D234">
      <w:pPr>
        <w:pStyle w:val="27"/>
        <w:numPr>
          <w:ilvl w:val="2"/>
          <w:numId w:val="0"/>
        </w:numPr>
        <w:spacing w:before="240" w:beforeLines="100" w:after="240" w:afterLines="100"/>
        <w:ind w:firstLine="420" w:firstLineChars="200"/>
        <w:rPr>
          <w:rFonts w:ascii="Times New Roman" w:eastAsia="宋体"/>
          <w:color w:val="000000" w:themeColor="text1"/>
          <w14:textFill>
            <w14:solidFill>
              <w14:schemeClr w14:val="tx1"/>
            </w14:solidFill>
          </w14:textFill>
        </w:rPr>
      </w:pPr>
      <w:r>
        <w:rPr>
          <w:rFonts w:ascii="Times New Roman" w:eastAsia="宋体"/>
          <w:color w:val="000000" w:themeColor="text1"/>
          <w14:textFill>
            <w14:solidFill>
              <w14:schemeClr w14:val="tx1"/>
            </w14:solidFill>
          </w14:textFill>
        </w:rPr>
        <w:t>柱温：初始温度40 ℃，维持5分钟，以20 ℃/min升至150 ℃，维持3分钟；再以30 ℃/min的速度升温至200 ℃，维持3分钟。</w:t>
      </w:r>
    </w:p>
    <w:p w14:paraId="1DE2B469">
      <w:pPr>
        <w:pStyle w:val="27"/>
        <w:numPr>
          <w:ilvl w:val="2"/>
          <w:numId w:val="0"/>
        </w:numPr>
        <w:spacing w:before="240" w:beforeLines="100" w:after="240" w:afterLines="100"/>
        <w:ind w:firstLine="420" w:firstLineChars="200"/>
        <w:rPr>
          <w:rFonts w:ascii="Times New Roman" w:eastAsia="宋体"/>
          <w:color w:val="000000" w:themeColor="text1"/>
          <w14:textFill>
            <w14:solidFill>
              <w14:schemeClr w14:val="tx1"/>
            </w14:solidFill>
          </w14:textFill>
        </w:rPr>
      </w:pPr>
      <w:r>
        <w:rPr>
          <w:rFonts w:ascii="Times New Roman" w:eastAsia="宋体"/>
          <w:color w:val="000000" w:themeColor="text1"/>
          <w14:textFill>
            <w14:solidFill>
              <w14:schemeClr w14:val="tx1"/>
            </w14:solidFill>
          </w14:textFill>
        </w:rPr>
        <w:t>进样口温度：200 ℃；检测器温度：250 ℃。</w:t>
      </w:r>
    </w:p>
    <w:p w14:paraId="4A429277">
      <w:pPr>
        <w:pStyle w:val="27"/>
        <w:numPr>
          <w:ilvl w:val="2"/>
          <w:numId w:val="0"/>
        </w:numPr>
        <w:spacing w:before="240" w:beforeLines="100" w:after="240" w:afterLines="100"/>
        <w:ind w:firstLine="420" w:firstLineChars="200"/>
        <w:rPr>
          <w:rFonts w:ascii="Times New Roman" w:eastAsia="宋体"/>
          <w:color w:val="000000" w:themeColor="text1"/>
          <w14:textFill>
            <w14:solidFill>
              <w14:schemeClr w14:val="tx1"/>
            </w14:solidFill>
          </w14:textFill>
        </w:rPr>
      </w:pPr>
      <w:r>
        <w:rPr>
          <w:rFonts w:ascii="Times New Roman" w:eastAsia="宋体"/>
          <w:color w:val="000000" w:themeColor="text1"/>
          <w14:textFill>
            <w14:solidFill>
              <w14:schemeClr w14:val="tx1"/>
            </w14:solidFill>
          </w14:textFill>
        </w:rPr>
        <w:t>载气：N₂；载气流速：5 mL/min。</w:t>
      </w:r>
    </w:p>
    <w:p w14:paraId="3A896CAB">
      <w:pPr>
        <w:pStyle w:val="27"/>
        <w:numPr>
          <w:ilvl w:val="2"/>
          <w:numId w:val="0"/>
        </w:numPr>
        <w:spacing w:before="240" w:beforeLines="100" w:after="240" w:afterLines="100"/>
        <w:ind w:firstLine="420" w:firstLineChars="200"/>
        <w:rPr>
          <w:rFonts w:ascii="Times New Roman" w:eastAsia="宋体"/>
          <w:color w:val="000000" w:themeColor="text1"/>
          <w14:textFill>
            <w14:solidFill>
              <w14:schemeClr w14:val="tx1"/>
            </w14:solidFill>
          </w14:textFill>
        </w:rPr>
      </w:pPr>
      <w:r>
        <w:rPr>
          <w:rFonts w:ascii="Times New Roman" w:eastAsia="宋体"/>
          <w:color w:val="000000" w:themeColor="text1"/>
          <w14:textFill>
            <w14:solidFill>
              <w14:schemeClr w14:val="tx1"/>
            </w14:solidFill>
          </w14:textFill>
        </w:rPr>
        <w:t>分流比：10:1（可根据仪器状态调整）。</w:t>
      </w:r>
    </w:p>
    <w:p w14:paraId="10C7982E">
      <w:pPr>
        <w:pStyle w:val="27"/>
        <w:numPr>
          <w:ilvl w:val="2"/>
          <w:numId w:val="0"/>
        </w:numPr>
        <w:spacing w:before="240" w:beforeLines="100" w:after="240" w:afterLines="100"/>
        <w:ind w:firstLine="420" w:firstLineChars="200"/>
        <w:rPr>
          <w:rFonts w:ascii="Times New Roman" w:eastAsia="宋体"/>
          <w:color w:val="000000" w:themeColor="text1"/>
          <w14:textFill>
            <w14:solidFill>
              <w14:schemeClr w14:val="tx1"/>
            </w14:solidFill>
          </w14:textFill>
        </w:rPr>
      </w:pPr>
      <w:r>
        <w:rPr>
          <w:rFonts w:ascii="Times New Roman" w:eastAsia="宋体"/>
          <w:color w:val="000000" w:themeColor="text1"/>
          <w14:textFill>
            <w14:solidFill>
              <w14:schemeClr w14:val="tx1"/>
            </w14:solidFill>
          </w14:textFill>
        </w:rPr>
        <w:t>顶空进样器条件：平衡温度80 ℃；平衡时间30 min；</w:t>
      </w:r>
      <w:r>
        <w:rPr>
          <w:rFonts w:hint="eastAsia" w:ascii="Times New Roman" w:eastAsia="宋体"/>
          <w:color w:val="000000" w:themeColor="text1"/>
          <w14:textFill>
            <w14:solidFill>
              <w14:schemeClr w14:val="tx1"/>
            </w14:solidFill>
          </w14:textFill>
        </w:rPr>
        <w:t>线圈</w:t>
      </w:r>
      <w:r>
        <w:rPr>
          <w:rFonts w:ascii="Times New Roman" w:eastAsia="宋体"/>
          <w:color w:val="000000" w:themeColor="text1"/>
          <w14:textFill>
            <w14:solidFill>
              <w14:schemeClr w14:val="tx1"/>
            </w14:solidFill>
          </w14:textFill>
        </w:rPr>
        <w:t>温度90 ℃；</w:t>
      </w:r>
      <w:r>
        <w:rPr>
          <w:rFonts w:hint="eastAsia" w:ascii="Times New Roman" w:eastAsia="宋体"/>
          <w:color w:val="000000" w:themeColor="text1"/>
          <w14:textFill>
            <w14:solidFill>
              <w14:schemeClr w14:val="tx1"/>
            </w14:solidFill>
          </w14:textFill>
        </w:rPr>
        <w:t>传输线</w:t>
      </w:r>
      <w:r>
        <w:rPr>
          <w:rFonts w:ascii="Times New Roman" w:eastAsia="宋体"/>
          <w:color w:val="000000" w:themeColor="text1"/>
          <w14:textFill>
            <w14:solidFill>
              <w14:schemeClr w14:val="tx1"/>
            </w14:solidFill>
          </w14:textFill>
        </w:rPr>
        <w:t>温度95 ℃；加压时间0.20 min；进样时间1 min。</w:t>
      </w:r>
    </w:p>
    <w:p w14:paraId="288908DF">
      <w:pPr>
        <w:pStyle w:val="27"/>
        <w:numPr>
          <w:ilvl w:val="2"/>
          <w:numId w:val="0"/>
        </w:numPr>
        <w:spacing w:before="240" w:beforeLines="100" w:after="240" w:afterLines="100"/>
        <w:rPr>
          <w:rFonts w:ascii="Times New Roman"/>
        </w:rPr>
      </w:pPr>
      <w:r>
        <w:rPr>
          <w:rFonts w:ascii="Times New Roman"/>
          <w:color w:val="000000" w:themeColor="text1"/>
          <w14:textFill>
            <w14:solidFill>
              <w14:schemeClr w14:val="tx1"/>
            </w14:solidFill>
          </w14:textFill>
        </w:rPr>
        <w:t>6.16.3 溶液配制</w:t>
      </w:r>
    </w:p>
    <w:p w14:paraId="3FF5C053">
      <w:pPr>
        <w:pStyle w:val="27"/>
        <w:numPr>
          <w:ilvl w:val="2"/>
          <w:numId w:val="0"/>
        </w:numPr>
        <w:spacing w:before="240" w:beforeLines="100" w:after="240" w:afterLines="100"/>
        <w:ind w:firstLine="420" w:firstLineChars="200"/>
        <w:rPr>
          <w:rFonts w:ascii="Times New Roman" w:eastAsia="宋体"/>
          <w:color w:val="000000" w:themeColor="text1"/>
          <w14:textFill>
            <w14:solidFill>
              <w14:schemeClr w14:val="tx1"/>
            </w14:solidFill>
          </w14:textFill>
        </w:rPr>
      </w:pPr>
      <w:r>
        <w:rPr>
          <w:rFonts w:ascii="Times New Roman" w:eastAsia="宋体"/>
          <w:color w:val="000000" w:themeColor="text1"/>
          <w14:textFill>
            <w14:solidFill>
              <w14:schemeClr w14:val="tx1"/>
            </w14:solidFill>
          </w14:textFill>
        </w:rPr>
        <w:t>0.1 mol/L氯化钠溶液：称取氯化钠5.84 g，加水溶解，定容至1000 mL，摇匀。</w:t>
      </w:r>
    </w:p>
    <w:p w14:paraId="764030FA">
      <w:pPr>
        <w:pStyle w:val="27"/>
        <w:numPr>
          <w:ilvl w:val="2"/>
          <w:numId w:val="0"/>
        </w:numPr>
        <w:spacing w:before="240" w:beforeLines="100" w:after="240" w:afterLines="100"/>
        <w:rPr>
          <w:rFonts w:ascii="Times New Roman"/>
        </w:rPr>
      </w:pPr>
      <w:r>
        <w:rPr>
          <w:rFonts w:ascii="Times New Roman"/>
          <w:color w:val="000000" w:themeColor="text1"/>
          <w14:textFill>
            <w14:solidFill>
              <w14:schemeClr w14:val="tx1"/>
            </w14:solidFill>
          </w14:textFill>
        </w:rPr>
        <w:t>6.16.4 空白溶液</w:t>
      </w:r>
    </w:p>
    <w:p w14:paraId="1149545F">
      <w:pPr>
        <w:pStyle w:val="27"/>
        <w:numPr>
          <w:ilvl w:val="2"/>
          <w:numId w:val="0"/>
        </w:numPr>
        <w:spacing w:before="240" w:beforeLines="100" w:after="240" w:afterLines="100"/>
        <w:ind w:firstLine="420" w:firstLineChars="200"/>
        <w:rPr>
          <w:rFonts w:ascii="Times New Roman" w:eastAsia="宋体"/>
          <w:color w:val="000000" w:themeColor="text1"/>
          <w14:textFill>
            <w14:solidFill>
              <w14:schemeClr w14:val="tx1"/>
            </w14:solidFill>
          </w14:textFill>
        </w:rPr>
      </w:pPr>
      <w:r>
        <w:rPr>
          <w:rFonts w:ascii="Times New Roman" w:eastAsia="宋体"/>
          <w:color w:val="000000" w:themeColor="text1"/>
          <w14:textFill>
            <w14:solidFill>
              <w14:schemeClr w14:val="tx1"/>
            </w14:solidFill>
          </w14:textFill>
        </w:rPr>
        <w:t>移取0.1 mol/L氯化钠溶液5.0 mL于20 mL顶空瓶中，密封。</w:t>
      </w:r>
    </w:p>
    <w:p w14:paraId="1876CEA7">
      <w:pPr>
        <w:pStyle w:val="27"/>
        <w:numPr>
          <w:ilvl w:val="2"/>
          <w:numId w:val="0"/>
        </w:numPr>
        <w:spacing w:before="240" w:beforeLines="100" w:after="240" w:afterLines="100"/>
        <w:rPr>
          <w:rFonts w:ascii="Times New Roman"/>
        </w:rPr>
      </w:pPr>
      <w:r>
        <w:rPr>
          <w:rFonts w:ascii="Times New Roman"/>
          <w:color w:val="000000" w:themeColor="text1"/>
          <w14:textFill>
            <w14:solidFill>
              <w14:schemeClr w14:val="tx1"/>
            </w14:solidFill>
          </w14:textFill>
        </w:rPr>
        <w:t>6.16.5 对照品溶液</w:t>
      </w:r>
    </w:p>
    <w:p w14:paraId="20643256">
      <w:pPr>
        <w:pStyle w:val="27"/>
        <w:numPr>
          <w:ilvl w:val="2"/>
          <w:numId w:val="0"/>
        </w:numPr>
        <w:spacing w:before="240" w:beforeLines="100" w:after="240" w:afterLines="100"/>
        <w:ind w:firstLine="420" w:firstLineChars="200"/>
        <w:rPr>
          <w:rFonts w:ascii="Times New Roman" w:eastAsia="宋体"/>
          <w:color w:val="000000" w:themeColor="text1"/>
          <w14:textFill>
            <w14:solidFill>
              <w14:schemeClr w14:val="tx1"/>
            </w14:solidFill>
          </w14:textFill>
        </w:rPr>
      </w:pPr>
      <w:r>
        <w:rPr>
          <w:rFonts w:ascii="Times New Roman" w:eastAsia="宋体"/>
          <w:color w:val="000000" w:themeColor="text1"/>
          <w14:textFill>
            <w14:solidFill>
              <w14:schemeClr w14:val="tx1"/>
            </w14:solidFill>
          </w14:textFill>
        </w:rPr>
        <w:t>精密称取无水乙醇0.1 g（精度0.1 mg）于已加入10 mL水的100 mL容量瓶中，加水至刻度，摇匀，得乙醇标准贮备溶液。精密量取贮备溶液5 mL，置于50 mL量瓶中，加0.1 mol/L氯化钠溶液稀释至刻度，摇匀，精密量取此溶液5 mL置于20 mL顶空瓶中，密封，作为对照品溶液。</w:t>
      </w:r>
    </w:p>
    <w:p w14:paraId="475F2D96">
      <w:pPr>
        <w:pStyle w:val="27"/>
        <w:numPr>
          <w:ilvl w:val="2"/>
          <w:numId w:val="0"/>
        </w:numPr>
        <w:spacing w:before="240" w:beforeLines="100" w:after="240" w:afterLines="100"/>
        <w:rPr>
          <w:rFonts w:ascii="Times New Roman"/>
        </w:rPr>
      </w:pPr>
      <w:r>
        <w:rPr>
          <w:rFonts w:ascii="Times New Roman"/>
          <w:color w:val="000000" w:themeColor="text1"/>
          <w14:textFill>
            <w14:solidFill>
              <w14:schemeClr w14:val="tx1"/>
            </w14:solidFill>
          </w14:textFill>
        </w:rPr>
        <w:t>6.16.6 供试品溶液</w:t>
      </w:r>
    </w:p>
    <w:p w14:paraId="43F89600">
      <w:pPr>
        <w:pStyle w:val="27"/>
        <w:numPr>
          <w:ilvl w:val="2"/>
          <w:numId w:val="0"/>
        </w:numPr>
        <w:spacing w:before="240" w:beforeLines="100" w:after="240" w:afterLines="100"/>
        <w:ind w:firstLine="420" w:firstLineChars="200"/>
        <w:rPr>
          <w:rFonts w:ascii="Times New Roman" w:eastAsia="宋体"/>
          <w:color w:val="000000" w:themeColor="text1"/>
          <w14:textFill>
            <w14:solidFill>
              <w14:schemeClr w14:val="tx1"/>
            </w14:solidFill>
          </w14:textFill>
        </w:rPr>
      </w:pPr>
      <w:r>
        <w:rPr>
          <w:rFonts w:ascii="Times New Roman" w:eastAsia="宋体"/>
          <w:color w:val="000000" w:themeColor="text1"/>
          <w14:textFill>
            <w14:solidFill>
              <w14:schemeClr w14:val="tx1"/>
            </w14:solidFill>
          </w14:textFill>
        </w:rPr>
        <w:t>取供试品0.1 g（精度0.1 mg），精密称定，于20 mL顶空瓶中，加入0.1 mol/L氯化钠溶液5.0 mL，密封，混匀，放置过夜，使溶解，平行制备两份。</w:t>
      </w:r>
    </w:p>
    <w:p w14:paraId="13558648">
      <w:pPr>
        <w:pStyle w:val="27"/>
        <w:numPr>
          <w:ilvl w:val="2"/>
          <w:numId w:val="0"/>
        </w:numPr>
        <w:spacing w:before="240" w:beforeLines="100" w:after="240" w:afterLines="100"/>
        <w:rPr>
          <w:rFonts w:ascii="Times New Roman" w:eastAsia="宋体"/>
          <w:color w:val="000000" w:themeColor="text1"/>
          <w14:textFill>
            <w14:solidFill>
              <w14:schemeClr w14:val="tx1"/>
            </w14:solidFill>
          </w14:textFill>
        </w:rPr>
      </w:pPr>
      <w:r>
        <w:rPr>
          <w:rFonts w:ascii="Times New Roman"/>
          <w:color w:val="000000" w:themeColor="text1"/>
          <w14:textFill>
            <w14:solidFill>
              <w14:schemeClr w14:val="tx1"/>
            </w14:solidFill>
          </w14:textFill>
        </w:rPr>
        <w:t>6.16.7 测定</w:t>
      </w:r>
    </w:p>
    <w:p w14:paraId="35273277">
      <w:pPr>
        <w:pStyle w:val="27"/>
        <w:numPr>
          <w:ilvl w:val="2"/>
          <w:numId w:val="0"/>
        </w:numPr>
        <w:spacing w:before="240" w:beforeLines="100" w:after="240" w:afterLines="100"/>
        <w:ind w:firstLine="420" w:firstLineChars="200"/>
        <w:rPr>
          <w:rFonts w:ascii="Times New Roman" w:eastAsia="宋体"/>
          <w:color w:val="000000" w:themeColor="text1"/>
          <w14:textFill>
            <w14:solidFill>
              <w14:schemeClr w14:val="tx1"/>
            </w14:solidFill>
          </w14:textFill>
        </w:rPr>
      </w:pPr>
      <w:r>
        <w:rPr>
          <w:rFonts w:ascii="Times New Roman" w:eastAsia="宋体"/>
          <w:color w:val="000000" w:themeColor="text1"/>
          <w14:textFill>
            <w14:solidFill>
              <w14:schemeClr w14:val="tx1"/>
            </w14:solidFill>
          </w14:textFill>
        </w:rPr>
        <w:t>取对照品溶液放入顶空进样器中，顶空瓶平衡温度80 ℃，平衡时间30 min。平行制备5份分装于5个进样瓶中，每个瓶进样1次，记录色谱图。乙醇峰应与其他峰之间的分离度应大于2.0，以乙醇峰面积计算的RSD应小于10.0%。</w:t>
      </w:r>
    </w:p>
    <w:p w14:paraId="4F1EE2B1">
      <w:pPr>
        <w:pStyle w:val="27"/>
        <w:numPr>
          <w:ilvl w:val="2"/>
          <w:numId w:val="0"/>
        </w:numPr>
        <w:spacing w:before="240" w:beforeLines="100" w:after="240" w:afterLines="100"/>
        <w:ind w:firstLine="420" w:firstLineChars="200"/>
        <w:rPr>
          <w:rFonts w:ascii="Times New Roman" w:eastAsia="宋体"/>
          <w:color w:val="000000" w:themeColor="text1"/>
          <w14:textFill>
            <w14:solidFill>
              <w14:schemeClr w14:val="tx1"/>
            </w14:solidFill>
          </w14:textFill>
        </w:rPr>
      </w:pPr>
      <w:r>
        <w:rPr>
          <w:rFonts w:ascii="Times New Roman" w:eastAsia="宋体"/>
          <w:color w:val="000000" w:themeColor="text1"/>
          <w14:textFill>
            <w14:solidFill>
              <w14:schemeClr w14:val="tx1"/>
            </w14:solidFill>
          </w14:textFill>
        </w:rPr>
        <w:t>取空白溶液顶空进样，记录色谱图。取对照品溶液顶空进样5次，记录色谱图。取供试溶液顶空进样2次，记录色谱图。</w:t>
      </w:r>
    </w:p>
    <w:p w14:paraId="1828CD03">
      <w:pPr>
        <w:pStyle w:val="27"/>
        <w:numPr>
          <w:ilvl w:val="2"/>
          <w:numId w:val="0"/>
        </w:numPr>
        <w:spacing w:before="240" w:beforeLines="100" w:after="240" w:afterLines="100"/>
        <w:rPr>
          <w:rFonts w:ascii="Times New Roman"/>
        </w:rPr>
      </w:pPr>
      <w:r>
        <w:rPr>
          <w:rFonts w:ascii="Times New Roman"/>
          <w:color w:val="000000" w:themeColor="text1"/>
          <w14:textFill>
            <w14:solidFill>
              <w14:schemeClr w14:val="tx1"/>
            </w14:solidFill>
          </w14:textFill>
        </w:rPr>
        <w:t>残留乙醇含量按式（8）计算：</w:t>
      </w:r>
    </w:p>
    <w:p w14:paraId="75C9C434">
      <w:pPr>
        <w:pStyle w:val="27"/>
        <w:numPr>
          <w:ilvl w:val="2"/>
          <w:numId w:val="0"/>
        </w:numPr>
        <w:spacing w:before="240" w:beforeLines="100" w:after="240" w:afterLines="100"/>
        <w:ind w:firstLine="420" w:firstLineChars="200"/>
        <w:rPr>
          <w:rFonts w:ascii="Times New Roman" w:eastAsia="宋体"/>
          <w:color w:val="000000" w:themeColor="text1"/>
          <w14:textFill>
            <w14:solidFill>
              <w14:schemeClr w14:val="tx1"/>
            </w14:solidFill>
          </w14:textFill>
        </w:rPr>
      </w:pPr>
      <w:r>
        <w:rPr>
          <w:rFonts w:ascii="Times New Roman" w:eastAsia="宋体"/>
          <w:color w:val="000000" w:themeColor="text1"/>
          <w14:textFill>
            <w14:solidFill>
              <w14:schemeClr w14:val="tx1"/>
            </w14:solidFill>
          </w14:textFill>
        </w:rPr>
        <w:t>乙醇残留（</w:t>
      </w:r>
      <w:r>
        <w:rPr>
          <w:rFonts w:ascii="Times New Roman"/>
          <w:color w:val="000000" w:themeColor="text1"/>
          <w14:textFill>
            <w14:solidFill>
              <w14:schemeClr w14:val="tx1"/>
            </w14:solidFill>
          </w14:textFill>
        </w:rPr>
        <w:t>μg</w:t>
      </w:r>
      <w:r>
        <w:rPr>
          <w:rFonts w:hint="eastAsia" w:ascii="Times New Roman"/>
          <w:color w:val="000000" w:themeColor="text1"/>
          <w14:textFill>
            <w14:solidFill>
              <w14:schemeClr w14:val="tx1"/>
            </w14:solidFill>
          </w14:textFill>
        </w:rPr>
        <w:t>/g</w:t>
      </w:r>
      <w:r>
        <w:rPr>
          <w:rFonts w:ascii="Times New Roman" w:eastAsia="宋体"/>
          <w:color w:val="000000" w:themeColor="text1"/>
          <w14:textFill>
            <w14:solidFill>
              <w14:schemeClr w14:val="tx1"/>
            </w14:solidFill>
          </w14:textFill>
        </w:rPr>
        <w:t>）=</w:t>
      </w:r>
      <m:oMath>
        <m:f>
          <m:fPr>
            <m:ctrlPr>
              <w:rPr>
                <w:rFonts w:ascii="Cambria Math" w:hAnsi="Cambria Math"/>
              </w:rPr>
            </m:ctrlPr>
          </m:fPr>
          <m:num>
            <m:d>
              <m:dPr>
                <m:begChr m:val="（"/>
                <m:endChr m:val="）"/>
                <m:ctrlPr>
                  <w:rPr>
                    <w:rFonts w:ascii="Cambria Math" w:hAnsi="Cambria Math"/>
                  </w:rPr>
                </m:ctrlPr>
              </m:dPr>
              <m:e>
                <m:sSub>
                  <m:sSubPr>
                    <m:ctrlPr>
                      <w:rPr>
                        <w:rFonts w:ascii="Cambria Math" w:hAnsi="Cambria Math"/>
                      </w:rPr>
                    </m:ctrlPr>
                  </m:sSubPr>
                  <m:e>
                    <m:r>
                      <m:rPr/>
                      <w:rPr>
                        <w:rFonts w:ascii="Cambria Math" w:hAnsi="Cambria Math"/>
                      </w:rPr>
                      <m:t>A</m:t>
                    </m:r>
                    <m:ctrlPr>
                      <w:rPr>
                        <w:rFonts w:ascii="Cambria Math" w:hAnsi="Cambria Math"/>
                      </w:rPr>
                    </m:ctrlPr>
                  </m:e>
                  <m:sub>
                    <m:r>
                      <m:rPr/>
                      <w:rPr>
                        <w:rFonts w:ascii="Cambria Math" w:hAnsi="Cambria Math"/>
                      </w:rPr>
                      <m:t>i</m:t>
                    </m:r>
                    <m:ctrlPr>
                      <w:rPr>
                        <w:rFonts w:ascii="Cambria Math" w:hAnsi="Cambria Math"/>
                      </w:rPr>
                    </m:ctrlPr>
                  </m:sub>
                </m:sSub>
                <m:r>
                  <m:rPr>
                    <m:sty m:val="p"/>
                  </m:rPr>
                  <w:rPr>
                    <w:rFonts w:ascii="Cambria Math" w:hAnsi="Cambria Math"/>
                  </w:rPr>
                  <m:t>−</m:t>
                </m:r>
                <m:sSub>
                  <m:sSubPr>
                    <m:ctrlPr>
                      <w:rPr>
                        <w:rFonts w:ascii="Cambria Math" w:hAnsi="Cambria Math"/>
                      </w:rPr>
                    </m:ctrlPr>
                  </m:sSubPr>
                  <m:e>
                    <m:r>
                      <m:rPr/>
                      <w:rPr>
                        <w:rFonts w:ascii="Cambria Math" w:hAnsi="Cambria Math"/>
                      </w:rPr>
                      <m:t>A</m:t>
                    </m:r>
                    <m:ctrlPr>
                      <w:rPr>
                        <w:rFonts w:ascii="Cambria Math" w:hAnsi="Cambria Math"/>
                      </w:rPr>
                    </m:ctrlPr>
                  </m:e>
                  <m:sub>
                    <m:r>
                      <m:rPr/>
                      <w:rPr>
                        <w:rFonts w:ascii="Cambria Math" w:hAnsi="Cambria Math"/>
                      </w:rPr>
                      <m:t>0</m:t>
                    </m:r>
                    <m:ctrlPr>
                      <w:rPr>
                        <w:rFonts w:ascii="Cambria Math" w:hAnsi="Cambria Math"/>
                      </w:rPr>
                    </m:ctrlPr>
                  </m:sub>
                </m:sSub>
                <m:ctrlPr>
                  <w:rPr>
                    <w:rFonts w:ascii="Cambria Math" w:hAnsi="Cambria Math"/>
                  </w:rPr>
                </m:ctrlPr>
              </m:e>
            </m:d>
            <m:r>
              <m:rPr>
                <m:sty m:val="p"/>
              </m:rPr>
              <w:rPr>
                <w:rFonts w:ascii="Cambria Math" w:hAnsi="Cambria Math"/>
              </w:rPr>
              <m:t>×</m:t>
            </m:r>
            <m:sSub>
              <m:sSubPr>
                <m:ctrlPr>
                  <w:rPr>
                    <w:rFonts w:ascii="Cambria Math" w:hAnsi="Cambria Math"/>
                  </w:rPr>
                </m:ctrlPr>
              </m:sSubPr>
              <m:e>
                <m:r>
                  <m:rPr/>
                  <w:rPr>
                    <w:rFonts w:ascii="Cambria Math" w:hAnsi="Cambria Math"/>
                  </w:rPr>
                  <m:t>W</m:t>
                </m:r>
                <m:ctrlPr>
                  <w:rPr>
                    <w:rFonts w:ascii="Cambria Math" w:hAnsi="Cambria Math"/>
                  </w:rPr>
                </m:ctrlPr>
              </m:e>
              <m:sub>
                <m:r>
                  <m:rPr/>
                  <w:rPr>
                    <w:rFonts w:ascii="Cambria Math" w:hAnsi="Cambria Math"/>
                  </w:rPr>
                  <m:t>si</m:t>
                </m:r>
                <m:ctrlPr>
                  <w:rPr>
                    <w:rFonts w:ascii="Cambria Math" w:hAnsi="Cambria Math"/>
                  </w:rPr>
                </m:ctrlPr>
              </m:sub>
            </m:sSub>
            <m:r>
              <m:rPr>
                <m:sty m:val="p"/>
              </m:rPr>
              <w:rPr>
                <w:rFonts w:ascii="Cambria Math" w:hAnsi="Cambria Math"/>
              </w:rPr>
              <m:t>×5×5</m:t>
            </m:r>
            <m:r>
              <m:rPr/>
              <w:rPr>
                <w:rFonts w:ascii="Cambria Math" w:hAnsi="Cambria Math"/>
              </w:rPr>
              <m:t>×</m:t>
            </m:r>
            <m:sSup>
              <m:sSupPr>
                <m:ctrlPr>
                  <w:rPr>
                    <w:rFonts w:ascii="Cambria Math" w:hAnsi="Cambria Math"/>
                    <w:i/>
                  </w:rPr>
                </m:ctrlPr>
              </m:sSupPr>
              <m:e>
                <m:r>
                  <m:rPr/>
                  <w:rPr>
                    <w:rFonts w:ascii="Cambria Math" w:hAnsi="Cambria Math"/>
                  </w:rPr>
                  <m:t>10</m:t>
                </m:r>
                <m:ctrlPr>
                  <w:rPr>
                    <w:rFonts w:ascii="Cambria Math" w:hAnsi="Cambria Math"/>
                    <w:i/>
                  </w:rPr>
                </m:ctrlPr>
              </m:e>
              <m:sup>
                <m:r>
                  <m:rPr/>
                  <w:rPr>
                    <w:rFonts w:ascii="Cambria Math" w:hAnsi="Cambria Math"/>
                  </w:rPr>
                  <m:t>6</m:t>
                </m:r>
                <m:ctrlPr>
                  <w:rPr>
                    <w:rFonts w:ascii="Cambria Math" w:hAnsi="Cambria Math"/>
                    <w:i/>
                  </w:rPr>
                </m:ctrlPr>
              </m:sup>
            </m:sSup>
            <m:ctrlPr>
              <w:rPr>
                <w:rFonts w:ascii="Cambria Math" w:hAnsi="Cambria Math"/>
              </w:rPr>
            </m:ctrlPr>
          </m:num>
          <m:den>
            <m:d>
              <m:dPr>
                <m:ctrlPr>
                  <w:rPr>
                    <w:rFonts w:ascii="Cambria Math" w:hAnsi="Cambria Math"/>
                  </w:rPr>
                </m:ctrlPr>
              </m:dPr>
              <m:e>
                <m:sSub>
                  <m:sSubPr>
                    <m:ctrlPr>
                      <w:rPr>
                        <w:rFonts w:ascii="Cambria Math" w:hAnsi="Cambria Math"/>
                      </w:rPr>
                    </m:ctrlPr>
                  </m:sSubPr>
                  <m:e>
                    <m:r>
                      <m:rPr>
                        <m:sty m:val="p"/>
                      </m:rPr>
                      <w:rPr>
                        <w:rFonts w:ascii="Cambria Math" w:hAnsi="Cambria Math"/>
                      </w:rPr>
                      <m:t>A</m:t>
                    </m:r>
                    <m:ctrlPr>
                      <w:rPr>
                        <w:rFonts w:ascii="Cambria Math" w:hAnsi="Cambria Math"/>
                      </w:rPr>
                    </m:ctrlPr>
                  </m:e>
                  <m:sub>
                    <m:r>
                      <m:rPr/>
                      <w:rPr>
                        <w:rFonts w:ascii="Cambria Math" w:hAnsi="Cambria Math"/>
                      </w:rPr>
                      <m:t>si</m:t>
                    </m:r>
                    <m:ctrlPr>
                      <w:rPr>
                        <w:rFonts w:ascii="Cambria Math" w:hAnsi="Cambria Math"/>
                      </w:rPr>
                    </m:ctrlPr>
                  </m:sub>
                </m:sSub>
                <m:r>
                  <m:rPr>
                    <m:sty m:val="p"/>
                  </m:rPr>
                  <w:rPr>
                    <w:rFonts w:ascii="Cambria Math" w:hAnsi="Cambria Math"/>
                  </w:rPr>
                  <m:t>−</m:t>
                </m:r>
                <m:sSub>
                  <m:sSubPr>
                    <m:ctrlPr>
                      <w:rPr>
                        <w:rFonts w:ascii="Cambria Math" w:hAnsi="Cambria Math"/>
                      </w:rPr>
                    </m:ctrlPr>
                  </m:sSubPr>
                  <m:e>
                    <m:r>
                      <m:rPr/>
                      <w:rPr>
                        <w:rFonts w:ascii="Cambria Math" w:hAnsi="Cambria Math"/>
                      </w:rPr>
                      <m:t>A</m:t>
                    </m:r>
                    <m:ctrlPr>
                      <w:rPr>
                        <w:rFonts w:ascii="Cambria Math" w:hAnsi="Cambria Math"/>
                      </w:rPr>
                    </m:ctrlPr>
                  </m:e>
                  <m:sub>
                    <m:r>
                      <m:rPr/>
                      <w:rPr>
                        <w:rFonts w:ascii="Cambria Math" w:hAnsi="Cambria Math"/>
                      </w:rPr>
                      <m:t>0</m:t>
                    </m:r>
                    <m:ctrlPr>
                      <w:rPr>
                        <w:rFonts w:ascii="Cambria Math" w:hAnsi="Cambria Math"/>
                      </w:rPr>
                    </m:ctrlPr>
                  </m:sub>
                </m:sSub>
                <m:ctrlPr>
                  <w:rPr>
                    <w:rFonts w:ascii="Cambria Math" w:hAnsi="Cambria Math"/>
                  </w:rPr>
                </m:ctrlPr>
              </m:e>
            </m:d>
            <m:r>
              <m:rPr/>
              <w:rPr>
                <w:rFonts w:ascii="Cambria Math" w:hAnsi="Cambria Math"/>
              </w:rPr>
              <m:t>×W×100×50</m:t>
            </m:r>
            <m:ctrlPr>
              <w:rPr>
                <w:rFonts w:ascii="Cambria Math" w:hAnsi="Cambria Math"/>
              </w:rPr>
            </m:ctrlPr>
          </m:den>
        </m:f>
      </m:oMath>
      <w:r>
        <w:rPr>
          <w:rFonts w:ascii="Times New Roman" w:eastAsia="宋体"/>
          <w:color w:val="000000" w:themeColor="text1"/>
          <w14:textFill>
            <w14:solidFill>
              <w14:schemeClr w14:val="tx1"/>
            </w14:solidFill>
          </w14:textFill>
        </w:rPr>
        <w:t>……（8）</w:t>
      </w:r>
    </w:p>
    <w:p w14:paraId="73D941D7">
      <w:pPr>
        <w:pStyle w:val="27"/>
        <w:numPr>
          <w:ilvl w:val="2"/>
          <w:numId w:val="0"/>
        </w:numPr>
        <w:spacing w:before="240" w:beforeLines="100" w:after="240" w:afterLines="100"/>
        <w:ind w:firstLine="420" w:firstLineChars="200"/>
        <w:rPr>
          <w:rFonts w:ascii="Times New Roman" w:eastAsia="宋体"/>
          <w:color w:val="000000" w:themeColor="text1"/>
          <w14:textFill>
            <w14:solidFill>
              <w14:schemeClr w14:val="tx1"/>
            </w14:solidFill>
          </w14:textFill>
        </w:rPr>
      </w:pPr>
      <w:r>
        <w:rPr>
          <w:rFonts w:ascii="Times New Roman" w:eastAsia="宋体"/>
          <w:color w:val="000000" w:themeColor="text1"/>
          <w14:textFill>
            <w14:solidFill>
              <w14:schemeClr w14:val="tx1"/>
            </w14:solidFill>
          </w14:textFill>
        </w:rPr>
        <w:t>式中：</w:t>
      </w:r>
    </w:p>
    <w:p w14:paraId="6FEC3741">
      <w:pPr>
        <w:pStyle w:val="27"/>
        <w:numPr>
          <w:ilvl w:val="2"/>
          <w:numId w:val="0"/>
        </w:numPr>
        <w:spacing w:before="240" w:beforeLines="100" w:after="240" w:afterLines="100"/>
        <w:ind w:firstLine="420" w:firstLineChars="200"/>
        <w:rPr>
          <w:rFonts w:ascii="Times New Roman" w:eastAsia="宋体"/>
          <w:color w:val="000000" w:themeColor="text1"/>
          <w14:textFill>
            <w14:solidFill>
              <w14:schemeClr w14:val="tx1"/>
            </w14:solidFill>
          </w14:textFill>
        </w:rPr>
      </w:pPr>
      <w:r>
        <w:rPr>
          <w:rFonts w:ascii="Times New Roman" w:eastAsia="宋体"/>
          <w:color w:val="000000" w:themeColor="text1"/>
          <w14:textFill>
            <w14:solidFill>
              <w14:schemeClr w14:val="tx1"/>
            </w14:solidFill>
          </w14:textFill>
        </w:rPr>
        <w:t>Aᵢ —— 供试品溶液色谱图中乙醇的峰面积；</w:t>
      </w:r>
    </w:p>
    <w:p w14:paraId="230FD0E5">
      <w:pPr>
        <w:pStyle w:val="27"/>
        <w:numPr>
          <w:ilvl w:val="2"/>
          <w:numId w:val="0"/>
        </w:numPr>
        <w:spacing w:before="240" w:beforeLines="100" w:after="240" w:afterLines="100"/>
        <w:ind w:firstLine="420" w:firstLineChars="200"/>
        <w:rPr>
          <w:rFonts w:ascii="Times New Roman" w:eastAsia="宋体"/>
          <w:color w:val="000000" w:themeColor="text1"/>
          <w14:textFill>
            <w14:solidFill>
              <w14:schemeClr w14:val="tx1"/>
            </w14:solidFill>
          </w14:textFill>
        </w:rPr>
      </w:pPr>
      <w:r>
        <w:rPr>
          <w:rFonts w:ascii="Times New Roman" w:eastAsia="宋体"/>
          <w:color w:val="000000" w:themeColor="text1"/>
          <w14:textFill>
            <w14:solidFill>
              <w14:schemeClr w14:val="tx1"/>
            </w14:solidFill>
          </w14:textFill>
        </w:rPr>
        <w:t>A₀ —— 空白溶液色谱图中乙醇的峰面积；</w:t>
      </w:r>
    </w:p>
    <w:p w14:paraId="3E27CE7D">
      <w:pPr>
        <w:pStyle w:val="27"/>
        <w:numPr>
          <w:ilvl w:val="2"/>
          <w:numId w:val="0"/>
        </w:numPr>
        <w:spacing w:before="240" w:beforeLines="100" w:after="240" w:afterLines="100"/>
        <w:ind w:firstLine="420" w:firstLineChars="200"/>
        <w:rPr>
          <w:rFonts w:ascii="Times New Roman" w:eastAsia="宋体"/>
          <w:color w:val="000000" w:themeColor="text1"/>
          <w14:textFill>
            <w14:solidFill>
              <w14:schemeClr w14:val="tx1"/>
            </w14:solidFill>
          </w14:textFill>
        </w:rPr>
      </w:pPr>
      <w:r>
        <w:rPr>
          <w:rFonts w:ascii="Times New Roman" w:eastAsia="宋体"/>
          <w:color w:val="000000" w:themeColor="text1"/>
          <w14:textFill>
            <w14:solidFill>
              <w14:schemeClr w14:val="tx1"/>
            </w14:solidFill>
          </w14:textFill>
        </w:rPr>
        <w:t>Aₛᵢ —— 对照品溶液色谱图中乙醇的峰面积；</w:t>
      </w:r>
    </w:p>
    <w:p w14:paraId="58976F42">
      <w:pPr>
        <w:pStyle w:val="27"/>
        <w:numPr>
          <w:ilvl w:val="2"/>
          <w:numId w:val="0"/>
        </w:numPr>
        <w:spacing w:before="240" w:beforeLines="100" w:after="240" w:afterLines="100"/>
        <w:ind w:firstLine="420" w:firstLineChars="200"/>
        <w:rPr>
          <w:rFonts w:ascii="Times New Roman" w:eastAsia="宋体"/>
          <w:color w:val="000000" w:themeColor="text1"/>
          <w14:textFill>
            <w14:solidFill>
              <w14:schemeClr w14:val="tx1"/>
            </w14:solidFill>
          </w14:textFill>
        </w:rPr>
      </w:pPr>
      <w:r>
        <w:rPr>
          <w:rFonts w:ascii="Times New Roman" w:eastAsia="宋体"/>
          <w:color w:val="000000" w:themeColor="text1"/>
          <w14:textFill>
            <w14:solidFill>
              <w14:schemeClr w14:val="tx1"/>
            </w14:solidFill>
          </w14:textFill>
        </w:rPr>
        <w:t>W —— 供试品的称样量，单位为克（g）；</w:t>
      </w:r>
    </w:p>
    <w:p w14:paraId="03C9C24F">
      <w:pPr>
        <w:pStyle w:val="27"/>
        <w:numPr>
          <w:ilvl w:val="2"/>
          <w:numId w:val="0"/>
        </w:numPr>
        <w:spacing w:before="240" w:beforeLines="100" w:after="240" w:afterLines="100"/>
        <w:ind w:firstLine="420" w:firstLineChars="200"/>
        <w:rPr>
          <w:rFonts w:ascii="Times New Roman" w:eastAsia="宋体"/>
          <w:color w:val="000000" w:themeColor="text1"/>
          <w14:textFill>
            <w14:solidFill>
              <w14:schemeClr w14:val="tx1"/>
            </w14:solidFill>
          </w14:textFill>
        </w:rPr>
      </w:pPr>
      <w:r>
        <w:rPr>
          <w:rFonts w:ascii="Times New Roman" w:eastAsia="宋体"/>
          <w:color w:val="000000" w:themeColor="text1"/>
          <w14:textFill>
            <w14:solidFill>
              <w14:schemeClr w14:val="tx1"/>
            </w14:solidFill>
          </w14:textFill>
        </w:rPr>
        <w:t>Wₛᵢ —— 对照品溶液中乙醇的</w:t>
      </w:r>
      <w:r>
        <w:rPr>
          <w:rFonts w:hint="eastAsia" w:ascii="Times New Roman" w:eastAsia="宋体"/>
          <w:color w:val="000000" w:themeColor="text1"/>
          <w14:textFill>
            <w14:solidFill>
              <w14:schemeClr w14:val="tx1"/>
            </w14:solidFill>
          </w14:textFill>
        </w:rPr>
        <w:t>称样量</w:t>
      </w:r>
      <w:r>
        <w:rPr>
          <w:rFonts w:ascii="Times New Roman" w:eastAsia="宋体"/>
          <w:color w:val="000000" w:themeColor="text1"/>
          <w14:textFill>
            <w14:solidFill>
              <w14:schemeClr w14:val="tx1"/>
            </w14:solidFill>
          </w14:textFill>
        </w:rPr>
        <w:t>，单位为克（</w:t>
      </w:r>
      <w:r>
        <w:rPr>
          <w:rFonts w:ascii="Times New Roman"/>
          <w:color w:val="000000" w:themeColor="text1"/>
          <w14:textFill>
            <w14:solidFill>
              <w14:schemeClr w14:val="tx1"/>
            </w14:solidFill>
          </w14:textFill>
        </w:rPr>
        <w:t>g</w:t>
      </w:r>
      <w:r>
        <w:rPr>
          <w:rFonts w:ascii="Times New Roman" w:eastAsia="宋体"/>
          <w:color w:val="000000" w:themeColor="text1"/>
          <w14:textFill>
            <w14:solidFill>
              <w14:schemeClr w14:val="tx1"/>
            </w14:solidFill>
          </w14:textFill>
        </w:rPr>
        <w:t>）。</w:t>
      </w:r>
    </w:p>
    <w:p w14:paraId="603DA602">
      <w:pPr>
        <w:adjustRightInd w:val="0"/>
        <w:snapToGrid w:val="0"/>
        <w:spacing w:line="300" w:lineRule="auto"/>
        <w:rPr>
          <w:rFonts w:ascii="Times New Roman" w:hAnsi="Times New Roman" w:eastAsia="宋体" w:cs="Times New Roman"/>
        </w:rPr>
      </w:pPr>
      <w:r>
        <w:rPr>
          <w:rFonts w:ascii="Times New Roman" w:hAnsi="Times New Roman" w:eastAsia="宋体" w:cs="Times New Roman"/>
        </w:rPr>
        <w:t>6.16.8</w:t>
      </w:r>
      <w:r>
        <w:rPr>
          <w:rFonts w:hint="eastAsia" w:ascii="Times New Roman" w:hAnsi="Times New Roman" w:eastAsia="宋体" w:cs="Times New Roman"/>
        </w:rPr>
        <w:t>偏差要求</w:t>
      </w:r>
    </w:p>
    <w:p w14:paraId="6BF46975">
      <w:pPr>
        <w:adjustRightInd w:val="0"/>
        <w:snapToGrid w:val="0"/>
        <w:spacing w:line="300" w:lineRule="auto"/>
        <w:ind w:firstLine="420" w:firstLineChars="200"/>
        <w:rPr>
          <w:rFonts w:ascii="Times New Roman" w:hAnsi="Times New Roman" w:eastAsia="宋体" w:cs="Times New Roman"/>
        </w:rPr>
      </w:pPr>
      <w:r>
        <w:rPr>
          <w:rFonts w:hint="eastAsia" w:ascii="Times New Roman" w:hAnsi="Times New Roman" w:eastAsia="宋体" w:cs="Times New Roman"/>
        </w:rPr>
        <w:t>两平行测定的结果分别为</w:t>
      </w:r>
      <w:r>
        <w:rPr>
          <w:rFonts w:ascii="Times New Roman" w:hAnsi="Times New Roman" w:eastAsia="宋体" w:cs="Times New Roman"/>
        </w:rPr>
        <w:t>E1</w:t>
      </w:r>
      <w:r>
        <w:rPr>
          <w:rFonts w:hint="eastAsia" w:ascii="Times New Roman" w:hAnsi="Times New Roman" w:eastAsia="宋体" w:cs="Times New Roman"/>
        </w:rPr>
        <w:t>和</w:t>
      </w:r>
      <w:r>
        <w:rPr>
          <w:rFonts w:ascii="Times New Roman" w:hAnsi="Times New Roman" w:eastAsia="宋体" w:cs="Times New Roman"/>
        </w:rPr>
        <w:t>E2</w:t>
      </w:r>
      <w:r>
        <w:rPr>
          <w:rFonts w:hint="eastAsia" w:ascii="Times New Roman" w:hAnsi="Times New Roman" w:eastAsia="宋体" w:cs="Times New Roman"/>
        </w:rPr>
        <w:t>，相对偏差</w:t>
      </w:r>
      <w:r>
        <w:rPr>
          <w:rFonts w:ascii="Times New Roman" w:hAnsi="Times New Roman" w:eastAsia="宋体" w:cs="Times New Roman"/>
        </w:rPr>
        <w:t>RD=|</w:t>
      </w:r>
      <m:oMath>
        <m:f>
          <m:fPr>
            <m:ctrlPr>
              <w:rPr>
                <w:rFonts w:ascii="Cambria Math" w:hAnsi="Cambria Math" w:eastAsia="宋体" w:cs="Times New Roman"/>
              </w:rPr>
            </m:ctrlPr>
          </m:fPr>
          <m:num>
            <m:sSub>
              <m:sSubPr>
                <m:ctrlPr>
                  <w:rPr>
                    <w:rFonts w:ascii="Cambria Math" w:hAnsi="Cambria Math" w:eastAsia="宋体" w:cs="Times New Roman"/>
                  </w:rPr>
                </m:ctrlPr>
              </m:sSubPr>
              <m:e>
                <m:r>
                  <m:rPr>
                    <m:sty m:val="p"/>
                  </m:rPr>
                  <w:rPr>
                    <w:rFonts w:hint="eastAsia" w:ascii="Cambria Math" w:hAnsi="Cambria Math" w:eastAsia="宋体" w:cs="Times New Roman"/>
                  </w:rPr>
                  <m:t>E</m:t>
                </m:r>
                <m:ctrlPr>
                  <w:rPr>
                    <w:rFonts w:ascii="Cambria Math" w:hAnsi="Cambria Math" w:eastAsia="宋体" w:cs="Times New Roman"/>
                  </w:rPr>
                </m:ctrlPr>
              </m:e>
              <m:sub>
                <m:r>
                  <m:rPr>
                    <m:sty m:val="p"/>
                  </m:rPr>
                  <w:rPr>
                    <w:rFonts w:hint="eastAsia" w:ascii="Cambria Math" w:hAnsi="Cambria Math" w:eastAsia="宋体" w:cs="Times New Roman"/>
                  </w:rPr>
                  <m:t>1</m:t>
                </m:r>
                <m:ctrlPr>
                  <w:rPr>
                    <w:rFonts w:ascii="Cambria Math" w:hAnsi="Cambria Math" w:eastAsia="宋体" w:cs="Times New Roman"/>
                  </w:rPr>
                </m:ctrlPr>
              </m:sub>
            </m:sSub>
            <m:r>
              <m:rPr>
                <m:sty m:val="p"/>
              </m:rPr>
              <w:rPr>
                <w:rFonts w:ascii="Cambria Math" w:hAnsi="Cambria Math" w:eastAsia="宋体" w:cs="Times New Roman"/>
              </w:rPr>
              <m:t>−</m:t>
            </m:r>
            <m:sSub>
              <m:sSubPr>
                <m:ctrlPr>
                  <w:rPr>
                    <w:rFonts w:ascii="Cambria Math" w:hAnsi="Cambria Math" w:eastAsia="宋体" w:cs="Times New Roman"/>
                  </w:rPr>
                </m:ctrlPr>
              </m:sSubPr>
              <m:e>
                <m:r>
                  <m:rPr>
                    <m:sty m:val="p"/>
                  </m:rPr>
                  <w:rPr>
                    <w:rFonts w:hint="eastAsia" w:ascii="Cambria Math" w:hAnsi="Cambria Math" w:eastAsia="宋体" w:cs="Times New Roman"/>
                  </w:rPr>
                  <m:t>E</m:t>
                </m:r>
                <m:ctrlPr>
                  <w:rPr>
                    <w:rFonts w:ascii="Cambria Math" w:hAnsi="Cambria Math" w:eastAsia="宋体" w:cs="Times New Roman"/>
                  </w:rPr>
                </m:ctrlPr>
              </m:e>
              <m:sub>
                <m:r>
                  <m:rPr>
                    <m:sty m:val="p"/>
                  </m:rPr>
                  <w:rPr>
                    <w:rFonts w:hint="eastAsia" w:ascii="Cambria Math" w:hAnsi="Cambria Math" w:eastAsia="宋体" w:cs="Times New Roman"/>
                  </w:rPr>
                  <m:t>2</m:t>
                </m:r>
                <m:ctrlPr>
                  <w:rPr>
                    <w:rFonts w:ascii="Cambria Math" w:hAnsi="Cambria Math" w:eastAsia="宋体" w:cs="Times New Roman"/>
                  </w:rPr>
                </m:ctrlPr>
              </m:sub>
            </m:sSub>
            <m:ctrlPr>
              <w:rPr>
                <w:rFonts w:ascii="Cambria Math" w:hAnsi="Cambria Math" w:eastAsia="宋体" w:cs="Times New Roman"/>
              </w:rPr>
            </m:ctrlPr>
          </m:num>
          <m:den>
            <m:sSub>
              <m:sSubPr>
                <m:ctrlPr>
                  <w:rPr>
                    <w:rFonts w:ascii="Cambria Math" w:hAnsi="Cambria Math" w:eastAsia="宋体" w:cs="Times New Roman"/>
                  </w:rPr>
                </m:ctrlPr>
              </m:sSubPr>
              <m:e>
                <m:r>
                  <m:rPr>
                    <m:sty m:val="p"/>
                  </m:rPr>
                  <w:rPr>
                    <w:rFonts w:hint="eastAsia" w:ascii="Cambria Math" w:hAnsi="Cambria Math" w:eastAsia="宋体" w:cs="Times New Roman"/>
                  </w:rPr>
                  <m:t>E</m:t>
                </m:r>
                <m:ctrlPr>
                  <w:rPr>
                    <w:rFonts w:ascii="Cambria Math" w:hAnsi="Cambria Math" w:eastAsia="宋体" w:cs="Times New Roman"/>
                  </w:rPr>
                </m:ctrlPr>
              </m:e>
              <m:sub>
                <m:r>
                  <m:rPr>
                    <m:sty m:val="p"/>
                  </m:rPr>
                  <w:rPr>
                    <w:rFonts w:hint="eastAsia" w:ascii="Cambria Math" w:hAnsi="Cambria Math" w:eastAsia="宋体" w:cs="Times New Roman"/>
                  </w:rPr>
                  <m:t>1</m:t>
                </m:r>
                <m:ctrlPr>
                  <w:rPr>
                    <w:rFonts w:ascii="Cambria Math" w:hAnsi="Cambria Math" w:eastAsia="宋体" w:cs="Times New Roman"/>
                  </w:rPr>
                </m:ctrlPr>
              </m:sub>
            </m:sSub>
            <m:r>
              <m:rPr>
                <m:sty m:val="p"/>
              </m:rPr>
              <w:rPr>
                <w:rFonts w:hint="eastAsia" w:ascii="Cambria Math" w:hAnsi="Cambria Math" w:eastAsia="宋体" w:cs="Times New Roman"/>
              </w:rPr>
              <m:t>+</m:t>
            </m:r>
            <m:sSub>
              <m:sSubPr>
                <m:ctrlPr>
                  <w:rPr>
                    <w:rFonts w:ascii="Cambria Math" w:hAnsi="Cambria Math" w:eastAsia="宋体" w:cs="Times New Roman"/>
                  </w:rPr>
                </m:ctrlPr>
              </m:sSubPr>
              <m:e>
                <m:r>
                  <m:rPr>
                    <m:sty m:val="p"/>
                  </m:rPr>
                  <w:rPr>
                    <w:rFonts w:hint="eastAsia" w:ascii="Cambria Math" w:hAnsi="Cambria Math" w:eastAsia="宋体" w:cs="Times New Roman"/>
                  </w:rPr>
                  <m:t>E</m:t>
                </m:r>
                <m:ctrlPr>
                  <w:rPr>
                    <w:rFonts w:ascii="Cambria Math" w:hAnsi="Cambria Math" w:eastAsia="宋体" w:cs="Times New Roman"/>
                  </w:rPr>
                </m:ctrlPr>
              </m:e>
              <m:sub>
                <m:r>
                  <m:rPr>
                    <m:sty m:val="p"/>
                  </m:rPr>
                  <w:rPr>
                    <w:rFonts w:hint="eastAsia" w:ascii="Cambria Math" w:hAnsi="Cambria Math" w:eastAsia="宋体" w:cs="Times New Roman"/>
                  </w:rPr>
                  <m:t>2</m:t>
                </m:r>
                <m:ctrlPr>
                  <w:rPr>
                    <w:rFonts w:ascii="Cambria Math" w:hAnsi="Cambria Math" w:eastAsia="宋体" w:cs="Times New Roman"/>
                  </w:rPr>
                </m:ctrlPr>
              </m:sub>
            </m:sSub>
            <m:ctrlPr>
              <w:rPr>
                <w:rFonts w:ascii="Cambria Math" w:hAnsi="Cambria Math" w:eastAsia="宋体" w:cs="Times New Roman"/>
              </w:rPr>
            </m:ctrlPr>
          </m:den>
        </m:f>
      </m:oMath>
      <w:r>
        <w:rPr>
          <w:rFonts w:ascii="Times New Roman" w:hAnsi="Times New Roman" w:eastAsia="宋体" w:cs="Times New Roman"/>
        </w:rPr>
        <w:t>|×100%</w:t>
      </w:r>
      <w:r>
        <w:rPr>
          <w:rFonts w:hint="eastAsia" w:ascii="Times New Roman" w:hAnsi="Times New Roman" w:eastAsia="宋体" w:cs="Times New Roman"/>
        </w:rPr>
        <w:t>，相对偏差不得超过</w:t>
      </w:r>
      <w:r>
        <w:rPr>
          <w:rFonts w:ascii="Times New Roman" w:hAnsi="Times New Roman" w:eastAsia="宋体" w:cs="Times New Roman"/>
        </w:rPr>
        <w:t>15.0%</w:t>
      </w:r>
      <w:r>
        <w:rPr>
          <w:rFonts w:hint="eastAsia" w:ascii="Times New Roman" w:hAnsi="Times New Roman" w:eastAsia="宋体" w:cs="Times New Roman"/>
        </w:rPr>
        <w:t>。</w:t>
      </w:r>
    </w:p>
    <w:p w14:paraId="7B864A23">
      <w:pPr>
        <w:pStyle w:val="27"/>
        <w:numPr>
          <w:ilvl w:val="2"/>
          <w:numId w:val="0"/>
        </w:numPr>
        <w:spacing w:before="240" w:beforeLines="100" w:after="240" w:afterLines="100"/>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t>7 检验规则</w:t>
      </w:r>
    </w:p>
    <w:p w14:paraId="6D003CDD">
      <w:pPr>
        <w:pStyle w:val="27"/>
        <w:numPr>
          <w:ilvl w:val="2"/>
          <w:numId w:val="0"/>
        </w:numPr>
        <w:spacing w:before="240" w:beforeLines="100" w:after="240" w:afterLines="100"/>
        <w:rPr>
          <w:rFonts w:ascii="Times New Roman" w:eastAsia="宋体"/>
          <w:color w:val="000000" w:themeColor="text1"/>
          <w14:textFill>
            <w14:solidFill>
              <w14:schemeClr w14:val="tx1"/>
            </w14:solidFill>
          </w14:textFill>
        </w:rPr>
      </w:pPr>
      <w:r>
        <w:rPr>
          <w:rFonts w:ascii="Times New Roman"/>
          <w:color w:val="000000" w:themeColor="text1"/>
          <w14:textFill>
            <w14:solidFill>
              <w14:schemeClr w14:val="tx1"/>
            </w14:solidFill>
          </w14:textFill>
        </w:rPr>
        <w:t>7.1 批次</w:t>
      </w:r>
    </w:p>
    <w:p w14:paraId="3F7A78C6">
      <w:pPr>
        <w:pStyle w:val="27"/>
        <w:numPr>
          <w:ilvl w:val="2"/>
          <w:numId w:val="0"/>
        </w:numPr>
        <w:spacing w:before="240" w:beforeLines="100" w:after="240" w:afterLines="100"/>
        <w:ind w:firstLine="420" w:firstLineChars="200"/>
        <w:rPr>
          <w:rFonts w:ascii="Times New Roman" w:eastAsia="宋体"/>
          <w:color w:val="000000" w:themeColor="text1"/>
          <w14:textFill>
            <w14:solidFill>
              <w14:schemeClr w14:val="tx1"/>
            </w14:solidFill>
          </w14:textFill>
        </w:rPr>
      </w:pPr>
      <w:r>
        <w:rPr>
          <w:rFonts w:ascii="Times New Roman" w:eastAsia="宋体"/>
          <w:color w:val="000000" w:themeColor="text1"/>
          <w14:textFill>
            <w14:solidFill>
              <w14:schemeClr w14:val="tx1"/>
            </w14:solidFill>
          </w14:textFill>
        </w:rPr>
        <w:t>产品按批检验，以一次投料生产的产品为一批。</w:t>
      </w:r>
    </w:p>
    <w:p w14:paraId="1D2ADF76">
      <w:pPr>
        <w:pStyle w:val="27"/>
        <w:numPr>
          <w:ilvl w:val="2"/>
          <w:numId w:val="0"/>
        </w:numPr>
        <w:spacing w:before="240" w:beforeLines="100" w:after="240" w:afterLines="100"/>
        <w:rPr>
          <w:rFonts w:ascii="Times New Roman" w:eastAsia="宋体"/>
          <w:color w:val="000000" w:themeColor="text1"/>
          <w14:textFill>
            <w14:solidFill>
              <w14:schemeClr w14:val="tx1"/>
            </w14:solidFill>
          </w14:textFill>
        </w:rPr>
      </w:pPr>
      <w:r>
        <w:rPr>
          <w:rFonts w:ascii="Times New Roman"/>
          <w:color w:val="000000" w:themeColor="text1"/>
          <w14:textFill>
            <w14:solidFill>
              <w14:schemeClr w14:val="tx1"/>
            </w14:solidFill>
          </w14:textFill>
        </w:rPr>
        <w:t>7.2 抽样</w:t>
      </w:r>
    </w:p>
    <w:p w14:paraId="54B35460">
      <w:pPr>
        <w:pStyle w:val="27"/>
        <w:numPr>
          <w:ilvl w:val="2"/>
          <w:numId w:val="0"/>
        </w:numPr>
        <w:spacing w:before="240" w:beforeLines="100" w:after="240" w:afterLines="100"/>
        <w:ind w:firstLine="420" w:firstLineChars="200"/>
        <w:rPr>
          <w:rFonts w:ascii="Times New Roman" w:eastAsia="宋体"/>
          <w:color w:val="000000" w:themeColor="text1"/>
          <w14:textFill>
            <w14:solidFill>
              <w14:schemeClr w14:val="tx1"/>
            </w14:solidFill>
          </w14:textFill>
        </w:rPr>
      </w:pPr>
      <w:r>
        <w:rPr>
          <w:rFonts w:ascii="Times New Roman" w:eastAsia="宋体"/>
          <w:color w:val="000000" w:themeColor="text1"/>
          <w14:textFill>
            <w14:solidFill>
              <w14:schemeClr w14:val="tx1"/>
            </w14:solidFill>
          </w14:textFill>
        </w:rPr>
        <w:t>按GB/T 6679的规定进行，将所抽样品混合均匀后分成两份，其中一份用于检查，另一份留样备查。</w:t>
      </w:r>
    </w:p>
    <w:p w14:paraId="3F89A709">
      <w:pPr>
        <w:pStyle w:val="27"/>
        <w:numPr>
          <w:ilvl w:val="2"/>
          <w:numId w:val="0"/>
        </w:numPr>
        <w:spacing w:before="240" w:beforeLines="100" w:after="240" w:afterLines="100"/>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t>7.3 出厂检验</w:t>
      </w:r>
    </w:p>
    <w:p w14:paraId="7DB6BA88">
      <w:pPr>
        <w:pStyle w:val="27"/>
        <w:numPr>
          <w:ilvl w:val="2"/>
          <w:numId w:val="0"/>
        </w:numPr>
        <w:spacing w:before="240" w:beforeLines="100" w:after="240" w:afterLines="100"/>
        <w:ind w:firstLine="420" w:firstLineChars="200"/>
        <w:rPr>
          <w:rFonts w:ascii="Times New Roman" w:eastAsia="宋体"/>
          <w:color w:val="000000" w:themeColor="text1"/>
          <w14:textFill>
            <w14:solidFill>
              <w14:schemeClr w14:val="tx1"/>
            </w14:solidFill>
          </w14:textFill>
        </w:rPr>
      </w:pPr>
      <w:r>
        <w:rPr>
          <w:rFonts w:ascii="Times New Roman" w:eastAsia="宋体"/>
          <w:color w:val="000000" w:themeColor="text1"/>
          <w14:textFill>
            <w14:solidFill>
              <w14:schemeClr w14:val="tx1"/>
            </w14:solidFill>
          </w14:textFill>
        </w:rPr>
        <w:t>每批产品应由生产企业的质量检验部门按本文件检验合格后附合格证明方可出厂。出厂检验项目为性状、鉴别、含量、溶液澄清度与颜色、pH、特性黏数、核酸、蛋白质、氯化物、铁、重金属、干燥失重、需氧菌总数、霉菌和酵母菌总数、大肠埃希菌、铜绿假单胞菌、金黄色葡萄球菌、细菌内毒素、乙醇残留。</w:t>
      </w:r>
    </w:p>
    <w:p w14:paraId="4D1DD237">
      <w:pPr>
        <w:pStyle w:val="27"/>
        <w:numPr>
          <w:ilvl w:val="2"/>
          <w:numId w:val="0"/>
        </w:numPr>
        <w:spacing w:before="240" w:beforeLines="100" w:after="240" w:afterLines="100"/>
        <w:rPr>
          <w:rFonts w:ascii="Times New Roman" w:eastAsia="宋体"/>
          <w:color w:val="000000" w:themeColor="text1"/>
          <w14:textFill>
            <w14:solidFill>
              <w14:schemeClr w14:val="tx1"/>
            </w14:solidFill>
          </w14:textFill>
        </w:rPr>
      </w:pPr>
      <w:r>
        <w:rPr>
          <w:rFonts w:ascii="Times New Roman"/>
          <w:color w:val="000000" w:themeColor="text1"/>
          <w14:textFill>
            <w14:solidFill>
              <w14:schemeClr w14:val="tx1"/>
            </w14:solidFill>
          </w14:textFill>
        </w:rPr>
        <w:t>7.4 判定规则</w:t>
      </w:r>
    </w:p>
    <w:p w14:paraId="7E4D2644">
      <w:pPr>
        <w:pStyle w:val="27"/>
        <w:numPr>
          <w:ilvl w:val="2"/>
          <w:numId w:val="0"/>
        </w:numPr>
        <w:spacing w:before="240" w:beforeLines="100" w:after="240" w:afterLines="100"/>
        <w:ind w:firstLine="420" w:firstLineChars="200"/>
        <w:rPr>
          <w:rFonts w:ascii="Times New Roman" w:eastAsia="宋体"/>
          <w:color w:val="000000" w:themeColor="text1"/>
          <w14:textFill>
            <w14:solidFill>
              <w14:schemeClr w14:val="tx1"/>
            </w14:solidFill>
          </w14:textFill>
        </w:rPr>
      </w:pPr>
      <w:r>
        <w:rPr>
          <w:rFonts w:ascii="Times New Roman" w:eastAsia="宋体"/>
          <w:color w:val="000000" w:themeColor="text1"/>
          <w14:textFill>
            <w14:solidFill>
              <w14:schemeClr w14:val="tx1"/>
            </w14:solidFill>
          </w14:textFill>
        </w:rPr>
        <w:t>检验项目全部符合本文件的规定，判</w:t>
      </w:r>
      <w:r>
        <w:rPr>
          <w:rFonts w:hint="eastAsia" w:ascii="Times New Roman" w:eastAsia="宋体"/>
          <w:color w:val="000000" w:themeColor="text1"/>
          <w:lang w:val="en-US" w:eastAsia="zh-CN"/>
          <w14:textFill>
            <w14:solidFill>
              <w14:schemeClr w14:val="tx1"/>
            </w14:solidFill>
          </w14:textFill>
        </w:rPr>
        <w:t>定</w:t>
      </w:r>
      <w:r>
        <w:rPr>
          <w:rFonts w:ascii="Times New Roman" w:eastAsia="宋体"/>
          <w:color w:val="000000" w:themeColor="text1"/>
          <w14:textFill>
            <w14:solidFill>
              <w14:schemeClr w14:val="tx1"/>
            </w14:solidFill>
          </w14:textFill>
        </w:rPr>
        <w:t>该批产品为合格产品。微生物指标如有一项不符合本文件规定的要求，即判该批产品为不合格。除微生物指标外，其他项目检验结果如有一项及以上为不合格，应在同批产品中加倍抽样复检，以复检结果为准。若复检项目仍有一项不合格，则判该批产品为不合格品。</w:t>
      </w:r>
    </w:p>
    <w:p w14:paraId="3712E346">
      <w:pPr>
        <w:pStyle w:val="27"/>
        <w:numPr>
          <w:ilvl w:val="2"/>
          <w:numId w:val="0"/>
        </w:numPr>
        <w:spacing w:before="240" w:beforeLines="100" w:after="240" w:afterLines="100"/>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t>8 标志、包装、运输、贮存</w:t>
      </w:r>
    </w:p>
    <w:p w14:paraId="0488A0F1">
      <w:pPr>
        <w:pStyle w:val="27"/>
        <w:numPr>
          <w:ilvl w:val="2"/>
          <w:numId w:val="0"/>
        </w:numPr>
        <w:spacing w:before="240" w:beforeLines="100" w:after="240" w:afterLines="100"/>
        <w:rPr>
          <w:rFonts w:ascii="Times New Roman" w:eastAsia="宋体"/>
          <w:color w:val="FF0000"/>
        </w:rPr>
      </w:pPr>
      <w:r>
        <w:rPr>
          <w:rFonts w:ascii="Times New Roman"/>
          <w:color w:val="000000" w:themeColor="text1"/>
          <w14:textFill>
            <w14:solidFill>
              <w14:schemeClr w14:val="tx1"/>
            </w14:solidFill>
          </w14:textFill>
        </w:rPr>
        <w:t>8.1 标志</w:t>
      </w:r>
    </w:p>
    <w:p w14:paraId="361E1F54">
      <w:pPr>
        <w:pStyle w:val="27"/>
        <w:numPr>
          <w:ilvl w:val="2"/>
          <w:numId w:val="0"/>
        </w:numPr>
        <w:spacing w:before="240" w:beforeLines="100" w:after="240" w:afterLines="100"/>
        <w:ind w:firstLine="420" w:firstLineChars="200"/>
        <w:rPr>
          <w:rFonts w:ascii="Times New Roman" w:eastAsia="宋体"/>
          <w:color w:val="FF0000"/>
        </w:rPr>
      </w:pPr>
      <w:r>
        <w:rPr>
          <w:rFonts w:ascii="Times New Roman" w:eastAsia="宋体"/>
          <w:color w:val="000000" w:themeColor="text1"/>
          <w14:textFill>
            <w14:solidFill>
              <w14:schemeClr w14:val="tx1"/>
            </w14:solidFill>
          </w14:textFill>
        </w:rPr>
        <w:t>产品包装储运图示标志应符合GB/T 191的规定，标签应符合GB 7718的规定。应标明产品名称、净重、批号、生产日期、保质期、贮藏、生产厂名、厂址等。</w:t>
      </w:r>
    </w:p>
    <w:p w14:paraId="4975B2C7">
      <w:pPr>
        <w:pStyle w:val="27"/>
        <w:numPr>
          <w:ilvl w:val="2"/>
          <w:numId w:val="0"/>
        </w:numPr>
        <w:spacing w:before="240" w:beforeLines="100" w:after="240" w:afterLines="100"/>
        <w:rPr>
          <w:rFonts w:ascii="Times New Roman" w:eastAsia="宋体"/>
          <w:color w:val="FF0000"/>
        </w:rPr>
      </w:pPr>
      <w:r>
        <w:rPr>
          <w:rFonts w:ascii="Times New Roman"/>
          <w:color w:val="000000" w:themeColor="text1"/>
          <w14:textFill>
            <w14:solidFill>
              <w14:schemeClr w14:val="tx1"/>
            </w14:solidFill>
          </w14:textFill>
        </w:rPr>
        <w:t>8.2 包装</w:t>
      </w:r>
    </w:p>
    <w:p w14:paraId="6D941627">
      <w:pPr>
        <w:pStyle w:val="27"/>
        <w:numPr>
          <w:ilvl w:val="2"/>
          <w:numId w:val="0"/>
        </w:numPr>
        <w:spacing w:before="240" w:beforeLines="100" w:after="240" w:afterLines="100"/>
        <w:ind w:firstLine="420" w:firstLineChars="200"/>
        <w:rPr>
          <w:rFonts w:ascii="Times New Roman" w:eastAsia="宋体"/>
          <w:color w:val="000000" w:themeColor="text1"/>
          <w14:textFill>
            <w14:solidFill>
              <w14:schemeClr w14:val="tx1"/>
            </w14:solidFill>
          </w14:textFill>
        </w:rPr>
      </w:pPr>
      <w:r>
        <w:rPr>
          <w:rFonts w:ascii="Times New Roman" w:eastAsia="宋体"/>
          <w:color w:val="000000" w:themeColor="text1"/>
          <w14:textFill>
            <w14:solidFill>
              <w14:schemeClr w14:val="tx1"/>
            </w14:solidFill>
          </w14:textFill>
        </w:rPr>
        <w:t>8.2.1 包装应采用适宜的包装，包装物和容器应整洁、卫生、无破损，确保软骨素钠的安全性和有效性。</w:t>
      </w:r>
    </w:p>
    <w:p w14:paraId="1D20FE44">
      <w:pPr>
        <w:pStyle w:val="27"/>
        <w:numPr>
          <w:ilvl w:val="2"/>
          <w:numId w:val="0"/>
        </w:numPr>
        <w:spacing w:before="240" w:beforeLines="100" w:after="240" w:afterLines="100"/>
        <w:ind w:firstLine="420" w:firstLineChars="200"/>
        <w:rPr>
          <w:rFonts w:ascii="Times New Roman"/>
          <w:color w:val="000000" w:themeColor="text1"/>
          <w14:textFill>
            <w14:solidFill>
              <w14:schemeClr w14:val="tx1"/>
            </w14:solidFill>
          </w14:textFill>
        </w:rPr>
      </w:pPr>
      <w:r>
        <w:rPr>
          <w:rFonts w:ascii="Times New Roman" w:eastAsia="宋体"/>
          <w:color w:val="000000" w:themeColor="text1"/>
          <w14:textFill>
            <w14:solidFill>
              <w14:schemeClr w14:val="tx1"/>
            </w14:solidFill>
          </w14:textFill>
        </w:rPr>
        <w:t>8.2.2 包装应牢固、防潮、整洁、美观、无异味，便于装卸、仓储和运输。</w:t>
      </w:r>
    </w:p>
    <w:p w14:paraId="61814F15">
      <w:pPr>
        <w:pStyle w:val="27"/>
        <w:numPr>
          <w:ilvl w:val="2"/>
          <w:numId w:val="0"/>
        </w:numPr>
        <w:spacing w:before="240" w:beforeLines="100" w:after="240" w:afterLines="100"/>
        <w:rPr>
          <w:rFonts w:ascii="Times New Roman" w:eastAsia="宋体"/>
          <w:color w:val="FF0000"/>
        </w:rPr>
      </w:pPr>
      <w:r>
        <w:rPr>
          <w:rFonts w:ascii="Times New Roman"/>
          <w:color w:val="000000" w:themeColor="text1"/>
          <w14:textFill>
            <w14:solidFill>
              <w14:schemeClr w14:val="tx1"/>
            </w14:solidFill>
          </w14:textFill>
        </w:rPr>
        <w:t>8.3 运输</w:t>
      </w:r>
    </w:p>
    <w:p w14:paraId="60A8E258">
      <w:pPr>
        <w:pStyle w:val="27"/>
        <w:numPr>
          <w:ilvl w:val="2"/>
          <w:numId w:val="0"/>
        </w:numPr>
        <w:spacing w:before="240" w:beforeLines="100" w:after="240" w:afterLines="100"/>
        <w:ind w:firstLine="420" w:firstLineChars="200"/>
        <w:rPr>
          <w:rFonts w:ascii="Times New Roman" w:eastAsia="宋体"/>
          <w:color w:val="000000" w:themeColor="text1"/>
          <w14:textFill>
            <w14:solidFill>
              <w14:schemeClr w14:val="tx1"/>
            </w14:solidFill>
          </w14:textFill>
        </w:rPr>
      </w:pPr>
      <w:r>
        <w:rPr>
          <w:rFonts w:ascii="Times New Roman" w:eastAsia="宋体"/>
          <w:color w:val="000000" w:themeColor="text1"/>
          <w14:textFill>
            <w14:solidFill>
              <w14:schemeClr w14:val="tx1"/>
            </w14:solidFill>
          </w14:textFill>
        </w:rPr>
        <w:t>8.3.1 运输工具应清洁卫生，不应与有毒、有害、有腐蚀性的含有异味的物品混装、混运，运输过程中应有遮盖物，避免受潮、暴晒。</w:t>
      </w:r>
    </w:p>
    <w:p w14:paraId="536A49CD">
      <w:pPr>
        <w:pStyle w:val="27"/>
        <w:numPr>
          <w:ilvl w:val="2"/>
          <w:numId w:val="0"/>
        </w:numPr>
        <w:spacing w:before="240" w:beforeLines="100" w:after="240" w:afterLines="100"/>
        <w:ind w:firstLine="420" w:firstLineChars="200"/>
        <w:rPr>
          <w:rFonts w:ascii="Times New Roman" w:eastAsia="宋体"/>
          <w:color w:val="FF0000"/>
        </w:rPr>
      </w:pPr>
      <w:r>
        <w:rPr>
          <w:rFonts w:ascii="Times New Roman" w:eastAsia="宋体"/>
          <w:color w:val="000000" w:themeColor="text1"/>
          <w14:textFill>
            <w14:solidFill>
              <w14:schemeClr w14:val="tx1"/>
            </w14:solidFill>
          </w14:textFill>
        </w:rPr>
        <w:t>8.3.2 搬运时应轻拿轻放，不应扔摔、撞击、挤压。</w:t>
      </w:r>
    </w:p>
    <w:p w14:paraId="3DE91F54">
      <w:pPr>
        <w:pStyle w:val="27"/>
        <w:numPr>
          <w:ilvl w:val="2"/>
          <w:numId w:val="0"/>
        </w:numPr>
        <w:spacing w:before="240" w:beforeLines="100" w:after="240" w:afterLines="100"/>
        <w:rPr>
          <w:rFonts w:ascii="Times New Roman" w:eastAsia="宋体"/>
          <w:color w:val="FF0000"/>
        </w:rPr>
      </w:pPr>
      <w:r>
        <w:rPr>
          <w:rFonts w:ascii="Times New Roman"/>
          <w:color w:val="000000" w:themeColor="text1"/>
          <w14:textFill>
            <w14:solidFill>
              <w14:schemeClr w14:val="tx1"/>
            </w14:solidFill>
          </w14:textFill>
        </w:rPr>
        <w:t>8.4 贮存</w:t>
      </w:r>
    </w:p>
    <w:p w14:paraId="5C188042">
      <w:pPr>
        <w:pStyle w:val="27"/>
        <w:numPr>
          <w:ilvl w:val="2"/>
          <w:numId w:val="0"/>
        </w:numPr>
        <w:spacing w:before="240" w:beforeLines="100" w:after="240" w:afterLines="100"/>
        <w:ind w:firstLine="420" w:firstLineChars="200"/>
        <w:rPr>
          <w:rFonts w:ascii="Times New Roman" w:eastAsia="宋体"/>
          <w:color w:val="FF0000"/>
        </w:rPr>
      </w:pPr>
      <w:r>
        <w:rPr>
          <w:rFonts w:ascii="Times New Roman" w:eastAsia="宋体"/>
          <w:color w:val="000000" w:themeColor="text1"/>
          <w14:textFill>
            <w14:solidFill>
              <w14:schemeClr w14:val="tx1"/>
            </w14:solidFill>
          </w14:textFill>
        </w:rPr>
        <w:t>产品应密封，避光，不超过25 ℃保存。</w:t>
      </w:r>
    </w:p>
    <w:p w14:paraId="17ADA30F">
      <w:pPr>
        <w:pStyle w:val="27"/>
        <w:numPr>
          <w:ilvl w:val="2"/>
          <w:numId w:val="0"/>
        </w:numPr>
        <w:spacing w:before="240" w:beforeLines="100" w:after="240" w:afterLines="100"/>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t>9 有效期</w:t>
      </w:r>
    </w:p>
    <w:p w14:paraId="720AAD88">
      <w:pPr>
        <w:pStyle w:val="27"/>
        <w:numPr>
          <w:ilvl w:val="2"/>
          <w:numId w:val="0"/>
        </w:numPr>
        <w:spacing w:before="240" w:beforeLines="100" w:after="240" w:afterLines="100"/>
        <w:ind w:firstLine="420" w:firstLineChars="200"/>
        <w:rPr>
          <w:rFonts w:ascii="Times New Roman" w:eastAsia="宋体"/>
          <w:color w:val="000000" w:themeColor="text1"/>
          <w14:textFill>
            <w14:solidFill>
              <w14:schemeClr w14:val="tx1"/>
            </w14:solidFill>
          </w14:textFill>
        </w:rPr>
      </w:pPr>
      <w:r>
        <w:rPr>
          <w:rFonts w:ascii="Times New Roman" w:eastAsia="宋体"/>
          <w:color w:val="000000" w:themeColor="text1"/>
          <w14:textFill>
            <w14:solidFill>
              <w14:schemeClr w14:val="tx1"/>
            </w14:solidFill>
          </w14:textFill>
        </w:rPr>
        <w:t>在符合本文件规定的运输和贮存条件下，产品在包装完整和未经启封情况下，有效期不少于2年。</w:t>
      </w:r>
    </w:p>
    <w:p w14:paraId="7666A5C9">
      <w:pPr>
        <w:rPr>
          <w:rFonts w:ascii="Times New Roman" w:hAnsi="Times New Roman" w:eastAsia="宋体" w:cs="Times New Roman"/>
          <w:color w:val="FF0000"/>
        </w:rPr>
      </w:pPr>
      <w:r>
        <w:rPr>
          <w:rFonts w:ascii="Times New Roman" w:hAnsi="Times New Roman" w:eastAsia="宋体" w:cs="Times New Roman"/>
          <w:color w:val="FF0000"/>
        </w:rPr>
        <w:br w:type="page"/>
      </w:r>
    </w:p>
    <w:p w14:paraId="4EFBFF0E">
      <w:pPr>
        <w:spacing w:before="120" w:after="120"/>
        <w:rPr>
          <w:rFonts w:ascii="Times New Roman" w:hAnsi="Times New Roman" w:eastAsia="宋体" w:cs="Times New Roman"/>
          <w:color w:val="FF0000"/>
        </w:rPr>
      </w:pPr>
      <w:bookmarkStart w:id="41" w:name="BookMark5"/>
    </w:p>
    <w:p w14:paraId="57771321">
      <w:pPr>
        <w:pStyle w:val="37"/>
        <w:spacing w:before="120" w:after="120"/>
        <w:rPr>
          <w:rFonts w:ascii="Times New Roman" w:eastAsia="宋体"/>
          <w:vanish w:val="0"/>
          <w:color w:val="FF0000"/>
        </w:rPr>
      </w:pPr>
    </w:p>
    <w:p w14:paraId="14CA83DA">
      <w:pPr>
        <w:pStyle w:val="38"/>
        <w:numPr>
          <w:ilvl w:val="0"/>
          <w:numId w:val="0"/>
        </w:numPr>
        <w:spacing w:after="120"/>
        <w:jc w:val="both"/>
        <w:outlineLvl w:val="9"/>
        <w:rPr>
          <w:rFonts w:ascii="Times New Roman" w:eastAsia="宋体"/>
          <w:color w:val="FF0000"/>
        </w:rPr>
      </w:pPr>
    </w:p>
    <w:p w14:paraId="0A7F013B">
      <w:pPr>
        <w:pStyle w:val="38"/>
        <w:numPr>
          <w:ilvl w:val="0"/>
          <w:numId w:val="0"/>
        </w:numPr>
        <w:spacing w:before="0" w:after="0" w:afterLines="0" w:line="360" w:lineRule="auto"/>
        <w:ind w:left="420" w:firstLine="3990" w:firstLineChars="1900"/>
        <w:jc w:val="both"/>
        <w:rPr>
          <w:rFonts w:ascii="Times New Roman"/>
          <w:color w:val="000000" w:themeColor="text1"/>
          <w14:textFill>
            <w14:solidFill>
              <w14:schemeClr w14:val="tx1"/>
            </w14:solidFill>
          </w14:textFill>
        </w:rPr>
      </w:pPr>
      <w:bookmarkStart w:id="42" w:name="_Toc18036"/>
      <w:r>
        <w:rPr>
          <w:rFonts w:ascii="Times New Roman"/>
          <w:color w:val="000000" w:themeColor="text1"/>
          <w14:textFill>
            <w14:solidFill>
              <w14:schemeClr w14:val="tx1"/>
            </w14:solidFill>
          </w14:textFill>
        </w:rPr>
        <w:t>附  录  A</w:t>
      </w:r>
    </w:p>
    <w:p w14:paraId="41DFD60F">
      <w:pPr>
        <w:pStyle w:val="24"/>
        <w:ind w:firstLine="4410" w:firstLineChars="2100"/>
        <w:rPr>
          <w:rFonts w:ascii="Times New Roman" w:eastAsia="黑体"/>
          <w:color w:val="000000" w:themeColor="text1"/>
          <w14:textFill>
            <w14:solidFill>
              <w14:schemeClr w14:val="tx1"/>
            </w14:solidFill>
          </w14:textFill>
        </w:rPr>
      </w:pPr>
      <w:r>
        <w:rPr>
          <w:rFonts w:ascii="Times New Roman" w:eastAsia="黑体"/>
          <w:color w:val="000000" w:themeColor="text1"/>
          <w14:textFill>
            <w14:solidFill>
              <w14:schemeClr w14:val="tx1"/>
            </w14:solidFill>
          </w14:textFill>
        </w:rPr>
        <w:t>（资料性）</w:t>
      </w:r>
    </w:p>
    <w:p w14:paraId="3F6B8571">
      <w:pPr>
        <w:pStyle w:val="38"/>
        <w:numPr>
          <w:ilvl w:val="0"/>
          <w:numId w:val="0"/>
        </w:numPr>
        <w:spacing w:before="0" w:after="0" w:afterLines="0" w:line="360" w:lineRule="auto"/>
        <w:ind w:firstLine="3990" w:firstLineChars="1900"/>
        <w:jc w:val="both"/>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t>软骨素钠对照红外光谱</w:t>
      </w:r>
      <w:bookmarkEnd w:id="42"/>
    </w:p>
    <w:p w14:paraId="5F263090">
      <w:pPr>
        <w:pStyle w:val="24"/>
        <w:ind w:firstLine="420"/>
        <w:rPr>
          <w:rFonts w:ascii="Times New Roman"/>
          <w:color w:val="FF0000"/>
        </w:rPr>
      </w:pPr>
    </w:p>
    <w:p w14:paraId="6F740AD5">
      <w:pPr>
        <w:pStyle w:val="24"/>
        <w:ind w:firstLine="420"/>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t>软骨素钠对照红外光谱见图A.1。</w:t>
      </w:r>
    </w:p>
    <w:p w14:paraId="171CCA2D">
      <w:pPr>
        <w:pStyle w:val="24"/>
        <w:ind w:firstLine="420"/>
        <w:rPr>
          <w:rFonts w:ascii="Times New Roman"/>
          <w:color w:val="FF0000"/>
        </w:rPr>
      </w:pPr>
    </w:p>
    <w:p w14:paraId="13F12AC5">
      <w:pPr>
        <w:pStyle w:val="24"/>
        <w:ind w:firstLine="0" w:firstLineChars="0"/>
        <w:jc w:val="center"/>
        <w:rPr>
          <w:rFonts w:ascii="Times New Roman"/>
          <w:color w:val="FF0000"/>
        </w:rPr>
      </w:pPr>
    </w:p>
    <w:p w14:paraId="3A192095">
      <w:pPr>
        <w:pStyle w:val="24"/>
        <w:ind w:firstLine="0" w:firstLineChars="0"/>
        <w:jc w:val="center"/>
        <w:rPr>
          <w:rFonts w:ascii="Times New Roman"/>
          <w:color w:val="FF0000"/>
        </w:rPr>
      </w:pPr>
      <w:r>
        <w:rPr>
          <w:rFonts w:ascii="Times New Roman"/>
        </w:rPr>
        <w:drawing>
          <wp:inline distT="0" distB="0" distL="114300" distR="114300">
            <wp:extent cx="5200650" cy="1940560"/>
            <wp:effectExtent l="0" t="0" r="0" b="2540"/>
            <wp:docPr id="5" name="图片 5" descr="O54l4AwM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O54l4AwMer"/>
                    <pic:cNvPicPr>
                      <a:picLocks noChangeAspect="1"/>
                    </pic:cNvPicPr>
                  </pic:nvPicPr>
                  <pic:blipFill>
                    <a:blip r:embed="rId18"/>
                    <a:stretch>
                      <a:fillRect/>
                    </a:stretch>
                  </pic:blipFill>
                  <pic:spPr>
                    <a:xfrm>
                      <a:off x="0" y="0"/>
                      <a:ext cx="5352752" cy="1997365"/>
                    </a:xfrm>
                    <a:prstGeom prst="rect">
                      <a:avLst/>
                    </a:prstGeom>
                  </pic:spPr>
                </pic:pic>
              </a:graphicData>
            </a:graphic>
          </wp:inline>
        </w:drawing>
      </w:r>
    </w:p>
    <w:p w14:paraId="423935E6">
      <w:pPr>
        <w:pStyle w:val="39"/>
        <w:numPr>
          <w:ilvl w:val="0"/>
          <w:numId w:val="0"/>
        </w:numPr>
        <w:spacing w:before="120" w:after="120"/>
        <w:jc w:val="both"/>
        <w:rPr>
          <w:rFonts w:ascii="Times New Roman" w:eastAsia="宋体"/>
          <w:color w:val="FF0000"/>
        </w:rPr>
      </w:pPr>
    </w:p>
    <w:p w14:paraId="64262455">
      <w:pPr>
        <w:pStyle w:val="39"/>
        <w:spacing w:before="120" w:after="120"/>
        <w:rPr>
          <w:rFonts w:ascii="Times New Roman" w:eastAsia="宋体"/>
          <w:color w:val="FF0000"/>
        </w:rPr>
      </w:pPr>
      <w:r>
        <w:rPr>
          <w:rFonts w:ascii="Times New Roman"/>
          <w:color w:val="000000" w:themeColor="text1"/>
          <w14:textFill>
            <w14:solidFill>
              <w14:schemeClr w14:val="tx1"/>
            </w14:solidFill>
          </w14:textFill>
        </w:rPr>
        <w:t xml:space="preserve">软骨素钠对照红外光谱图 </w:t>
      </w:r>
    </w:p>
    <w:p w14:paraId="05F2C48E">
      <w:pPr>
        <w:pStyle w:val="37"/>
        <w:spacing w:before="120" w:after="120"/>
        <w:rPr>
          <w:rFonts w:ascii="Times New Roman" w:eastAsia="宋体"/>
          <w:vanish w:val="0"/>
          <w:color w:val="FF0000"/>
        </w:rPr>
      </w:pPr>
    </w:p>
    <w:bookmarkEnd w:id="41"/>
    <w:p w14:paraId="129B06C4">
      <w:pPr>
        <w:pStyle w:val="24"/>
        <w:ind w:firstLine="0" w:firstLineChars="0"/>
        <w:rPr>
          <w:rFonts w:ascii="Times New Roman"/>
          <w:color w:val="FF0000"/>
        </w:rPr>
      </w:pPr>
    </w:p>
    <w:p w14:paraId="2F2F3022">
      <w:pPr>
        <w:pStyle w:val="24"/>
        <w:ind w:firstLine="420"/>
        <w:rPr>
          <w:rFonts w:ascii="Times New Roman"/>
          <w:color w:val="FF0000"/>
        </w:rPr>
      </w:pPr>
    </w:p>
    <w:p w14:paraId="6E5CB1D5">
      <w:pPr>
        <w:pStyle w:val="24"/>
        <w:ind w:firstLine="420"/>
        <w:rPr>
          <w:rFonts w:ascii="Times New Roman"/>
          <w:color w:val="FF0000"/>
        </w:rPr>
      </w:pPr>
    </w:p>
    <w:p w14:paraId="4EB285DE">
      <w:pPr>
        <w:spacing w:line="360" w:lineRule="auto"/>
        <w:rPr>
          <w:rFonts w:ascii="Times New Roman" w:hAnsi="Times New Roman" w:eastAsia="宋体" w:cs="Times New Roman"/>
          <w:color w:val="FF0000"/>
          <w:sz w:val="24"/>
        </w:rPr>
      </w:pPr>
    </w:p>
    <w:sectPr>
      <w:headerReference r:id="rId13" w:type="first"/>
      <w:headerReference r:id="rId11" w:type="default"/>
      <w:footerReference r:id="rId14" w:type="default"/>
      <w:headerReference r:id="rId12" w:type="even"/>
      <w:pgSz w:w="11906" w:h="16838"/>
      <w:pgMar w:top="1928" w:right="1134" w:bottom="1134" w:left="1134" w:header="1418" w:footer="1134" w:gutter="284"/>
      <w:pgNumType w:start="1"/>
      <w:cols w:space="425" w:num="1"/>
      <w:formProt w:val="0"/>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Unicode MS">
    <w:altName w:val="Arial"/>
    <w:panose1 w:val="020B0604020202020204"/>
    <w:charset w:val="00"/>
    <w:family w:val="roman"/>
    <w:pitch w:val="default"/>
    <w:sig w:usb0="00000000" w:usb1="00000000" w:usb2="00000000" w:usb3="00000000" w:csb0="00000001" w:csb1="00000000"/>
  </w:font>
  <w:font w:name="Cambria Math">
    <w:panose1 w:val="02040503050406030204"/>
    <w:charset w:val="00"/>
    <w:family w:val="roman"/>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BABF14">
    <w:pPr>
      <w:pStyle w:val="54"/>
    </w:pPr>
    <w:r>
      <w:fldChar w:fldCharType="begin"/>
    </w:r>
    <w:r>
      <w:instrText xml:space="preserve"> PAGE  \* MERGEFORMAT </w:instrText>
    </w:r>
    <w:r>
      <w:fldChar w:fldCharType="separate"/>
    </w:r>
    <w:r>
      <w:t>6</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18318E">
    <w:pPr>
      <w:pStyle w:val="6"/>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30ED646">
                          <w:pPr>
                            <w:pStyle w:val="6"/>
                          </w:pPr>
                          <w:r>
                            <w:fldChar w:fldCharType="begin"/>
                          </w:r>
                          <w:r>
                            <w:instrText xml:space="preserve"> PAGE  \* MERGEFORMAT </w:instrText>
                          </w:r>
                          <w:r>
                            <w:fldChar w:fldCharType="separate"/>
                          </w:r>
                          <w:r>
                            <w:t>II</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MibgsAgAAV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FwyJuCwCAABVBAAADgAAAAAAAAABACAAAAAfAQAAZHJzL2Uyb0RvYy54bWxQSwUGAAAAAAYA&#10;BgBZAQAAvQUAAAAA&#10;">
              <v:fill on="f" focussize="0,0"/>
              <v:stroke on="f" weight="0.5pt"/>
              <v:imagedata o:title=""/>
              <o:lock v:ext="edit" aspectratio="f"/>
              <v:textbox inset="0mm,0mm,0mm,0mm" style="mso-fit-shape-to-text:t;">
                <w:txbxContent>
                  <w:p w14:paraId="230ED646">
                    <w:pPr>
                      <w:pStyle w:val="6"/>
                    </w:pPr>
                    <w:r>
                      <w:fldChar w:fldCharType="begin"/>
                    </w:r>
                    <w:r>
                      <w:instrText xml:space="preserve"> PAGE  \* MERGEFORMAT </w:instrText>
                    </w:r>
                    <w:r>
                      <w:fldChar w:fldCharType="separate"/>
                    </w:r>
                    <w:r>
                      <w:t>II</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2EBEA6">
    <w:pPr>
      <w:pStyle w:val="42"/>
    </w:pPr>
    <w:r>
      <w:fldChar w:fldCharType="begin"/>
    </w:r>
    <w:r>
      <w:instrText xml:space="preserve">PAGE   \* MERGEFORMAT</w:instrText>
    </w:r>
    <w:r>
      <w:fldChar w:fldCharType="separate"/>
    </w:r>
    <w:r>
      <w:rPr>
        <w:lang w:val="zh-CN"/>
      </w:rPr>
      <w:t>14</w:t>
    </w:r>
    <w: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B490F2">
    <w:pPr>
      <w:pStyle w:val="7"/>
      <w:jc w:val="right"/>
    </w:pPr>
    <w:r>
      <w:pict>
        <v:shape id="PowerPlusWaterMarkObject19351377" o:spid="_x0000_s2051" o:spt="136" type="#_x0000_t136" style="position:absolute;left:0pt;height:131.85pt;width:527.55pt;mso-position-horizontal:center;mso-position-horizontal-relative:margin;mso-position-vertical:center;mso-position-vertical-relative:margin;rotation:20643840f;z-index:-251652096;mso-width-relative:page;mso-height-relative:page;" fillcolor="#C0C0C0" filled="t" stroked="f" coordsize="21600,21600" o:allowincell="f">
          <v:path/>
          <v:fill on="t" opacity="32768f" focussize="0,0"/>
          <v:stroke on="f"/>
          <v:imagedata o:title=""/>
          <o:lock v:ext="edit"/>
          <v:textpath on="t" fitshape="t" fitpath="t" trim="f" xscale="f" string="华熙生物" style="font-family:宋体;font-size:1pt;v-text-align:center;"/>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277F1C">
    <w:pPr>
      <w:pStyle w:val="7"/>
    </w:pPr>
    <w:r>
      <w:pict>
        <v:shape id="PowerPlusWaterMarkObject19351376" o:spid="_x0000_s2050" o:spt="136" type="#_x0000_t136" style="position:absolute;left:0pt;height:131.85pt;width:527.55pt;mso-position-horizontal:center;mso-position-horizontal-relative:margin;mso-position-vertical:center;mso-position-vertical-relative:margin;rotation:20643840f;z-index:-251654144;mso-width-relative:page;mso-height-relative:page;" fillcolor="#C0C0C0" filled="t" stroked="f" coordsize="21600,21600" o:allowincell="f">
          <v:path/>
          <v:fill on="t" opacity="32768f" focussize="0,0"/>
          <v:stroke on="f"/>
          <v:imagedata o:title=""/>
          <o:lock v:ext="edit"/>
          <v:textpath on="t" fitshape="t" fitpath="t" trim="f" xscale="f" string="华熙生物" style="font-family:宋体;font-size:1pt;v-text-align:center;"/>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B591DD">
    <w:pPr>
      <w:pStyle w:val="7"/>
    </w:pPr>
    <w:r>
      <w:pict>
        <v:shape id="PowerPlusWaterMarkObject19351375" o:spid="_x0000_s2049" o:spt="136" type="#_x0000_t136" style="position:absolute;left:0pt;height:131.85pt;width:527.55pt;mso-position-horizontal:center;mso-position-horizontal-relative:margin;mso-position-vertical:center;mso-position-vertical-relative:margin;rotation:20643840f;z-index:-251655168;mso-width-relative:page;mso-height-relative:page;" fillcolor="#C0C0C0" filled="t" stroked="f" coordsize="21600,21600" o:allowincell="f">
          <v:path/>
          <v:fill on="t" opacity="32768f" focussize="0,0"/>
          <v:stroke on="f"/>
          <v:imagedata o:title=""/>
          <o:lock v:ext="edit"/>
          <v:textpath on="t" fitshape="t" fitpath="t" trim="f" xscale="f" string="华熙生物" style="font-family:宋体;font-size:1pt;v-text-align:center;"/>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B8935E">
    <w:pPr>
      <w:pStyle w:val="7"/>
      <w:jc w:val="right"/>
      <w:rPr>
        <w:rFonts w:ascii="黑体" w:hAnsi="黑体" w:eastAsia="黑体" w:cs="黑体"/>
        <w:sz w:val="21"/>
        <w:szCs w:val="21"/>
      </w:rPr>
    </w:pPr>
    <w:r>
      <w:pict>
        <v:shape id="PowerPlusWaterMarkObject19351380" o:spid="_x0000_s2054" o:spt="136" type="#_x0000_t136" style="position:absolute;left:0pt;height:131.85pt;width:527.55pt;mso-position-horizontal:center;mso-position-horizontal-relative:margin;mso-position-vertical:center;mso-position-vertical-relative:margin;rotation:20643840f;z-index:-251648000;mso-width-relative:page;mso-height-relative:page;" fillcolor="#C0C0C0" filled="t" stroked="f" coordsize="21600,21600" o:allowincell="f">
          <v:path/>
          <v:fill on="t" opacity="32768f" focussize="0,0"/>
          <v:stroke on="f"/>
          <v:imagedata o:title=""/>
          <o:lock v:ext="edit"/>
          <v:textpath on="t" fitshape="t" fitpath="t" trim="f" xscale="f" string="华熙生物" style="font-family:宋体;font-size:1pt;v-text-align:center;"/>
        </v:shape>
      </w:pict>
    </w:r>
    <w:r>
      <w:rPr>
        <w:rFonts w:hint="eastAsia" w:ascii="黑体" w:hAnsi="黑体" w:eastAsia="黑体" w:cs="黑体"/>
        <w:sz w:val="21"/>
        <w:szCs w:val="21"/>
      </w:rPr>
      <w:t>T/CSBM 0000—2027</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E292E4">
    <w:pPr>
      <w:pStyle w:val="7"/>
    </w:pPr>
    <w:r>
      <w:pict>
        <v:shape id="PowerPlusWaterMarkObject19351379" o:spid="_x0000_s2053" o:spt="136" type="#_x0000_t136" style="position:absolute;left:0pt;height:131.85pt;width:527.55pt;mso-position-horizontal:center;mso-position-horizontal-relative:margin;mso-position-vertical:center;mso-position-vertical-relative:margin;rotation:20643840f;z-index:-251649024;mso-width-relative:page;mso-height-relative:page;" fillcolor="#C0C0C0" filled="t" stroked="f" coordsize="21600,21600" o:allowincell="f">
          <v:path/>
          <v:fill on="t" opacity="32768f" focussize="0,0"/>
          <v:stroke on="f"/>
          <v:imagedata o:title=""/>
          <o:lock v:ext="edit"/>
          <v:textpath on="t" fitshape="t" fitpath="t" trim="f" xscale="f" string="华熙生物" style="font-family:宋体;font-size:1pt;v-text-align:center;"/>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77481D">
    <w:pPr>
      <w:pStyle w:val="7"/>
    </w:pPr>
    <w:r>
      <w:pict>
        <v:shape id="PowerPlusWaterMarkObject19351378" o:spid="_x0000_s2052" o:spt="136" type="#_x0000_t136" style="position:absolute;left:0pt;height:131.85pt;width:527.55pt;mso-position-horizontal:center;mso-position-horizontal-relative:margin;mso-position-vertical:center;mso-position-vertical-relative:margin;rotation:20643840f;z-index:-251650048;mso-width-relative:page;mso-height-relative:page;" fillcolor="#C0C0C0" filled="t" stroked="f" coordsize="21600,21600" o:allowincell="f">
          <v:path/>
          <v:fill on="t" opacity="32768f" focussize="0,0"/>
          <v:stroke on="f"/>
          <v:imagedata o:title=""/>
          <o:lock v:ext="edit"/>
          <v:textpath on="t" fitshape="t" fitpath="t" trim="f" xscale="f" string="华熙生物" style="font-family:宋体;font-size:1pt;v-text-align:center;"/>
        </v:shape>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720869">
    <w:pPr>
      <w:pStyle w:val="41"/>
      <w:jc w:val="both"/>
    </w:pPr>
    <w:r>
      <w:pict>
        <v:shape id="PowerPlusWaterMarkObject19351383" o:spid="_x0000_s2057" o:spt="136" type="#_x0000_t136" style="position:absolute;left:0pt;height:131.85pt;width:527.55pt;mso-position-horizontal:center;mso-position-horizontal-relative:margin;mso-position-vertical:center;mso-position-vertical-relative:margin;rotation:20643840f;z-index:-251644928;mso-width-relative:page;mso-height-relative:page;" fillcolor="#C0C0C0" filled="t" stroked="f" coordsize="21600,21600" o:allowincell="f">
          <v:path/>
          <v:fill on="t" opacity="32768f" focussize="0,0"/>
          <v:stroke on="f"/>
          <v:imagedata o:title=""/>
          <o:lock v:ext="edit"/>
          <v:textpath on="t" fitshape="t" fitpath="t" trim="f" xscale="f" string="华熙生物" style="font-family:宋体;font-size:1pt;v-text-align:center;"/>
        </v:shape>
      </w:pic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3D42FB">
    <w:pPr>
      <w:pStyle w:val="7"/>
      <w:jc w:val="right"/>
    </w:pPr>
    <w:r>
      <w:pict>
        <v:shape id="PowerPlusWaterMarkObject19351382" o:spid="_x0000_s2056" o:spt="136" type="#_x0000_t136" style="position:absolute;left:0pt;height:131.85pt;width:527.55pt;mso-position-horizontal:center;mso-position-horizontal-relative:margin;mso-position-vertical:center;mso-position-vertical-relative:margin;rotation:20643840f;z-index:-251645952;mso-width-relative:page;mso-height-relative:page;" fillcolor="#C0C0C0" filled="t" stroked="f" coordsize="21600,21600" o:allowincell="f">
          <v:path/>
          <v:fill on="t" opacity="32768f" focussize="0,0"/>
          <v:stroke on="f"/>
          <v:imagedata o:title=""/>
          <o:lock v:ext="edit"/>
          <v:textpath on="t" fitshape="t" fitpath="t" trim="f" xscale="f" string="华熙生物" style="font-family:宋体;font-size:1pt;v-text-align:center;"/>
        </v:shape>
      </w:pict>
    </w:r>
    <w:r>
      <w:fldChar w:fldCharType="begin"/>
    </w:r>
    <w:r>
      <w:instrText xml:space="preserve"> STYLEREF  标准文件_文件编号  \* MERGEFORMAT </w:instrText>
    </w:r>
    <w:r>
      <w:fldChar w:fldCharType="separate"/>
    </w:r>
    <w:r>
      <w:t>T/CSBM 00XX—20XX</w:t>
    </w:r>
    <w:r>
      <w:fldChar w:fldCharType="end"/>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705A21">
    <w:pPr>
      <w:pStyle w:val="7"/>
    </w:pPr>
    <w:r>
      <w:pict>
        <v:shape id="PowerPlusWaterMarkObject19351381" o:spid="_x0000_s2055" o:spt="136" type="#_x0000_t136" style="position:absolute;left:0pt;height:131.85pt;width:527.55pt;mso-position-horizontal:center;mso-position-horizontal-relative:margin;mso-position-vertical:center;mso-position-vertical-relative:margin;rotation:20643840f;z-index:-251646976;mso-width-relative:page;mso-height-relative:page;" fillcolor="#C0C0C0" filled="t" stroked="f" coordsize="21600,21600" o:allowincell="f">
          <v:path/>
          <v:fill on="t" opacity="32768f" focussize="0,0"/>
          <v:stroke on="f"/>
          <v:imagedata o:title=""/>
          <o:lock v:ext="edit"/>
          <v:textpath on="t" fitshape="t" fitpath="t" trim="f" xscale="f" string="华熙生物" style="font-family:宋体;font-size:1pt;v-text-align:center;"/>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C5917C3"/>
    <w:multiLevelType w:val="multilevel"/>
    <w:tmpl w:val="2C5917C3"/>
    <w:lvl w:ilvl="0" w:tentative="0">
      <w:start w:val="1"/>
      <w:numFmt w:val="none"/>
      <w:pStyle w:val="32"/>
      <w:lvlText w:val="%1——"/>
      <w:lvlJc w:val="left"/>
      <w:pPr>
        <w:tabs>
          <w:tab w:val="left" w:pos="851"/>
        </w:tabs>
        <w:ind w:left="851" w:hanging="426"/>
      </w:pPr>
      <w:rPr>
        <w:rFonts w:hint="eastAsia" w:ascii="宋体" w:hAnsi="Times New Roman" w:eastAsia="宋体"/>
        <w:b w:val="0"/>
        <w:i w:val="0"/>
        <w:sz w:val="21"/>
      </w:rPr>
    </w:lvl>
    <w:lvl w:ilvl="1" w:tentative="0">
      <w:start w:val="1"/>
      <w:numFmt w:val="none"/>
      <w:lvlText w:val=""/>
      <w:lvlJc w:val="left"/>
      <w:pPr>
        <w:ind w:left="851" w:hanging="431"/>
      </w:pPr>
      <w:rPr>
        <w:rFonts w:hint="default" w:ascii="Symbol" w:hAnsi="Symbol"/>
        <w:sz w:val="21"/>
      </w:rPr>
    </w:lvl>
    <w:lvl w:ilvl="2" w:tentative="0">
      <w:start w:val="1"/>
      <w:numFmt w:val="bullet"/>
      <w:lvlText w:val=""/>
      <w:lvlJc w:val="left"/>
      <w:pPr>
        <w:ind w:left="851" w:hanging="426"/>
      </w:pPr>
      <w:rPr>
        <w:rFonts w:hint="default" w:ascii="Wingdings" w:hAnsi="Wingdings"/>
        <w:sz w:val="21"/>
      </w:rPr>
    </w:lvl>
    <w:lvl w:ilvl="3" w:tentative="0">
      <w:start w:val="1"/>
      <w:numFmt w:val="decimal"/>
      <w:lvlText w:val="%4."/>
      <w:lvlJc w:val="left"/>
      <w:pPr>
        <w:tabs>
          <w:tab w:val="left" w:pos="2071"/>
        </w:tabs>
        <w:ind w:left="1884" w:hanging="528"/>
      </w:pPr>
      <w:rPr>
        <w:rFonts w:hint="eastAsia"/>
      </w:rPr>
    </w:lvl>
    <w:lvl w:ilvl="4" w:tentative="0">
      <w:start w:val="1"/>
      <w:numFmt w:val="lowerLetter"/>
      <w:lvlText w:val="%5)"/>
      <w:lvlJc w:val="left"/>
      <w:pPr>
        <w:tabs>
          <w:tab w:val="left" w:pos="2383"/>
        </w:tabs>
        <w:ind w:left="2196" w:hanging="528"/>
      </w:pPr>
      <w:rPr>
        <w:rFonts w:hint="eastAsia"/>
      </w:rPr>
    </w:lvl>
    <w:lvl w:ilvl="5" w:tentative="0">
      <w:start w:val="1"/>
      <w:numFmt w:val="lowerRoman"/>
      <w:lvlText w:val="%6."/>
      <w:lvlJc w:val="right"/>
      <w:pPr>
        <w:tabs>
          <w:tab w:val="left" w:pos="2695"/>
        </w:tabs>
        <w:ind w:left="2508" w:hanging="528"/>
      </w:pPr>
      <w:rPr>
        <w:rFonts w:hint="eastAsia"/>
      </w:rPr>
    </w:lvl>
    <w:lvl w:ilvl="6" w:tentative="0">
      <w:start w:val="1"/>
      <w:numFmt w:val="decimal"/>
      <w:lvlText w:val="%7."/>
      <w:lvlJc w:val="left"/>
      <w:pPr>
        <w:tabs>
          <w:tab w:val="left" w:pos="3007"/>
        </w:tabs>
        <w:ind w:left="2820" w:hanging="528"/>
      </w:pPr>
      <w:rPr>
        <w:rFonts w:hint="eastAsia"/>
      </w:rPr>
    </w:lvl>
    <w:lvl w:ilvl="7" w:tentative="0">
      <w:start w:val="1"/>
      <w:numFmt w:val="lowerLetter"/>
      <w:lvlText w:val="%8)"/>
      <w:lvlJc w:val="left"/>
      <w:pPr>
        <w:tabs>
          <w:tab w:val="left" w:pos="3319"/>
        </w:tabs>
        <w:ind w:left="3132" w:hanging="528"/>
      </w:pPr>
      <w:rPr>
        <w:rFonts w:hint="eastAsia"/>
      </w:rPr>
    </w:lvl>
    <w:lvl w:ilvl="8" w:tentative="0">
      <w:start w:val="1"/>
      <w:numFmt w:val="lowerRoman"/>
      <w:lvlText w:val="%9."/>
      <w:lvlJc w:val="right"/>
      <w:pPr>
        <w:tabs>
          <w:tab w:val="left" w:pos="3631"/>
        </w:tabs>
        <w:ind w:left="3444" w:hanging="528"/>
      </w:pPr>
      <w:rPr>
        <w:rFonts w:hint="eastAsia"/>
      </w:rPr>
    </w:lvl>
  </w:abstractNum>
  <w:abstractNum w:abstractNumId="1">
    <w:nsid w:val="44C50F90"/>
    <w:multiLevelType w:val="multilevel"/>
    <w:tmpl w:val="44C50F90"/>
    <w:lvl w:ilvl="0" w:tentative="0">
      <w:start w:val="1"/>
      <w:numFmt w:val="lowerLetter"/>
      <w:pStyle w:val="35"/>
      <w:lvlText w:val="%1)"/>
      <w:lvlJc w:val="left"/>
      <w:pPr>
        <w:tabs>
          <w:tab w:val="left" w:pos="851"/>
        </w:tabs>
        <w:ind w:left="851" w:hanging="426"/>
      </w:pPr>
      <w:rPr>
        <w:rFonts w:hint="eastAsia" w:ascii="宋体" w:hAnsi="Times New Roman" w:eastAsia="宋体"/>
        <w:sz w:val="21"/>
      </w:rPr>
    </w:lvl>
    <w:lvl w:ilvl="1" w:tentative="0">
      <w:start w:val="1"/>
      <w:numFmt w:val="decimal"/>
      <w:lvlText w:val="%2)"/>
      <w:lvlJc w:val="left"/>
      <w:pPr>
        <w:tabs>
          <w:tab w:val="left" w:pos="1276"/>
        </w:tabs>
        <w:ind w:left="1276" w:hanging="425"/>
      </w:pPr>
      <w:rPr>
        <w:rFonts w:hint="eastAsia" w:ascii="宋体" w:hAnsi="Times New Roman" w:eastAsia="宋体"/>
        <w:sz w:val="21"/>
      </w:rPr>
    </w:lvl>
    <w:lvl w:ilvl="2" w:tentative="0">
      <w:start w:val="1"/>
      <w:numFmt w:val="decimal"/>
      <w:lvlText w:val="(%3)"/>
      <w:lvlJc w:val="left"/>
      <w:pPr>
        <w:ind w:left="1701" w:hanging="425"/>
      </w:pPr>
      <w:rPr>
        <w:rFonts w:hint="eastAsia" w:ascii="宋体" w:hAnsi="Times New Roman" w:eastAsia="宋体"/>
        <w:sz w:val="21"/>
      </w:rPr>
    </w:lvl>
    <w:lvl w:ilvl="3" w:tentative="0">
      <w:start w:val="1"/>
      <w:numFmt w:val="decimal"/>
      <w:lvlText w:val="%4."/>
      <w:lvlJc w:val="left"/>
      <w:pPr>
        <w:tabs>
          <w:tab w:val="left" w:pos="2100"/>
        </w:tabs>
        <w:ind w:left="2099" w:hanging="419"/>
      </w:pPr>
      <w:rPr>
        <w:rFonts w:hint="eastAsia"/>
      </w:rPr>
    </w:lvl>
    <w:lvl w:ilvl="4" w:tentative="0">
      <w:start w:val="1"/>
      <w:numFmt w:val="lowerLetter"/>
      <w:lvlText w:val="%5)"/>
      <w:lvlJc w:val="left"/>
      <w:pPr>
        <w:tabs>
          <w:tab w:val="left" w:pos="2520"/>
        </w:tabs>
        <w:ind w:left="2519" w:hanging="419"/>
      </w:pPr>
      <w:rPr>
        <w:rFonts w:hint="eastAsia"/>
      </w:rPr>
    </w:lvl>
    <w:lvl w:ilvl="5" w:tentative="0">
      <w:start w:val="1"/>
      <w:numFmt w:val="lowerRoman"/>
      <w:lvlText w:val="%6."/>
      <w:lvlJc w:val="right"/>
      <w:pPr>
        <w:tabs>
          <w:tab w:val="left" w:pos="2940"/>
        </w:tabs>
        <w:ind w:left="2939" w:hanging="419"/>
      </w:pPr>
      <w:rPr>
        <w:rFonts w:hint="eastAsia"/>
      </w:rPr>
    </w:lvl>
    <w:lvl w:ilvl="6" w:tentative="0">
      <w:start w:val="1"/>
      <w:numFmt w:val="decimal"/>
      <w:lvlText w:val="%7."/>
      <w:lvlJc w:val="left"/>
      <w:pPr>
        <w:tabs>
          <w:tab w:val="left" w:pos="3360"/>
        </w:tabs>
        <w:ind w:left="3359" w:hanging="419"/>
      </w:pPr>
      <w:rPr>
        <w:rFonts w:hint="eastAsia"/>
      </w:rPr>
    </w:lvl>
    <w:lvl w:ilvl="7" w:tentative="0">
      <w:start w:val="1"/>
      <w:numFmt w:val="lowerLetter"/>
      <w:lvlText w:val="%8)"/>
      <w:lvlJc w:val="left"/>
      <w:pPr>
        <w:tabs>
          <w:tab w:val="left" w:pos="3780"/>
        </w:tabs>
        <w:ind w:left="3779" w:hanging="419"/>
      </w:pPr>
      <w:rPr>
        <w:rFonts w:hint="eastAsia"/>
      </w:rPr>
    </w:lvl>
    <w:lvl w:ilvl="8" w:tentative="0">
      <w:start w:val="1"/>
      <w:numFmt w:val="lowerRoman"/>
      <w:lvlText w:val="%9."/>
      <w:lvlJc w:val="right"/>
      <w:pPr>
        <w:tabs>
          <w:tab w:val="left" w:pos="4200"/>
        </w:tabs>
        <w:ind w:left="4199" w:hanging="419"/>
      </w:pPr>
      <w:rPr>
        <w:rFonts w:hint="eastAsia"/>
      </w:rPr>
    </w:lvl>
  </w:abstractNum>
  <w:abstractNum w:abstractNumId="2">
    <w:nsid w:val="48802D1C"/>
    <w:multiLevelType w:val="multilevel"/>
    <w:tmpl w:val="48802D1C"/>
    <w:lvl w:ilvl="0" w:tentative="0">
      <w:start w:val="1"/>
      <w:numFmt w:val="upperLetter"/>
      <w:lvlText w:val="%1"/>
      <w:lvlJc w:val="left"/>
      <w:pPr>
        <w:ind w:left="420" w:hanging="420"/>
      </w:pPr>
      <w:rPr>
        <w:rFonts w:hint="eastAsia"/>
      </w:rPr>
    </w:lvl>
    <w:lvl w:ilvl="1" w:tentative="0">
      <w:start w:val="1"/>
      <w:numFmt w:val="decimal"/>
      <w:pStyle w:val="39"/>
      <w:suff w:val="space"/>
      <w:lvlText w:val="图%1.%2"/>
      <w:lvlJc w:val="center"/>
      <w:pPr>
        <w:ind w:left="0" w:firstLine="0"/>
      </w:pPr>
      <w:rPr>
        <w:rFonts w:hint="default"/>
        <w:color w:val="000000" w:themeColor="text1"/>
        <w14:textFill>
          <w14:solidFill>
            <w14:schemeClr w14:val="tx1"/>
          </w14:solidFill>
        </w14:textFill>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3">
    <w:nsid w:val="5603797C"/>
    <w:multiLevelType w:val="multilevel"/>
    <w:tmpl w:val="5603797C"/>
    <w:lvl w:ilvl="0" w:tentative="0">
      <w:start w:val="1"/>
      <w:numFmt w:val="upperLetter"/>
      <w:pStyle w:val="37"/>
      <w:suff w:val="space"/>
      <w:lvlText w:val="%1"/>
      <w:lvlJc w:val="left"/>
      <w:pPr>
        <w:ind w:left="425" w:hanging="425"/>
      </w:pPr>
      <w:rPr>
        <w:rFonts w:hint="eastAsia"/>
      </w:rPr>
    </w:lvl>
    <w:lvl w:ilvl="1" w:tentative="0">
      <w:start w:val="1"/>
      <w:numFmt w:val="decimal"/>
      <w:suff w:val="space"/>
      <w:lvlText w:val="表%1.%2"/>
      <w:lvlJc w:val="center"/>
      <w:pPr>
        <w:ind w:left="0" w:firstLine="0"/>
      </w:pPr>
      <w:rPr>
        <w:rFonts w:hint="eastAsia" w:ascii="黑体" w:eastAsia="黑体"/>
        <w:sz w:val="21"/>
      </w:rPr>
    </w:lvl>
    <w:lvl w:ilvl="2" w:tentative="0">
      <w:start w:val="1"/>
      <w:numFmt w:val="decimal"/>
      <w:lvlText w:val="%1.%2.%3"/>
      <w:lvlJc w:val="left"/>
      <w:pPr>
        <w:ind w:left="1418" w:hanging="567"/>
      </w:pPr>
      <w:rPr>
        <w:rFonts w:hint="eastAsia"/>
      </w:rPr>
    </w:lvl>
    <w:lvl w:ilvl="3" w:tentative="0">
      <w:start w:val="1"/>
      <w:numFmt w:val="decimal"/>
      <w:lvlText w:val="%1.%2.%3.%4"/>
      <w:lvlJc w:val="left"/>
      <w:pPr>
        <w:ind w:left="1984" w:hanging="708"/>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4">
    <w:nsid w:val="657D3FBC"/>
    <w:multiLevelType w:val="multilevel"/>
    <w:tmpl w:val="657D3FBC"/>
    <w:lvl w:ilvl="0" w:tentative="0">
      <w:start w:val="1"/>
      <w:numFmt w:val="upperLetter"/>
      <w:pStyle w:val="38"/>
      <w:suff w:val="nothing"/>
      <w:lvlText w:val="附录%1"/>
      <w:lvlJc w:val="left"/>
      <w:pPr>
        <w:ind w:left="0" w:firstLine="0"/>
      </w:pPr>
      <w:rPr>
        <w:rFonts w:hint="eastAsia"/>
        <w:spacing w:val="100"/>
      </w:rPr>
    </w:lvl>
    <w:lvl w:ilvl="1" w:tentative="0">
      <w:start w:val="1"/>
      <w:numFmt w:val="decimal"/>
      <w:suff w:val="nothing"/>
      <w:lvlText w:val="%1.%2　"/>
      <w:lvlJc w:val="left"/>
      <w:pPr>
        <w:ind w:left="0" w:firstLine="0"/>
      </w:pPr>
      <w:rPr>
        <w:rFonts w:hint="eastAsia" w:ascii="黑体" w:eastAsia="黑体"/>
        <w:b w:val="0"/>
        <w:i w:val="0"/>
        <w:sz w:val="21"/>
      </w:rPr>
    </w:lvl>
    <w:lvl w:ilvl="2" w:tentative="0">
      <w:start w:val="1"/>
      <w:numFmt w:val="decimal"/>
      <w:suff w:val="nothing"/>
      <w:lvlText w:val="%1.%2.%3　"/>
      <w:lvlJc w:val="left"/>
      <w:pPr>
        <w:ind w:left="0" w:firstLine="0"/>
      </w:pPr>
      <w:rPr>
        <w:rFonts w:hint="eastAsia" w:ascii="黑体" w:eastAsia="黑体"/>
        <w:b w:val="0"/>
        <w:i w:val="0"/>
        <w:sz w:val="21"/>
      </w:rPr>
    </w:lvl>
    <w:lvl w:ilvl="3" w:tentative="0">
      <w:start w:val="1"/>
      <w:numFmt w:val="decimal"/>
      <w:suff w:val="nothing"/>
      <w:lvlText w:val="%1.%2.%3.%4　"/>
      <w:lvlJc w:val="left"/>
      <w:pPr>
        <w:ind w:left="0" w:firstLine="0"/>
      </w:pPr>
      <w:rPr>
        <w:rFonts w:hint="eastAsia" w:ascii="黑体" w:eastAsia="黑体"/>
        <w:b w:val="0"/>
        <w:i w:val="0"/>
        <w:sz w:val="21"/>
      </w:rPr>
    </w:lvl>
    <w:lvl w:ilvl="4" w:tentative="0">
      <w:start w:val="1"/>
      <w:numFmt w:val="decimal"/>
      <w:suff w:val="nothing"/>
      <w:lvlText w:val="%1.%2.%3.%4.%5　"/>
      <w:lvlJc w:val="left"/>
      <w:pPr>
        <w:ind w:left="0" w:firstLine="0"/>
      </w:pPr>
      <w:rPr>
        <w:rFonts w:hint="eastAsia" w:ascii="黑体" w:eastAsia="黑体"/>
        <w:b w:val="0"/>
        <w:i w:val="0"/>
        <w:sz w:val="21"/>
      </w:rPr>
    </w:lvl>
    <w:lvl w:ilvl="5" w:tentative="0">
      <w:start w:val="1"/>
      <w:numFmt w:val="decimal"/>
      <w:suff w:val="nothing"/>
      <w:lvlText w:val="%1.%2.%3.%4.%5.%6　"/>
      <w:lvlJc w:val="left"/>
      <w:pPr>
        <w:ind w:left="0" w:firstLine="0"/>
      </w:pPr>
      <w:rPr>
        <w:rFonts w:hint="eastAsia" w:ascii="黑体" w:eastAsia="黑体"/>
        <w:b w:val="0"/>
        <w:i w:val="0"/>
        <w:sz w:val="21"/>
      </w:rPr>
    </w:lvl>
    <w:lvl w:ilvl="6" w:tentative="0">
      <w:start w:val="1"/>
      <w:numFmt w:val="decimal"/>
      <w:suff w:val="nothing"/>
      <w:lvlText w:val="%1.%2.%3.%4.%5.%6.%7　"/>
      <w:lvlJc w:val="left"/>
      <w:pPr>
        <w:ind w:left="0" w:firstLine="0"/>
      </w:pPr>
      <w:rPr>
        <w:rFonts w:hint="eastAsia"/>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5">
    <w:nsid w:val="6CEA2025"/>
    <w:multiLevelType w:val="multilevel"/>
    <w:tmpl w:val="6CEA2025"/>
    <w:lvl w:ilvl="0" w:tentative="0">
      <w:start w:val="1"/>
      <w:numFmt w:val="none"/>
      <w:suff w:val="nothing"/>
      <w:lvlText w:val="%1"/>
      <w:lvlJc w:val="left"/>
      <w:pPr>
        <w:ind w:left="0" w:firstLine="0"/>
      </w:pPr>
      <w:rPr>
        <w:rFonts w:hint="eastAsia"/>
      </w:rPr>
    </w:lvl>
    <w:lvl w:ilvl="1" w:tentative="0">
      <w:start w:val="1"/>
      <w:numFmt w:val="decimal"/>
      <w:pStyle w:val="23"/>
      <w:suff w:val="nothing"/>
      <w:lvlText w:val="%1%2　"/>
      <w:lvlJc w:val="left"/>
      <w:pPr>
        <w:ind w:left="0" w:firstLine="0"/>
      </w:pPr>
      <w:rPr>
        <w:rFonts w:hint="eastAsia" w:ascii="黑体" w:eastAsia="黑体"/>
        <w:b w:val="0"/>
        <w:i w:val="0"/>
        <w:sz w:val="21"/>
      </w:rPr>
    </w:lvl>
    <w:lvl w:ilvl="2" w:tentative="0">
      <w:start w:val="1"/>
      <w:numFmt w:val="decimal"/>
      <w:pStyle w:val="27"/>
      <w:suff w:val="nothing"/>
      <w:lvlText w:val="%1%2.%3　"/>
      <w:lvlJc w:val="left"/>
      <w:pPr>
        <w:ind w:left="0" w:firstLine="0"/>
      </w:pPr>
      <w:rPr>
        <w:rFonts w:hint="eastAsia" w:ascii="黑体" w:hAnsi="Times New Roman" w:eastAsia="黑体" w:cs="Times New Roman"/>
        <w:b w:val="0"/>
        <w:bCs w:val="0"/>
        <w:i w:val="0"/>
        <w:iCs w:val="0"/>
        <w:caps w:val="0"/>
        <w:smallCaps w:val="0"/>
        <w:strike w:val="0"/>
        <w:dstrike w:val="0"/>
        <w:vanish w:val="0"/>
        <w:color w:val="000000"/>
        <w:spacing w:val="0"/>
        <w:kern w:val="0"/>
        <w:position w:val="0"/>
        <w:sz w:val="21"/>
        <w:u w:val="none"/>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props3d w14:extrusionH="0" w14:contourW="0" w14:prstMaterial="none"/>
        <w14:scene3d>
          <w14:lightRig w14:rig="threePt" w14:dir="t">
            <w14:rot w14:lat="0" w14:lon="0" w14:rev="0"/>
          </w14:lightRig>
        </w14:scene3d>
        <w14:ligatures w14:val="none"/>
        <w14:numForm w14:val="default"/>
        <w14:numSpacing w14:val="default"/>
      </w:rPr>
    </w:lvl>
    <w:lvl w:ilvl="3" w:tentative="0">
      <w:start w:val="1"/>
      <w:numFmt w:val="decimal"/>
      <w:pStyle w:val="29"/>
      <w:suff w:val="nothing"/>
      <w:lvlText w:val="%1%2.%3.%4　"/>
      <w:lvlJc w:val="left"/>
      <w:pPr>
        <w:ind w:left="0" w:firstLine="0"/>
      </w:pPr>
      <w:rPr>
        <w:rFonts w:hint="default" w:ascii="Times New Roman" w:hAnsi="Times New Roman" w:eastAsia="黑体" w:cs="Times New Roman"/>
        <w:b w:val="0"/>
        <w:i w:val="0"/>
        <w:sz w:val="21"/>
      </w:rPr>
    </w:lvl>
    <w:lvl w:ilvl="4" w:tentative="0">
      <w:start w:val="1"/>
      <w:numFmt w:val="decimal"/>
      <w:pStyle w:val="31"/>
      <w:suff w:val="nothing"/>
      <w:lvlText w:val="%1%2.%3.%4.%5　"/>
      <w:lvlJc w:val="left"/>
      <w:pPr>
        <w:ind w:left="0" w:firstLine="0"/>
      </w:pPr>
      <w:rPr>
        <w:rFonts w:hint="default" w:ascii="Times New Roman" w:hAnsi="Times New Roman" w:eastAsia="宋体" w:cs="Times New Roman"/>
        <w:b w:val="0"/>
        <w:i w:val="0"/>
        <w:sz w:val="21"/>
      </w:rPr>
    </w:lvl>
    <w:lvl w:ilvl="5" w:tentative="0">
      <w:start w:val="1"/>
      <w:numFmt w:val="decimal"/>
      <w:suff w:val="nothing"/>
      <w:lvlText w:val="%1%2.%3.%4.%5.%6　"/>
      <w:lvlJc w:val="left"/>
      <w:pPr>
        <w:ind w:left="0" w:firstLine="0"/>
      </w:pPr>
      <w:rPr>
        <w:rFonts w:hint="eastAsia" w:ascii="黑体" w:eastAsia="黑体"/>
        <w:b w:val="0"/>
        <w:i w:val="0"/>
        <w:sz w:val="21"/>
      </w:rPr>
    </w:lvl>
    <w:lvl w:ilvl="6" w:tentative="0">
      <w:start w:val="1"/>
      <w:numFmt w:val="decimal"/>
      <w:suff w:val="nothing"/>
      <w:lvlText w:val="%1%2.%3.%4.%5.%6.%7　"/>
      <w:lvlJc w:val="left"/>
      <w:pPr>
        <w:ind w:left="0" w:firstLine="0"/>
      </w:pPr>
      <w:rPr>
        <w:rFonts w:hint="eastAsia" w:ascii="黑体"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num w:numId="1">
    <w:abstractNumId w:val="5"/>
  </w:num>
  <w:num w:numId="2">
    <w:abstractNumId w:val="0"/>
  </w:num>
  <w:num w:numId="3">
    <w:abstractNumId w:val="1"/>
  </w:num>
  <w:num w:numId="4">
    <w:abstractNumId w:val="3"/>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9"/>
  <w:embedSystemFonts/>
  <w:bordersDoNotSurroundHeader w:val="1"/>
  <w:bordersDoNotSurroundFooter w:val="1"/>
  <w:documentProtection w:enforcement="0"/>
  <w:defaultTabStop w:val="420"/>
  <w:drawingGridVerticalSpacing w:val="156"/>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DRlNmE1YTg5ZDg0MGFkOTJmYzA3MWEyNGQxNWZkNTAifQ=="/>
  </w:docVars>
  <w:rsids>
    <w:rsidRoot w:val="00BB4C26"/>
    <w:rsid w:val="000102FB"/>
    <w:rsid w:val="00015F52"/>
    <w:rsid w:val="00021099"/>
    <w:rsid w:val="00023BFC"/>
    <w:rsid w:val="0004104C"/>
    <w:rsid w:val="00041D23"/>
    <w:rsid w:val="00053D51"/>
    <w:rsid w:val="00057106"/>
    <w:rsid w:val="00057E9D"/>
    <w:rsid w:val="0007363B"/>
    <w:rsid w:val="000862EF"/>
    <w:rsid w:val="000A2AAE"/>
    <w:rsid w:val="000B72FF"/>
    <w:rsid w:val="000D1744"/>
    <w:rsid w:val="000D7D0C"/>
    <w:rsid w:val="000E120A"/>
    <w:rsid w:val="000E5CF7"/>
    <w:rsid w:val="000F3C39"/>
    <w:rsid w:val="000F63E3"/>
    <w:rsid w:val="00116CB5"/>
    <w:rsid w:val="00120B9C"/>
    <w:rsid w:val="001378D2"/>
    <w:rsid w:val="001A6805"/>
    <w:rsid w:val="001C4471"/>
    <w:rsid w:val="001D15AB"/>
    <w:rsid w:val="001E6F3A"/>
    <w:rsid w:val="001F043D"/>
    <w:rsid w:val="00223160"/>
    <w:rsid w:val="00224358"/>
    <w:rsid w:val="00247F1C"/>
    <w:rsid w:val="00260ACD"/>
    <w:rsid w:val="002666FD"/>
    <w:rsid w:val="00295081"/>
    <w:rsid w:val="002B4374"/>
    <w:rsid w:val="002E26F6"/>
    <w:rsid w:val="00305C53"/>
    <w:rsid w:val="003231DD"/>
    <w:rsid w:val="0036490F"/>
    <w:rsid w:val="00380D74"/>
    <w:rsid w:val="003B07E6"/>
    <w:rsid w:val="003E799C"/>
    <w:rsid w:val="00420322"/>
    <w:rsid w:val="00451B1E"/>
    <w:rsid w:val="004542E4"/>
    <w:rsid w:val="00464456"/>
    <w:rsid w:val="004A5734"/>
    <w:rsid w:val="004F30D7"/>
    <w:rsid w:val="00507E26"/>
    <w:rsid w:val="00510C6F"/>
    <w:rsid w:val="00525702"/>
    <w:rsid w:val="005307AD"/>
    <w:rsid w:val="005355C1"/>
    <w:rsid w:val="0055346B"/>
    <w:rsid w:val="00570E90"/>
    <w:rsid w:val="00574813"/>
    <w:rsid w:val="00575BAA"/>
    <w:rsid w:val="00591894"/>
    <w:rsid w:val="005C2356"/>
    <w:rsid w:val="005C32FA"/>
    <w:rsid w:val="00616BD6"/>
    <w:rsid w:val="006873F9"/>
    <w:rsid w:val="00687900"/>
    <w:rsid w:val="006972EB"/>
    <w:rsid w:val="006A46ED"/>
    <w:rsid w:val="006D24E9"/>
    <w:rsid w:val="006F31F9"/>
    <w:rsid w:val="00710B25"/>
    <w:rsid w:val="00717576"/>
    <w:rsid w:val="0074470A"/>
    <w:rsid w:val="007550BB"/>
    <w:rsid w:val="007A00D0"/>
    <w:rsid w:val="007B7E80"/>
    <w:rsid w:val="007D4A9B"/>
    <w:rsid w:val="007E5664"/>
    <w:rsid w:val="0080095E"/>
    <w:rsid w:val="0085031C"/>
    <w:rsid w:val="00856732"/>
    <w:rsid w:val="00876ED1"/>
    <w:rsid w:val="0087773F"/>
    <w:rsid w:val="008E54A2"/>
    <w:rsid w:val="008F75F0"/>
    <w:rsid w:val="009255FC"/>
    <w:rsid w:val="0092599F"/>
    <w:rsid w:val="00943E45"/>
    <w:rsid w:val="00946493"/>
    <w:rsid w:val="009725B7"/>
    <w:rsid w:val="009A2AB4"/>
    <w:rsid w:val="009D5D2E"/>
    <w:rsid w:val="00A10686"/>
    <w:rsid w:val="00A24044"/>
    <w:rsid w:val="00A306A6"/>
    <w:rsid w:val="00A4455F"/>
    <w:rsid w:val="00A66DDE"/>
    <w:rsid w:val="00A72A0D"/>
    <w:rsid w:val="00A80538"/>
    <w:rsid w:val="00A92E0A"/>
    <w:rsid w:val="00A93A9E"/>
    <w:rsid w:val="00AA1D8B"/>
    <w:rsid w:val="00AA27AF"/>
    <w:rsid w:val="00AB6DCA"/>
    <w:rsid w:val="00AD2A43"/>
    <w:rsid w:val="00AE01EA"/>
    <w:rsid w:val="00AE048F"/>
    <w:rsid w:val="00AE0DEC"/>
    <w:rsid w:val="00B023D8"/>
    <w:rsid w:val="00B56F7C"/>
    <w:rsid w:val="00BB1421"/>
    <w:rsid w:val="00BB4C26"/>
    <w:rsid w:val="00BB527E"/>
    <w:rsid w:val="00BC2227"/>
    <w:rsid w:val="00BC57CD"/>
    <w:rsid w:val="00BF5489"/>
    <w:rsid w:val="00C013BE"/>
    <w:rsid w:val="00C248C9"/>
    <w:rsid w:val="00C30CA4"/>
    <w:rsid w:val="00C35CA9"/>
    <w:rsid w:val="00C630FB"/>
    <w:rsid w:val="00CC291B"/>
    <w:rsid w:val="00CE05A3"/>
    <w:rsid w:val="00D710B4"/>
    <w:rsid w:val="00DB6127"/>
    <w:rsid w:val="00DD4458"/>
    <w:rsid w:val="00DD622F"/>
    <w:rsid w:val="00DF25DC"/>
    <w:rsid w:val="00E35F34"/>
    <w:rsid w:val="00E416CB"/>
    <w:rsid w:val="00E45EE1"/>
    <w:rsid w:val="00E60C26"/>
    <w:rsid w:val="00E91DD2"/>
    <w:rsid w:val="00E92654"/>
    <w:rsid w:val="00EA500C"/>
    <w:rsid w:val="00EE07ED"/>
    <w:rsid w:val="00EE63EF"/>
    <w:rsid w:val="00F46A25"/>
    <w:rsid w:val="00F7493B"/>
    <w:rsid w:val="00FB1BB1"/>
    <w:rsid w:val="00FD0687"/>
    <w:rsid w:val="00FE2391"/>
    <w:rsid w:val="00FF3B63"/>
    <w:rsid w:val="010F7FF3"/>
    <w:rsid w:val="0132783D"/>
    <w:rsid w:val="01973B44"/>
    <w:rsid w:val="01B110AA"/>
    <w:rsid w:val="01CF78A9"/>
    <w:rsid w:val="01D408F4"/>
    <w:rsid w:val="01E52B01"/>
    <w:rsid w:val="02850A42"/>
    <w:rsid w:val="028D5673"/>
    <w:rsid w:val="03377308"/>
    <w:rsid w:val="03400653"/>
    <w:rsid w:val="035C6DF3"/>
    <w:rsid w:val="03C52284"/>
    <w:rsid w:val="03CC2E3F"/>
    <w:rsid w:val="03E07A24"/>
    <w:rsid w:val="04010771"/>
    <w:rsid w:val="04614900"/>
    <w:rsid w:val="049E640F"/>
    <w:rsid w:val="0536769A"/>
    <w:rsid w:val="056326BB"/>
    <w:rsid w:val="05654685"/>
    <w:rsid w:val="05797944"/>
    <w:rsid w:val="05C60E53"/>
    <w:rsid w:val="061834A6"/>
    <w:rsid w:val="06BC2999"/>
    <w:rsid w:val="06EA62AF"/>
    <w:rsid w:val="07141FFB"/>
    <w:rsid w:val="072D11D3"/>
    <w:rsid w:val="075A7AEE"/>
    <w:rsid w:val="077E37DC"/>
    <w:rsid w:val="07ED63BA"/>
    <w:rsid w:val="083D71F3"/>
    <w:rsid w:val="08805694"/>
    <w:rsid w:val="0A366F25"/>
    <w:rsid w:val="0A3B0DFB"/>
    <w:rsid w:val="0AF67B2D"/>
    <w:rsid w:val="0B8B7279"/>
    <w:rsid w:val="0BB35A1E"/>
    <w:rsid w:val="0BE31550"/>
    <w:rsid w:val="0C19056A"/>
    <w:rsid w:val="0C460641"/>
    <w:rsid w:val="0C6A2581"/>
    <w:rsid w:val="0D7E41C0"/>
    <w:rsid w:val="0DF12F71"/>
    <w:rsid w:val="0DF2455B"/>
    <w:rsid w:val="0E22728B"/>
    <w:rsid w:val="0E430C72"/>
    <w:rsid w:val="0E5005EE"/>
    <w:rsid w:val="0E901627"/>
    <w:rsid w:val="0E927B6D"/>
    <w:rsid w:val="0ECD6829"/>
    <w:rsid w:val="0F5B0AD8"/>
    <w:rsid w:val="0F6706FA"/>
    <w:rsid w:val="0FF55E19"/>
    <w:rsid w:val="100043DA"/>
    <w:rsid w:val="100861F5"/>
    <w:rsid w:val="104008CA"/>
    <w:rsid w:val="10861954"/>
    <w:rsid w:val="109936C0"/>
    <w:rsid w:val="109D38CF"/>
    <w:rsid w:val="10FA398C"/>
    <w:rsid w:val="1109408F"/>
    <w:rsid w:val="11114A2A"/>
    <w:rsid w:val="12106E4C"/>
    <w:rsid w:val="122D6A14"/>
    <w:rsid w:val="125D0315"/>
    <w:rsid w:val="12723F3D"/>
    <w:rsid w:val="12800054"/>
    <w:rsid w:val="12E50BB3"/>
    <w:rsid w:val="12E97419"/>
    <w:rsid w:val="12EA61CA"/>
    <w:rsid w:val="12F06CD6"/>
    <w:rsid w:val="12F4366A"/>
    <w:rsid w:val="13407241"/>
    <w:rsid w:val="1351449B"/>
    <w:rsid w:val="136E5207"/>
    <w:rsid w:val="13CF4DDF"/>
    <w:rsid w:val="14432C68"/>
    <w:rsid w:val="147F4543"/>
    <w:rsid w:val="14AD45A5"/>
    <w:rsid w:val="14D603F7"/>
    <w:rsid w:val="15897F1C"/>
    <w:rsid w:val="15A24B3A"/>
    <w:rsid w:val="15D11FBF"/>
    <w:rsid w:val="164269C1"/>
    <w:rsid w:val="172F064F"/>
    <w:rsid w:val="17406F4C"/>
    <w:rsid w:val="176240A1"/>
    <w:rsid w:val="18852E94"/>
    <w:rsid w:val="188774D8"/>
    <w:rsid w:val="18D07C10"/>
    <w:rsid w:val="18EF453A"/>
    <w:rsid w:val="19874772"/>
    <w:rsid w:val="199114CF"/>
    <w:rsid w:val="19D02D51"/>
    <w:rsid w:val="19D61256"/>
    <w:rsid w:val="19EC2827"/>
    <w:rsid w:val="1A8431D7"/>
    <w:rsid w:val="1A97322A"/>
    <w:rsid w:val="1B462B40"/>
    <w:rsid w:val="1B533222"/>
    <w:rsid w:val="1B6F28B5"/>
    <w:rsid w:val="1B7134A4"/>
    <w:rsid w:val="1B775FFD"/>
    <w:rsid w:val="1BA44236"/>
    <w:rsid w:val="1D04257E"/>
    <w:rsid w:val="1D1722B1"/>
    <w:rsid w:val="1D6F2079"/>
    <w:rsid w:val="1D8334A3"/>
    <w:rsid w:val="1DE657E0"/>
    <w:rsid w:val="1E2C0C7B"/>
    <w:rsid w:val="1E56548E"/>
    <w:rsid w:val="1E5E7AB7"/>
    <w:rsid w:val="1ED6468E"/>
    <w:rsid w:val="1F0423C1"/>
    <w:rsid w:val="1F582F19"/>
    <w:rsid w:val="1F7E6617"/>
    <w:rsid w:val="1F9A53C7"/>
    <w:rsid w:val="1FAF4A23"/>
    <w:rsid w:val="1FB71A49"/>
    <w:rsid w:val="1FC16504"/>
    <w:rsid w:val="20201DD2"/>
    <w:rsid w:val="20713A86"/>
    <w:rsid w:val="20A96F28"/>
    <w:rsid w:val="20BB2F53"/>
    <w:rsid w:val="20CC642B"/>
    <w:rsid w:val="21266E22"/>
    <w:rsid w:val="230A4E08"/>
    <w:rsid w:val="23BE5328"/>
    <w:rsid w:val="23C22462"/>
    <w:rsid w:val="241D0AE1"/>
    <w:rsid w:val="24213A15"/>
    <w:rsid w:val="242E247F"/>
    <w:rsid w:val="244F634C"/>
    <w:rsid w:val="246C44A3"/>
    <w:rsid w:val="24FA5FDF"/>
    <w:rsid w:val="254278B2"/>
    <w:rsid w:val="25771096"/>
    <w:rsid w:val="257F6C45"/>
    <w:rsid w:val="25C94365"/>
    <w:rsid w:val="25D32AED"/>
    <w:rsid w:val="25F41717"/>
    <w:rsid w:val="26373D44"/>
    <w:rsid w:val="265C6F87"/>
    <w:rsid w:val="26AC25EA"/>
    <w:rsid w:val="27280C17"/>
    <w:rsid w:val="273D2914"/>
    <w:rsid w:val="276E51C4"/>
    <w:rsid w:val="277C2A5A"/>
    <w:rsid w:val="27802801"/>
    <w:rsid w:val="278B6ABF"/>
    <w:rsid w:val="27C55A4B"/>
    <w:rsid w:val="282B38D4"/>
    <w:rsid w:val="28975DA4"/>
    <w:rsid w:val="28B07116"/>
    <w:rsid w:val="290179D1"/>
    <w:rsid w:val="29716F21"/>
    <w:rsid w:val="29746395"/>
    <w:rsid w:val="29767C96"/>
    <w:rsid w:val="297E0FC2"/>
    <w:rsid w:val="29D137E8"/>
    <w:rsid w:val="2A2B2EF8"/>
    <w:rsid w:val="2A5534B6"/>
    <w:rsid w:val="2A7538D9"/>
    <w:rsid w:val="2A7A11F2"/>
    <w:rsid w:val="2ACC03FA"/>
    <w:rsid w:val="2B200583"/>
    <w:rsid w:val="2B786611"/>
    <w:rsid w:val="2B870602"/>
    <w:rsid w:val="2BA32F62"/>
    <w:rsid w:val="2BBD04C8"/>
    <w:rsid w:val="2C471DB1"/>
    <w:rsid w:val="2CC66F08"/>
    <w:rsid w:val="2D0B3CAB"/>
    <w:rsid w:val="2D1C4D7A"/>
    <w:rsid w:val="2D421E52"/>
    <w:rsid w:val="2D83129D"/>
    <w:rsid w:val="2E1C4B3B"/>
    <w:rsid w:val="2E700AEB"/>
    <w:rsid w:val="2E9F2106"/>
    <w:rsid w:val="2EB931C8"/>
    <w:rsid w:val="2F4D3910"/>
    <w:rsid w:val="2F591351"/>
    <w:rsid w:val="2F6649D2"/>
    <w:rsid w:val="2F705F48"/>
    <w:rsid w:val="2F8E1D04"/>
    <w:rsid w:val="2FC25F6F"/>
    <w:rsid w:val="2FE31C25"/>
    <w:rsid w:val="300A16C4"/>
    <w:rsid w:val="3058256D"/>
    <w:rsid w:val="306E615E"/>
    <w:rsid w:val="30AC6B6F"/>
    <w:rsid w:val="30C33EB6"/>
    <w:rsid w:val="319F5D78"/>
    <w:rsid w:val="31B54F03"/>
    <w:rsid w:val="31D65E3F"/>
    <w:rsid w:val="32313075"/>
    <w:rsid w:val="323507EE"/>
    <w:rsid w:val="324E6BD4"/>
    <w:rsid w:val="325154C6"/>
    <w:rsid w:val="32D6192D"/>
    <w:rsid w:val="32E71505"/>
    <w:rsid w:val="331537EB"/>
    <w:rsid w:val="3345079E"/>
    <w:rsid w:val="33577F13"/>
    <w:rsid w:val="33727DEA"/>
    <w:rsid w:val="33C87A09"/>
    <w:rsid w:val="33CA19D4"/>
    <w:rsid w:val="34346E4D"/>
    <w:rsid w:val="34A95596"/>
    <w:rsid w:val="34FE4EE4"/>
    <w:rsid w:val="355840F6"/>
    <w:rsid w:val="35956011"/>
    <w:rsid w:val="35997BA3"/>
    <w:rsid w:val="35BC33BB"/>
    <w:rsid w:val="35FE3BB6"/>
    <w:rsid w:val="361B33FF"/>
    <w:rsid w:val="36541A28"/>
    <w:rsid w:val="36E55B81"/>
    <w:rsid w:val="373909D9"/>
    <w:rsid w:val="37427C49"/>
    <w:rsid w:val="37465BF0"/>
    <w:rsid w:val="3793545C"/>
    <w:rsid w:val="37FC67C9"/>
    <w:rsid w:val="38234CA6"/>
    <w:rsid w:val="38C04662"/>
    <w:rsid w:val="38E15F48"/>
    <w:rsid w:val="38FE0304"/>
    <w:rsid w:val="390A04B9"/>
    <w:rsid w:val="393E673C"/>
    <w:rsid w:val="396E4BAF"/>
    <w:rsid w:val="3986639D"/>
    <w:rsid w:val="39AA6EF6"/>
    <w:rsid w:val="3A5244D1"/>
    <w:rsid w:val="3A6B3EB0"/>
    <w:rsid w:val="3AA33826"/>
    <w:rsid w:val="3B2A71FC"/>
    <w:rsid w:val="3B6C511E"/>
    <w:rsid w:val="3B8B1A48"/>
    <w:rsid w:val="3BF50BF3"/>
    <w:rsid w:val="3CB70FF9"/>
    <w:rsid w:val="3D600CB3"/>
    <w:rsid w:val="3D6F6A60"/>
    <w:rsid w:val="3DB334D8"/>
    <w:rsid w:val="3DE13E4D"/>
    <w:rsid w:val="3E0E6961"/>
    <w:rsid w:val="3E1F3045"/>
    <w:rsid w:val="3E376D83"/>
    <w:rsid w:val="3E756C3B"/>
    <w:rsid w:val="3EAD617A"/>
    <w:rsid w:val="3EDD38BC"/>
    <w:rsid w:val="40041AB9"/>
    <w:rsid w:val="405008EF"/>
    <w:rsid w:val="40D62407"/>
    <w:rsid w:val="40EA3BA5"/>
    <w:rsid w:val="413A558E"/>
    <w:rsid w:val="422C3859"/>
    <w:rsid w:val="42343097"/>
    <w:rsid w:val="42347046"/>
    <w:rsid w:val="423A7D24"/>
    <w:rsid w:val="42503428"/>
    <w:rsid w:val="425D0E63"/>
    <w:rsid w:val="426A3716"/>
    <w:rsid w:val="42B9333F"/>
    <w:rsid w:val="43093872"/>
    <w:rsid w:val="432A293D"/>
    <w:rsid w:val="438331A6"/>
    <w:rsid w:val="43AD5695"/>
    <w:rsid w:val="43E51F12"/>
    <w:rsid w:val="44894F93"/>
    <w:rsid w:val="448B2AB9"/>
    <w:rsid w:val="44C12F2B"/>
    <w:rsid w:val="44C217C2"/>
    <w:rsid w:val="44E4041B"/>
    <w:rsid w:val="454B3FF6"/>
    <w:rsid w:val="45A007E6"/>
    <w:rsid w:val="45B0499E"/>
    <w:rsid w:val="45CC6583"/>
    <w:rsid w:val="46097902"/>
    <w:rsid w:val="46276D8B"/>
    <w:rsid w:val="46572546"/>
    <w:rsid w:val="467C0796"/>
    <w:rsid w:val="46A03696"/>
    <w:rsid w:val="47214032"/>
    <w:rsid w:val="474D22A8"/>
    <w:rsid w:val="47780323"/>
    <w:rsid w:val="47793236"/>
    <w:rsid w:val="479B02AA"/>
    <w:rsid w:val="47F4144A"/>
    <w:rsid w:val="48690B03"/>
    <w:rsid w:val="48E939CD"/>
    <w:rsid w:val="48EB7601"/>
    <w:rsid w:val="49245EEF"/>
    <w:rsid w:val="4A235542"/>
    <w:rsid w:val="4A484FA8"/>
    <w:rsid w:val="4A5C36AE"/>
    <w:rsid w:val="4A6151E9"/>
    <w:rsid w:val="4ACE3700"/>
    <w:rsid w:val="4AF34F14"/>
    <w:rsid w:val="4B602F97"/>
    <w:rsid w:val="4B7A73E4"/>
    <w:rsid w:val="4B821884"/>
    <w:rsid w:val="4BDC1E4C"/>
    <w:rsid w:val="4C634347"/>
    <w:rsid w:val="4D6B6BC2"/>
    <w:rsid w:val="4DC41FE3"/>
    <w:rsid w:val="4DDA0276"/>
    <w:rsid w:val="4E7500C4"/>
    <w:rsid w:val="4EB52D03"/>
    <w:rsid w:val="4F4C1097"/>
    <w:rsid w:val="4FF50B98"/>
    <w:rsid w:val="500A6903"/>
    <w:rsid w:val="50854860"/>
    <w:rsid w:val="50A50570"/>
    <w:rsid w:val="50E9534F"/>
    <w:rsid w:val="50EB0E92"/>
    <w:rsid w:val="512B6B4D"/>
    <w:rsid w:val="519354E2"/>
    <w:rsid w:val="519A1675"/>
    <w:rsid w:val="51A52CA2"/>
    <w:rsid w:val="522E717A"/>
    <w:rsid w:val="5230199D"/>
    <w:rsid w:val="52694166"/>
    <w:rsid w:val="527C1C93"/>
    <w:rsid w:val="52AF59A6"/>
    <w:rsid w:val="52FE2232"/>
    <w:rsid w:val="530B1F48"/>
    <w:rsid w:val="53123085"/>
    <w:rsid w:val="53202487"/>
    <w:rsid w:val="538232D9"/>
    <w:rsid w:val="53FA62F6"/>
    <w:rsid w:val="540D7E08"/>
    <w:rsid w:val="542813F0"/>
    <w:rsid w:val="5459613F"/>
    <w:rsid w:val="547C180A"/>
    <w:rsid w:val="54A379AB"/>
    <w:rsid w:val="54AA0D3A"/>
    <w:rsid w:val="558D34A5"/>
    <w:rsid w:val="55C71477"/>
    <w:rsid w:val="55CB540B"/>
    <w:rsid w:val="55D04F37"/>
    <w:rsid w:val="564822B6"/>
    <w:rsid w:val="56A25A40"/>
    <w:rsid w:val="56D51E02"/>
    <w:rsid w:val="56DC0F52"/>
    <w:rsid w:val="576D2C6B"/>
    <w:rsid w:val="57C00874"/>
    <w:rsid w:val="57DE3D7D"/>
    <w:rsid w:val="58507E4A"/>
    <w:rsid w:val="588D419D"/>
    <w:rsid w:val="5898359F"/>
    <w:rsid w:val="58C2612B"/>
    <w:rsid w:val="58CB22BD"/>
    <w:rsid w:val="594A33F5"/>
    <w:rsid w:val="596275C4"/>
    <w:rsid w:val="59E3092C"/>
    <w:rsid w:val="5A112068"/>
    <w:rsid w:val="5A230E8D"/>
    <w:rsid w:val="5A9F29C3"/>
    <w:rsid w:val="5AAA72D0"/>
    <w:rsid w:val="5AF410FA"/>
    <w:rsid w:val="5B81656C"/>
    <w:rsid w:val="5BC57C4D"/>
    <w:rsid w:val="5BD043CD"/>
    <w:rsid w:val="5BEA7F1D"/>
    <w:rsid w:val="5C121F37"/>
    <w:rsid w:val="5C91458D"/>
    <w:rsid w:val="5CC26E3C"/>
    <w:rsid w:val="5D06562C"/>
    <w:rsid w:val="5D542833"/>
    <w:rsid w:val="5D97657C"/>
    <w:rsid w:val="5EA27B33"/>
    <w:rsid w:val="5ECE0487"/>
    <w:rsid w:val="5F056663"/>
    <w:rsid w:val="5F2931A3"/>
    <w:rsid w:val="5F8B1494"/>
    <w:rsid w:val="5FCD5EB1"/>
    <w:rsid w:val="5FD749AD"/>
    <w:rsid w:val="60266E4D"/>
    <w:rsid w:val="60A26D69"/>
    <w:rsid w:val="61413A18"/>
    <w:rsid w:val="6189617B"/>
    <w:rsid w:val="618A1E17"/>
    <w:rsid w:val="619E4DEB"/>
    <w:rsid w:val="61C26C6A"/>
    <w:rsid w:val="62876B6D"/>
    <w:rsid w:val="62CA25A7"/>
    <w:rsid w:val="638400FB"/>
    <w:rsid w:val="64220608"/>
    <w:rsid w:val="646347B8"/>
    <w:rsid w:val="64A96947"/>
    <w:rsid w:val="64FB44D4"/>
    <w:rsid w:val="656B62C3"/>
    <w:rsid w:val="657C7E32"/>
    <w:rsid w:val="65A97B25"/>
    <w:rsid w:val="65BC08CD"/>
    <w:rsid w:val="66072951"/>
    <w:rsid w:val="6627673F"/>
    <w:rsid w:val="6639016F"/>
    <w:rsid w:val="66454B08"/>
    <w:rsid w:val="669A069F"/>
    <w:rsid w:val="67221847"/>
    <w:rsid w:val="67BA0D23"/>
    <w:rsid w:val="67D87514"/>
    <w:rsid w:val="680C6507"/>
    <w:rsid w:val="684B23DC"/>
    <w:rsid w:val="6873723D"/>
    <w:rsid w:val="68754258"/>
    <w:rsid w:val="68802B67"/>
    <w:rsid w:val="68E36170"/>
    <w:rsid w:val="69184ECC"/>
    <w:rsid w:val="693469CC"/>
    <w:rsid w:val="694F2539"/>
    <w:rsid w:val="69522EF8"/>
    <w:rsid w:val="69C064B2"/>
    <w:rsid w:val="69F82458"/>
    <w:rsid w:val="6A3F5FFF"/>
    <w:rsid w:val="6A725EC8"/>
    <w:rsid w:val="6A79577D"/>
    <w:rsid w:val="6B6142DB"/>
    <w:rsid w:val="6B801D48"/>
    <w:rsid w:val="6BD91EF0"/>
    <w:rsid w:val="6BDB5825"/>
    <w:rsid w:val="6C210BDB"/>
    <w:rsid w:val="6C3F3C6E"/>
    <w:rsid w:val="6C507B7A"/>
    <w:rsid w:val="6C8934D3"/>
    <w:rsid w:val="6CD64997"/>
    <w:rsid w:val="6CDA76FE"/>
    <w:rsid w:val="6CED1CB3"/>
    <w:rsid w:val="6D15623F"/>
    <w:rsid w:val="6D2F7BD6"/>
    <w:rsid w:val="6D485204"/>
    <w:rsid w:val="6D61260F"/>
    <w:rsid w:val="6D7F76F0"/>
    <w:rsid w:val="6DBD3639"/>
    <w:rsid w:val="6DDB1B0C"/>
    <w:rsid w:val="6EBD1212"/>
    <w:rsid w:val="6F18485B"/>
    <w:rsid w:val="6FE757AE"/>
    <w:rsid w:val="6FF3138F"/>
    <w:rsid w:val="703F7DF9"/>
    <w:rsid w:val="70515346"/>
    <w:rsid w:val="70547968"/>
    <w:rsid w:val="70AE3BFA"/>
    <w:rsid w:val="70C34E2E"/>
    <w:rsid w:val="71076495"/>
    <w:rsid w:val="71233EF6"/>
    <w:rsid w:val="714669D5"/>
    <w:rsid w:val="71D64AC4"/>
    <w:rsid w:val="71F238C8"/>
    <w:rsid w:val="71FC3124"/>
    <w:rsid w:val="7260577A"/>
    <w:rsid w:val="727B38BE"/>
    <w:rsid w:val="728F1117"/>
    <w:rsid w:val="72B727FD"/>
    <w:rsid w:val="72CF6A3C"/>
    <w:rsid w:val="72E370B9"/>
    <w:rsid w:val="73012BC2"/>
    <w:rsid w:val="73591E51"/>
    <w:rsid w:val="73596E37"/>
    <w:rsid w:val="73D019E7"/>
    <w:rsid w:val="73D327E9"/>
    <w:rsid w:val="73D43285"/>
    <w:rsid w:val="7416389E"/>
    <w:rsid w:val="744B0D8F"/>
    <w:rsid w:val="74A95A13"/>
    <w:rsid w:val="74D30DA5"/>
    <w:rsid w:val="74F4337B"/>
    <w:rsid w:val="75076222"/>
    <w:rsid w:val="76027FF4"/>
    <w:rsid w:val="762322A2"/>
    <w:rsid w:val="762F0612"/>
    <w:rsid w:val="76674885"/>
    <w:rsid w:val="766E4FBE"/>
    <w:rsid w:val="768014A2"/>
    <w:rsid w:val="76830391"/>
    <w:rsid w:val="76C515AB"/>
    <w:rsid w:val="771A3308"/>
    <w:rsid w:val="77D03E0B"/>
    <w:rsid w:val="7827310B"/>
    <w:rsid w:val="789202A9"/>
    <w:rsid w:val="79160434"/>
    <w:rsid w:val="792255C7"/>
    <w:rsid w:val="79FC2B32"/>
    <w:rsid w:val="7A4A4FAE"/>
    <w:rsid w:val="7A5E7D4D"/>
    <w:rsid w:val="7A711A72"/>
    <w:rsid w:val="7A9358E5"/>
    <w:rsid w:val="7AA747D5"/>
    <w:rsid w:val="7AD85477"/>
    <w:rsid w:val="7ADC6EC3"/>
    <w:rsid w:val="7AE04C06"/>
    <w:rsid w:val="7BC2624C"/>
    <w:rsid w:val="7BC63DFB"/>
    <w:rsid w:val="7C19642A"/>
    <w:rsid w:val="7C1E04A8"/>
    <w:rsid w:val="7C3D3992"/>
    <w:rsid w:val="7C3F2FD1"/>
    <w:rsid w:val="7C403542"/>
    <w:rsid w:val="7C67089C"/>
    <w:rsid w:val="7C6B04FF"/>
    <w:rsid w:val="7CC71437"/>
    <w:rsid w:val="7D1B06F2"/>
    <w:rsid w:val="7D7E6202"/>
    <w:rsid w:val="7DA7314D"/>
    <w:rsid w:val="7DDC4B79"/>
    <w:rsid w:val="7E0C7AC0"/>
    <w:rsid w:val="7E1352F2"/>
    <w:rsid w:val="7E4D25B2"/>
    <w:rsid w:val="7E7A42EF"/>
    <w:rsid w:val="7ED54A0D"/>
    <w:rsid w:val="7EF70770"/>
    <w:rsid w:val="7F3948E4"/>
    <w:rsid w:val="7F636347"/>
    <w:rsid w:val="7F903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14">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43"/>
    <w:qFormat/>
    <w:uiPriority w:val="0"/>
    <w:pPr>
      <w:jc w:val="left"/>
    </w:pPr>
  </w:style>
  <w:style w:type="paragraph" w:styleId="3">
    <w:name w:val="Body Text"/>
    <w:basedOn w:val="1"/>
    <w:qFormat/>
    <w:uiPriority w:val="0"/>
    <w:pPr>
      <w:spacing w:after="120"/>
    </w:pPr>
  </w:style>
  <w:style w:type="paragraph" w:styleId="4">
    <w:name w:val="toc 3"/>
    <w:basedOn w:val="1"/>
    <w:next w:val="1"/>
    <w:qFormat/>
    <w:uiPriority w:val="0"/>
    <w:pPr>
      <w:ind w:left="840" w:leftChars="400"/>
    </w:pPr>
  </w:style>
  <w:style w:type="paragraph" w:styleId="5">
    <w:name w:val="Balloon Text"/>
    <w:basedOn w:val="1"/>
    <w:link w:val="45"/>
    <w:qFormat/>
    <w:uiPriority w:val="0"/>
    <w:rPr>
      <w:sz w:val="18"/>
      <w:szCs w:val="18"/>
    </w:rPr>
  </w:style>
  <w:style w:type="paragraph" w:styleId="6">
    <w:name w:val="footer"/>
    <w:basedOn w:val="1"/>
    <w:qFormat/>
    <w:uiPriority w:val="0"/>
    <w:pPr>
      <w:tabs>
        <w:tab w:val="center" w:pos="4153"/>
        <w:tab w:val="right" w:pos="8306"/>
      </w:tabs>
      <w:snapToGrid w:val="0"/>
      <w:jc w:val="left"/>
    </w:pPr>
    <w:rPr>
      <w:sz w:val="18"/>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8">
    <w:name w:val="toc 1"/>
    <w:basedOn w:val="1"/>
    <w:next w:val="1"/>
    <w:qFormat/>
    <w:uiPriority w:val="0"/>
  </w:style>
  <w:style w:type="paragraph" w:styleId="9">
    <w:name w:val="toc 2"/>
    <w:basedOn w:val="1"/>
    <w:next w:val="1"/>
    <w:qFormat/>
    <w:uiPriority w:val="0"/>
    <w:pPr>
      <w:ind w:left="420" w:leftChars="200"/>
    </w:pPr>
  </w:style>
  <w:style w:type="paragraph" w:styleId="10">
    <w:name w:val="Normal (Web)"/>
    <w:basedOn w:val="1"/>
    <w:qFormat/>
    <w:uiPriority w:val="99"/>
    <w:rPr>
      <w:sz w:val="24"/>
    </w:rPr>
  </w:style>
  <w:style w:type="paragraph" w:styleId="11">
    <w:name w:val="annotation subject"/>
    <w:basedOn w:val="2"/>
    <w:next w:val="2"/>
    <w:link w:val="44"/>
    <w:qFormat/>
    <w:uiPriority w:val="0"/>
    <w:rPr>
      <w:b/>
      <w:bCs/>
    </w:rPr>
  </w:style>
  <w:style w:type="table" w:styleId="13">
    <w:name w:val="Table Grid"/>
    <w:basedOn w:val="1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5">
    <w:name w:val="Hyperlink"/>
    <w:basedOn w:val="14"/>
    <w:qFormat/>
    <w:uiPriority w:val="0"/>
    <w:rPr>
      <w:color w:val="0000FF"/>
      <w:u w:val="single"/>
    </w:rPr>
  </w:style>
  <w:style w:type="character" w:styleId="16">
    <w:name w:val="annotation reference"/>
    <w:basedOn w:val="14"/>
    <w:qFormat/>
    <w:uiPriority w:val="0"/>
    <w:rPr>
      <w:sz w:val="16"/>
      <w:szCs w:val="16"/>
    </w:rPr>
  </w:style>
  <w:style w:type="paragraph" w:customStyle="1" w:styleId="17">
    <w:name w:val="正文1"/>
    <w:qFormat/>
    <w:uiPriority w:val="0"/>
    <w:rPr>
      <w:rFonts w:hint="eastAsia" w:ascii="Arial Unicode MS" w:hAnsi="Arial Unicode MS" w:eastAsia="Arial Unicode MS" w:cs="Arial Unicode MS"/>
      <w:color w:val="000000"/>
      <w:sz w:val="22"/>
      <w:szCs w:val="22"/>
      <w:lang w:val="zh-CN" w:eastAsia="zh-CN" w:bidi="ar-SA"/>
    </w:rPr>
  </w:style>
  <w:style w:type="paragraph" w:styleId="18">
    <w:name w:val="List Paragraph"/>
    <w:basedOn w:val="1"/>
    <w:qFormat/>
    <w:uiPriority w:val="34"/>
    <w:pPr>
      <w:ind w:left="720"/>
      <w:contextualSpacing/>
    </w:pPr>
    <w:rPr>
      <w:szCs w:val="22"/>
    </w:rPr>
  </w:style>
  <w:style w:type="paragraph" w:customStyle="1" w:styleId="19">
    <w:name w:val="WPSOffice手动目录 1"/>
    <w:qFormat/>
    <w:uiPriority w:val="0"/>
    <w:rPr>
      <w:rFonts w:ascii="Times New Roman" w:hAnsi="Times New Roman" w:eastAsia="宋体" w:cs="Times New Roman"/>
      <w:lang w:val="en-US" w:eastAsia="zh-CN" w:bidi="ar-SA"/>
    </w:rPr>
  </w:style>
  <w:style w:type="paragraph" w:customStyle="1" w:styleId="20">
    <w:name w:val="WPSOffice手动目录 2"/>
    <w:qFormat/>
    <w:uiPriority w:val="0"/>
    <w:pPr>
      <w:ind w:left="200" w:leftChars="200"/>
    </w:pPr>
    <w:rPr>
      <w:rFonts w:ascii="Times New Roman" w:hAnsi="Times New Roman" w:eastAsia="宋体" w:cs="Times New Roman"/>
      <w:lang w:val="en-US" w:eastAsia="zh-CN" w:bidi="ar-SA"/>
    </w:rPr>
  </w:style>
  <w:style w:type="paragraph" w:customStyle="1" w:styleId="21">
    <w:name w:val="WPSOffice手动目录 3"/>
    <w:qFormat/>
    <w:uiPriority w:val="0"/>
    <w:pPr>
      <w:ind w:left="400" w:leftChars="400"/>
    </w:pPr>
    <w:rPr>
      <w:rFonts w:ascii="Times New Roman" w:hAnsi="Times New Roman" w:eastAsia="宋体" w:cs="Times New Roman"/>
      <w:lang w:val="en-US" w:eastAsia="zh-CN" w:bidi="ar-SA"/>
    </w:rPr>
  </w:style>
  <w:style w:type="paragraph" w:customStyle="1" w:styleId="22">
    <w:name w:val="标准文件_正文标准名称"/>
    <w:qFormat/>
    <w:uiPriority w:val="0"/>
    <w:pPr>
      <w:spacing w:before="560" w:after="640" w:line="400" w:lineRule="exact"/>
      <w:jc w:val="center"/>
    </w:pPr>
    <w:rPr>
      <w:rFonts w:ascii="黑体" w:hAnsi="黑体" w:eastAsia="黑体" w:cs="Times New Roman"/>
      <w:kern w:val="2"/>
      <w:sz w:val="32"/>
      <w:szCs w:val="32"/>
      <w:lang w:val="en-US" w:eastAsia="zh-CN" w:bidi="ar-SA"/>
    </w:rPr>
  </w:style>
  <w:style w:type="paragraph" w:customStyle="1" w:styleId="23">
    <w:name w:val="标准文件_章标题"/>
    <w:next w:val="24"/>
    <w:qFormat/>
    <w:uiPriority w:val="0"/>
    <w:pPr>
      <w:numPr>
        <w:ilvl w:val="1"/>
        <w:numId w:val="1"/>
      </w:numPr>
      <w:spacing w:before="100" w:beforeLines="100" w:after="100" w:afterLines="100"/>
      <w:jc w:val="both"/>
      <w:outlineLvl w:val="0"/>
    </w:pPr>
    <w:rPr>
      <w:rFonts w:ascii="黑体" w:hAnsi="Times New Roman" w:eastAsia="黑体" w:cs="Times New Roman"/>
      <w:sz w:val="21"/>
      <w:lang w:val="en-US" w:eastAsia="zh-CN" w:bidi="ar-SA"/>
    </w:rPr>
  </w:style>
  <w:style w:type="paragraph" w:customStyle="1" w:styleId="24">
    <w:name w:val="标准文件_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25">
    <w:name w:val="标准文件_术语条一"/>
    <w:basedOn w:val="26"/>
    <w:next w:val="24"/>
    <w:qFormat/>
    <w:uiPriority w:val="0"/>
  </w:style>
  <w:style w:type="paragraph" w:customStyle="1" w:styleId="26">
    <w:name w:val="标准文件_一级无标题"/>
    <w:basedOn w:val="27"/>
    <w:qFormat/>
    <w:uiPriority w:val="0"/>
    <w:pPr>
      <w:spacing w:before="0" w:beforeLines="0" w:after="0" w:afterLines="0"/>
      <w:outlineLvl w:val="9"/>
    </w:pPr>
    <w:rPr>
      <w:rFonts w:ascii="宋体" w:eastAsia="宋体"/>
    </w:rPr>
  </w:style>
  <w:style w:type="paragraph" w:customStyle="1" w:styleId="27">
    <w:name w:val="标准文件_一级条标题"/>
    <w:basedOn w:val="23"/>
    <w:next w:val="24"/>
    <w:qFormat/>
    <w:uiPriority w:val="0"/>
    <w:pPr>
      <w:numPr>
        <w:ilvl w:val="2"/>
      </w:numPr>
      <w:spacing w:before="50" w:beforeLines="50" w:after="50" w:afterLines="50"/>
      <w:outlineLvl w:val="1"/>
    </w:pPr>
  </w:style>
  <w:style w:type="paragraph" w:customStyle="1" w:styleId="28">
    <w:name w:val="标准文件_二级无标题"/>
    <w:basedOn w:val="29"/>
    <w:qFormat/>
    <w:uiPriority w:val="0"/>
    <w:pPr>
      <w:spacing w:before="0" w:beforeLines="0" w:after="0" w:afterLines="0"/>
      <w:outlineLvl w:val="9"/>
    </w:pPr>
    <w:rPr>
      <w:rFonts w:ascii="宋体" w:eastAsia="宋体"/>
    </w:rPr>
  </w:style>
  <w:style w:type="paragraph" w:customStyle="1" w:styleId="29">
    <w:name w:val="标准文件_二级条标题"/>
    <w:next w:val="24"/>
    <w:qFormat/>
    <w:uiPriority w:val="0"/>
    <w:pPr>
      <w:widowControl w:val="0"/>
      <w:numPr>
        <w:ilvl w:val="3"/>
        <w:numId w:val="1"/>
      </w:numPr>
      <w:spacing w:before="50" w:beforeLines="50" w:after="50" w:afterLines="50"/>
      <w:jc w:val="both"/>
      <w:outlineLvl w:val="2"/>
    </w:pPr>
    <w:rPr>
      <w:rFonts w:ascii="黑体" w:hAnsi="Times New Roman" w:eastAsia="黑体" w:cs="Times New Roman"/>
      <w:sz w:val="21"/>
      <w:lang w:val="en-US" w:eastAsia="zh-CN" w:bidi="ar-SA"/>
    </w:rPr>
  </w:style>
  <w:style w:type="paragraph" w:customStyle="1" w:styleId="30">
    <w:name w:val="标准文件_三级无标题"/>
    <w:basedOn w:val="31"/>
    <w:qFormat/>
    <w:uiPriority w:val="0"/>
    <w:pPr>
      <w:spacing w:before="0" w:beforeLines="0" w:after="0" w:afterLines="0"/>
      <w:outlineLvl w:val="9"/>
    </w:pPr>
    <w:rPr>
      <w:rFonts w:ascii="宋体" w:eastAsia="宋体"/>
    </w:rPr>
  </w:style>
  <w:style w:type="paragraph" w:customStyle="1" w:styleId="31">
    <w:name w:val="标准文件_三级条标题"/>
    <w:basedOn w:val="29"/>
    <w:next w:val="24"/>
    <w:qFormat/>
    <w:uiPriority w:val="0"/>
    <w:pPr>
      <w:widowControl/>
      <w:numPr>
        <w:ilvl w:val="4"/>
      </w:numPr>
      <w:outlineLvl w:val="3"/>
    </w:pPr>
  </w:style>
  <w:style w:type="paragraph" w:customStyle="1" w:styleId="32">
    <w:name w:val="标准文件_一级项"/>
    <w:qFormat/>
    <w:uiPriority w:val="0"/>
    <w:pPr>
      <w:numPr>
        <w:ilvl w:val="0"/>
        <w:numId w:val="2"/>
      </w:numPr>
    </w:pPr>
    <w:rPr>
      <w:rFonts w:ascii="宋体" w:hAnsi="Times New Roman" w:eastAsia="宋体" w:cs="Times New Roman"/>
      <w:sz w:val="21"/>
      <w:lang w:val="en-US" w:eastAsia="zh-CN" w:bidi="ar-SA"/>
    </w:rPr>
  </w:style>
  <w:style w:type="paragraph" w:customStyle="1" w:styleId="33">
    <w:name w:val="Table Text"/>
    <w:basedOn w:val="1"/>
    <w:semiHidden/>
    <w:qFormat/>
    <w:uiPriority w:val="0"/>
    <w:rPr>
      <w:rFonts w:ascii="宋体" w:hAnsi="宋体" w:eastAsia="宋体" w:cs="宋体"/>
      <w:szCs w:val="21"/>
      <w:lang w:eastAsia="en-US"/>
    </w:rPr>
  </w:style>
  <w:style w:type="table" w:customStyle="1" w:styleId="34">
    <w:name w:val="Table Normal"/>
    <w:semiHidden/>
    <w:unhideWhenUsed/>
    <w:qFormat/>
    <w:uiPriority w:val="0"/>
    <w:tblPr>
      <w:tblCellMar>
        <w:top w:w="0" w:type="dxa"/>
        <w:left w:w="0" w:type="dxa"/>
        <w:bottom w:w="0" w:type="dxa"/>
        <w:right w:w="0" w:type="dxa"/>
      </w:tblCellMar>
    </w:tblPr>
  </w:style>
  <w:style w:type="paragraph" w:customStyle="1" w:styleId="35">
    <w:name w:val="标准文件_字母编号列项（一级）"/>
    <w:qFormat/>
    <w:uiPriority w:val="0"/>
    <w:pPr>
      <w:numPr>
        <w:ilvl w:val="0"/>
        <w:numId w:val="3"/>
      </w:numPr>
      <w:jc w:val="both"/>
    </w:pPr>
    <w:rPr>
      <w:rFonts w:ascii="宋体" w:hAnsi="Times New Roman" w:eastAsia="宋体" w:cs="Times New Roman"/>
      <w:sz w:val="21"/>
      <w:lang w:val="en-US" w:eastAsia="zh-CN" w:bidi="ar-SA"/>
    </w:rPr>
  </w:style>
  <w:style w:type="character" w:customStyle="1" w:styleId="36">
    <w:name w:val="s1"/>
    <w:basedOn w:val="14"/>
    <w:qFormat/>
    <w:uiPriority w:val="0"/>
    <w:rPr>
      <w:rFonts w:hint="default" w:ascii="Arial" w:hAnsi="Arial" w:cs="Arial"/>
    </w:rPr>
  </w:style>
  <w:style w:type="paragraph" w:customStyle="1" w:styleId="37">
    <w:name w:val="标准文件_附录表标号"/>
    <w:basedOn w:val="24"/>
    <w:next w:val="24"/>
    <w:qFormat/>
    <w:uiPriority w:val="0"/>
    <w:pPr>
      <w:numPr>
        <w:ilvl w:val="0"/>
        <w:numId w:val="4"/>
      </w:numPr>
      <w:spacing w:line="14" w:lineRule="exact"/>
      <w:ind w:firstLine="0" w:firstLineChars="0"/>
      <w:jc w:val="center"/>
    </w:pPr>
    <w:rPr>
      <w:rFonts w:eastAsia="黑体"/>
      <w:vanish/>
      <w:sz w:val="2"/>
    </w:rPr>
  </w:style>
  <w:style w:type="paragraph" w:customStyle="1" w:styleId="38">
    <w:name w:val="标准文件_附录标识"/>
    <w:next w:val="24"/>
    <w:qFormat/>
    <w:uiPriority w:val="0"/>
    <w:pPr>
      <w:numPr>
        <w:ilvl w:val="0"/>
        <w:numId w:val="5"/>
      </w:numPr>
      <w:shd w:val="clear" w:color="FFFFFF" w:fill="FFFFFF"/>
      <w:tabs>
        <w:tab w:val="left" w:pos="6406"/>
      </w:tabs>
      <w:spacing w:before="560" w:after="50" w:afterLines="50"/>
      <w:jc w:val="center"/>
      <w:outlineLvl w:val="0"/>
    </w:pPr>
    <w:rPr>
      <w:rFonts w:ascii="黑体" w:hAnsi="Times New Roman" w:eastAsia="黑体" w:cs="Times New Roman"/>
      <w:sz w:val="21"/>
      <w:lang w:val="en-US" w:eastAsia="zh-CN" w:bidi="ar-SA"/>
    </w:rPr>
  </w:style>
  <w:style w:type="paragraph" w:customStyle="1" w:styleId="39">
    <w:name w:val="标准文件_附录图标题"/>
    <w:next w:val="24"/>
    <w:qFormat/>
    <w:uiPriority w:val="0"/>
    <w:pPr>
      <w:numPr>
        <w:ilvl w:val="1"/>
        <w:numId w:val="6"/>
      </w:numPr>
      <w:adjustRightInd w:val="0"/>
      <w:snapToGrid w:val="0"/>
      <w:spacing w:before="50" w:beforeLines="50" w:after="50" w:afterLines="50"/>
      <w:jc w:val="center"/>
    </w:pPr>
    <w:rPr>
      <w:rFonts w:ascii="黑体" w:hAnsi="Times New Roman" w:eastAsia="黑体" w:cs="Times New Roman"/>
      <w:sz w:val="21"/>
      <w:lang w:val="en-US" w:eastAsia="zh-CN" w:bidi="ar-SA"/>
    </w:rPr>
  </w:style>
  <w:style w:type="paragraph" w:customStyle="1" w:styleId="40">
    <w:name w:val="标准文件_示例内容"/>
    <w:basedOn w:val="24"/>
    <w:qFormat/>
    <w:uiPriority w:val="0"/>
    <w:pPr>
      <w:ind w:firstLine="420"/>
    </w:pPr>
    <w:rPr>
      <w:sz w:val="18"/>
    </w:rPr>
  </w:style>
  <w:style w:type="paragraph" w:customStyle="1" w:styleId="41">
    <w:name w:val="标准文件_页眉奇数页"/>
    <w:next w:val="1"/>
    <w:qFormat/>
    <w:uiPriority w:val="0"/>
    <w:pPr>
      <w:tabs>
        <w:tab w:val="center" w:pos="4154"/>
        <w:tab w:val="right" w:pos="8306"/>
      </w:tabs>
      <w:spacing w:after="120"/>
      <w:jc w:val="right"/>
    </w:pPr>
    <w:rPr>
      <w:rFonts w:ascii="黑体" w:hAnsi="宋体" w:eastAsia="黑体" w:cs="Times New Roman"/>
      <w:sz w:val="21"/>
      <w:lang w:val="en-US" w:eastAsia="zh-CN" w:bidi="ar-SA"/>
    </w:rPr>
  </w:style>
  <w:style w:type="paragraph" w:customStyle="1" w:styleId="42">
    <w:name w:val="标准文件_页脚奇数页"/>
    <w:qFormat/>
    <w:uiPriority w:val="0"/>
    <w:pPr>
      <w:ind w:right="227"/>
      <w:jc w:val="right"/>
    </w:pPr>
    <w:rPr>
      <w:rFonts w:ascii="宋体" w:hAnsi="Times New Roman" w:eastAsia="宋体" w:cs="Times New Roman"/>
      <w:sz w:val="18"/>
      <w:lang w:val="en-US" w:eastAsia="zh-CN" w:bidi="ar-SA"/>
    </w:rPr>
  </w:style>
  <w:style w:type="character" w:customStyle="1" w:styleId="43">
    <w:name w:val="批注文字 Char"/>
    <w:basedOn w:val="14"/>
    <w:link w:val="2"/>
    <w:qFormat/>
    <w:uiPriority w:val="0"/>
    <w:rPr>
      <w:rFonts w:asciiTheme="minorHAnsi" w:hAnsiTheme="minorHAnsi" w:eastAsiaTheme="minorEastAsia" w:cstheme="minorBidi"/>
      <w:kern w:val="2"/>
      <w:sz w:val="21"/>
      <w:szCs w:val="24"/>
    </w:rPr>
  </w:style>
  <w:style w:type="character" w:customStyle="1" w:styleId="44">
    <w:name w:val="批注主题 Char"/>
    <w:basedOn w:val="43"/>
    <w:link w:val="11"/>
    <w:qFormat/>
    <w:uiPriority w:val="0"/>
    <w:rPr>
      <w:rFonts w:asciiTheme="minorHAnsi" w:hAnsiTheme="minorHAnsi" w:eastAsiaTheme="minorEastAsia" w:cstheme="minorBidi"/>
      <w:b/>
      <w:bCs/>
      <w:kern w:val="2"/>
      <w:sz w:val="21"/>
      <w:szCs w:val="24"/>
    </w:rPr>
  </w:style>
  <w:style w:type="character" w:customStyle="1" w:styleId="45">
    <w:name w:val="批注框文本 Char"/>
    <w:basedOn w:val="14"/>
    <w:link w:val="5"/>
    <w:qFormat/>
    <w:uiPriority w:val="0"/>
    <w:rPr>
      <w:rFonts w:asciiTheme="minorHAnsi" w:hAnsiTheme="minorHAnsi" w:eastAsiaTheme="minorEastAsia" w:cstheme="minorBidi"/>
      <w:kern w:val="2"/>
      <w:sz w:val="18"/>
      <w:szCs w:val="18"/>
    </w:rPr>
  </w:style>
  <w:style w:type="character" w:styleId="46">
    <w:name w:val="Placeholder Text"/>
    <w:basedOn w:val="14"/>
    <w:semiHidden/>
    <w:qFormat/>
    <w:uiPriority w:val="99"/>
    <w:rPr>
      <w:color w:val="808080"/>
    </w:rPr>
  </w:style>
  <w:style w:type="paragraph" w:customStyle="1" w:styleId="47">
    <w:name w:val="段"/>
    <w:link w:val="48"/>
    <w:qFormat/>
    <w:uiPriority w:val="0"/>
    <w:pPr>
      <w:tabs>
        <w:tab w:val="center" w:pos="4201"/>
        <w:tab w:val="right" w:leader="dot" w:pos="9298"/>
      </w:tabs>
      <w:autoSpaceDE w:val="0"/>
      <w:autoSpaceDN w:val="0"/>
      <w:ind w:firstLine="420" w:firstLineChars="200"/>
      <w:jc w:val="both"/>
    </w:pPr>
    <w:rPr>
      <w:rFonts w:ascii="宋体" w:hAnsi="Times New Roman" w:eastAsia="宋体" w:cs="宋体"/>
      <w:sz w:val="21"/>
      <w:szCs w:val="21"/>
      <w:lang w:val="en-US" w:eastAsia="zh-CN" w:bidi="ar-SA"/>
    </w:rPr>
  </w:style>
  <w:style w:type="character" w:customStyle="1" w:styleId="48">
    <w:name w:val="段 Char"/>
    <w:link w:val="47"/>
    <w:qFormat/>
    <w:locked/>
    <w:uiPriority w:val="0"/>
    <w:rPr>
      <w:rFonts w:ascii="宋体" w:cs="宋体"/>
      <w:sz w:val="21"/>
      <w:szCs w:val="21"/>
    </w:rPr>
  </w:style>
  <w:style w:type="table" w:customStyle="1" w:styleId="49">
    <w:name w:val="网格型2"/>
    <w:basedOn w:val="12"/>
    <w:qFormat/>
    <w:uiPriority w:val="0"/>
    <w:rPr>
      <w:rFonts w:ascii="宋体"/>
      <w:sz w:val="18"/>
      <w:szCs w:val="18"/>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50">
    <w:name w:val="标准标志"/>
    <w:next w:val="1"/>
    <w:qFormat/>
    <w:uiPriority w:val="0"/>
    <w:pPr>
      <w:framePr w:w="2546" w:h="1389" w:hRule="exact" w:hSpace="181" w:vSpace="181" w:wrap="around" w:vAnchor="margin" w:hAnchor="margin" w:x="6522" w:y="398" w:anchorLock="1"/>
      <w:shd w:val="solid" w:color="FFFFFF" w:fill="FFFFFF"/>
      <w:spacing w:line="0" w:lineRule="atLeast"/>
      <w:jc w:val="right"/>
    </w:pPr>
    <w:rPr>
      <w:rFonts w:ascii="Times New Roman" w:hAnsi="Times New Roman" w:eastAsia="宋体" w:cs="Times New Roman"/>
      <w:b/>
      <w:w w:val="170"/>
      <w:sz w:val="96"/>
      <w:szCs w:val="96"/>
      <w:lang w:val="en-US" w:eastAsia="zh-CN" w:bidi="ar-SA"/>
    </w:rPr>
  </w:style>
  <w:style w:type="paragraph" w:customStyle="1" w:styleId="51">
    <w:name w:val="标准称谓"/>
    <w:next w:val="1"/>
    <w:qFormat/>
    <w:uiPriority w:val="0"/>
    <w:pPr>
      <w:framePr w:w="9639" w:h="624" w:hRule="exact" w:hSpace="181" w:vSpace="181" w:wrap="around" w:vAnchor="page" w:hAnchor="page" w:x="1419" w:y="2286" w:anchorLock="1"/>
      <w:widowControl w:val="0"/>
      <w:kinsoku w:val="0"/>
      <w:overflowPunct w:val="0"/>
      <w:autoSpaceDE w:val="0"/>
      <w:autoSpaceDN w:val="0"/>
      <w:spacing w:line="0" w:lineRule="atLeast"/>
      <w:jc w:val="distribute"/>
    </w:pPr>
    <w:rPr>
      <w:rFonts w:ascii="宋体" w:hAnsi="Times New Roman" w:eastAsia="宋体" w:cs="Times New Roman"/>
      <w:b/>
      <w:bCs/>
      <w:spacing w:val="20"/>
      <w:w w:val="148"/>
      <w:sz w:val="48"/>
      <w:lang w:val="en-US" w:eastAsia="zh-CN" w:bidi="ar-SA"/>
    </w:rPr>
  </w:style>
  <w:style w:type="paragraph" w:customStyle="1" w:styleId="52">
    <w:name w:val="标准文件_文件编号"/>
    <w:basedOn w:val="24"/>
    <w:qFormat/>
    <w:uiPriority w:val="0"/>
    <w:pPr>
      <w:framePr w:w="9356" w:h="624" w:hRule="exact" w:hSpace="181" w:vSpace="181" w:wrap="auto" w:vAnchor="page" w:hAnchor="page" w:x="1419" w:y="3284"/>
      <w:wordWrap w:val="0"/>
      <w:spacing w:line="280" w:lineRule="exact"/>
      <w:ind w:firstLine="0" w:firstLineChars="0"/>
      <w:jc w:val="right"/>
    </w:pPr>
    <w:rPr>
      <w:rFonts w:ascii="黑体" w:eastAsia="黑体"/>
      <w:bCs/>
      <w:sz w:val="28"/>
      <w:szCs w:val="28"/>
    </w:rPr>
  </w:style>
  <w:style w:type="paragraph" w:customStyle="1" w:styleId="53">
    <w:name w:val="标准文件_替换文件编号"/>
    <w:basedOn w:val="52"/>
    <w:qFormat/>
    <w:uiPriority w:val="0"/>
    <w:pPr>
      <w:spacing w:before="57"/>
    </w:pPr>
    <w:rPr>
      <w:sz w:val="21"/>
    </w:rPr>
  </w:style>
  <w:style w:type="paragraph" w:customStyle="1" w:styleId="54">
    <w:name w:val="标准书脚_偶数页"/>
    <w:qFormat/>
    <w:uiPriority w:val="0"/>
    <w:pPr>
      <w:spacing w:before="120"/>
      <w:ind w:left="221"/>
    </w:pPr>
    <w:rPr>
      <w:rFonts w:ascii="宋体" w:hAnsi="Times New Roman" w:eastAsia="宋体" w:cs="Times New Roman"/>
      <w:sz w:val="18"/>
      <w:szCs w:val="18"/>
      <w:lang w:val="en-US" w:eastAsia="zh-CN" w:bidi="ar-SA"/>
    </w:rPr>
  </w:style>
  <w:style w:type="paragraph" w:customStyle="1" w:styleId="55">
    <w:name w:val="封面标准英文名称"/>
    <w:basedOn w:val="56"/>
    <w:qFormat/>
    <w:uiPriority w:val="0"/>
    <w:pPr>
      <w:framePr w:wrap="around"/>
      <w:spacing w:before="370" w:line="400" w:lineRule="exact"/>
    </w:pPr>
    <w:rPr>
      <w:rFonts w:ascii="Times New Roman"/>
      <w:sz w:val="28"/>
      <w:szCs w:val="28"/>
    </w:rPr>
  </w:style>
  <w:style w:type="paragraph" w:customStyle="1" w:styleId="56">
    <w:name w:val="封面标准名称"/>
    <w:qFormat/>
    <w:uiPriority w:val="0"/>
    <w:pPr>
      <w:framePr w:w="9639" w:h="6917" w:hRule="exact" w:wrap="around" w:vAnchor="page" w:hAnchor="page" w:xAlign="center" w:y="6408" w:anchorLock="1"/>
      <w:widowControl w:val="0"/>
      <w:spacing w:line="680" w:lineRule="exact"/>
      <w:jc w:val="center"/>
      <w:textAlignment w:val="center"/>
    </w:pPr>
    <w:rPr>
      <w:rFonts w:ascii="黑体" w:hAnsi="Times New Roman" w:eastAsia="黑体" w:cs="Times New Roman"/>
      <w:sz w:val="52"/>
      <w:lang w:val="en-US" w:eastAsia="zh-CN" w:bidi="ar-SA"/>
    </w:rPr>
  </w:style>
  <w:style w:type="paragraph" w:customStyle="1" w:styleId="57">
    <w:name w:val="封面标准文稿编辑信息"/>
    <w:basedOn w:val="58"/>
    <w:qFormat/>
    <w:uiPriority w:val="0"/>
    <w:pPr>
      <w:framePr w:wrap="around"/>
      <w:spacing w:before="180" w:line="180" w:lineRule="exact"/>
    </w:pPr>
    <w:rPr>
      <w:sz w:val="21"/>
    </w:rPr>
  </w:style>
  <w:style w:type="paragraph" w:customStyle="1" w:styleId="58">
    <w:name w:val="封面标准文稿类别"/>
    <w:basedOn w:val="59"/>
    <w:qFormat/>
    <w:uiPriority w:val="0"/>
    <w:pPr>
      <w:framePr w:wrap="around"/>
      <w:spacing w:after="160" w:line="240" w:lineRule="auto"/>
    </w:pPr>
    <w:rPr>
      <w:sz w:val="24"/>
    </w:rPr>
  </w:style>
  <w:style w:type="paragraph" w:customStyle="1" w:styleId="59">
    <w:name w:val="封面一致性程度标识"/>
    <w:basedOn w:val="55"/>
    <w:qFormat/>
    <w:uiPriority w:val="0"/>
    <w:pPr>
      <w:framePr w:wrap="around"/>
      <w:spacing w:before="440"/>
    </w:pPr>
    <w:rPr>
      <w:rFonts w:ascii="宋体" w:eastAsia="宋体"/>
    </w:rPr>
  </w:style>
  <w:style w:type="paragraph" w:customStyle="1" w:styleId="60">
    <w:name w:val="其他发布日期"/>
    <w:basedOn w:val="61"/>
    <w:qFormat/>
    <w:uiPriority w:val="0"/>
    <w:pPr>
      <w:framePr w:wrap="around" w:vAnchor="page" w:hAnchor="text" w:x="1419"/>
    </w:pPr>
  </w:style>
  <w:style w:type="paragraph" w:customStyle="1" w:styleId="61">
    <w:name w:val="发布日期"/>
    <w:qFormat/>
    <w:uiPriority w:val="0"/>
    <w:pPr>
      <w:framePr w:w="3997" w:h="471" w:hRule="exact" w:vSpace="181" w:wrap="around" w:vAnchor="margin" w:hAnchor="page" w:x="7089" w:y="14097" w:anchorLock="1"/>
    </w:pPr>
    <w:rPr>
      <w:rFonts w:ascii="Times New Roman" w:hAnsi="Times New Roman" w:eastAsia="黑体" w:cs="Times New Roman"/>
      <w:sz w:val="28"/>
      <w:lang w:val="en-US" w:eastAsia="zh-CN" w:bidi="ar-SA"/>
    </w:rPr>
  </w:style>
  <w:style w:type="paragraph" w:customStyle="1" w:styleId="62">
    <w:name w:val="其他发布部门"/>
    <w:basedOn w:val="63"/>
    <w:qFormat/>
    <w:uiPriority w:val="0"/>
    <w:pPr>
      <w:framePr w:wrap="around" w:y="15310"/>
      <w:spacing w:line="0" w:lineRule="atLeast"/>
    </w:pPr>
    <w:rPr>
      <w:rFonts w:ascii="黑体" w:eastAsia="黑体"/>
      <w:b w:val="0"/>
    </w:rPr>
  </w:style>
  <w:style w:type="paragraph" w:customStyle="1" w:styleId="63">
    <w:name w:val="发布部门"/>
    <w:next w:val="47"/>
    <w:qFormat/>
    <w:uiPriority w:val="0"/>
    <w:pPr>
      <w:framePr w:w="7938" w:h="1134" w:hRule="exact" w:hSpace="125" w:vSpace="181" w:wrap="around" w:vAnchor="page" w:hAnchor="page" w:x="2150" w:y="14630" w:anchorLock="1"/>
      <w:jc w:val="center"/>
    </w:pPr>
    <w:rPr>
      <w:rFonts w:ascii="宋体" w:hAnsi="Times New Roman" w:eastAsia="宋体" w:cs="Times New Roman"/>
      <w:b/>
      <w:spacing w:val="20"/>
      <w:w w:val="135"/>
      <w:sz w:val="28"/>
      <w:lang w:val="en-US" w:eastAsia="zh-CN" w:bidi="ar-SA"/>
    </w:rPr>
  </w:style>
  <w:style w:type="character" w:customStyle="1" w:styleId="64">
    <w:name w:val="发布"/>
    <w:qFormat/>
    <w:uiPriority w:val="0"/>
    <w:rPr>
      <w:rFonts w:ascii="黑体" w:eastAsia="黑体"/>
      <w:spacing w:val="85"/>
      <w:w w:val="100"/>
      <w:position w:val="3"/>
      <w:sz w:val="28"/>
      <w:szCs w:val="28"/>
    </w:rPr>
  </w:style>
  <w:style w:type="paragraph" w:customStyle="1" w:styleId="65">
    <w:name w:val="其他实施日期"/>
    <w:basedOn w:val="66"/>
    <w:qFormat/>
    <w:uiPriority w:val="0"/>
    <w:pPr>
      <w:framePr w:wrap="around"/>
    </w:pPr>
  </w:style>
  <w:style w:type="paragraph" w:customStyle="1" w:styleId="66">
    <w:name w:val="实施日期"/>
    <w:basedOn w:val="61"/>
    <w:qFormat/>
    <w:uiPriority w:val="0"/>
    <w:pPr>
      <w:framePr w:wrap="around" w:vAnchor="page" w:hAnchor="text"/>
      <w:jc w:val="right"/>
    </w:pPr>
  </w:style>
</w:styles>
</file>

<file path=word/_rels/document.xml.rels><?xml version="1.0" encoding="UTF-8" standalone="yes"?>
<Relationships xmlns="http://schemas.openxmlformats.org/package/2006/relationships"><Relationship Id="rId9" Type="http://schemas.openxmlformats.org/officeDocument/2006/relationships/header" Target="header6.xml"/><Relationship Id="rId8" Type="http://schemas.openxmlformats.org/officeDocument/2006/relationships/header" Target="header5.xml"/><Relationship Id="rId7" Type="http://schemas.openxmlformats.org/officeDocument/2006/relationships/header" Target="header4.xml"/><Relationship Id="rId6" Type="http://schemas.openxmlformats.org/officeDocument/2006/relationships/header" Target="header3.xml"/><Relationship Id="rId5" Type="http://schemas.openxmlformats.org/officeDocument/2006/relationships/header" Target="header2.xml"/><Relationship Id="rId4" Type="http://schemas.openxmlformats.org/officeDocument/2006/relationships/header" Target="header1.xml"/><Relationship Id="rId3" Type="http://schemas.openxmlformats.org/officeDocument/2006/relationships/footer" Target="footer1.xml"/><Relationship Id="rId25" Type="http://schemas.openxmlformats.org/officeDocument/2006/relationships/glossaryDocument" Target="glossary/document.xml"/><Relationship Id="rId24" Type="http://schemas.openxmlformats.org/officeDocument/2006/relationships/fontTable" Target="fontTable.xml"/><Relationship Id="rId23" Type="http://schemas.openxmlformats.org/officeDocument/2006/relationships/customXml" Target="../customXml/item4.xml"/><Relationship Id="rId22" Type="http://schemas.openxmlformats.org/officeDocument/2006/relationships/customXml" Target="../customXml/item3.xml"/><Relationship Id="rId21" Type="http://schemas.openxmlformats.org/officeDocument/2006/relationships/customXml" Target="../customXml/item2.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image" Target="media/image3.jpeg"/><Relationship Id="rId17" Type="http://schemas.openxmlformats.org/officeDocument/2006/relationships/image" Target="media/image2.jpeg"/><Relationship Id="rId16" Type="http://schemas.openxmlformats.org/officeDocument/2006/relationships/image" Target="media/image1.tiff"/><Relationship Id="rId15" Type="http://schemas.openxmlformats.org/officeDocument/2006/relationships/theme" Target="theme/theme1.xml"/><Relationship Id="rId14" Type="http://schemas.openxmlformats.org/officeDocument/2006/relationships/footer" Target="footer3.xml"/><Relationship Id="rId13" Type="http://schemas.openxmlformats.org/officeDocument/2006/relationships/header" Target="header9.xml"/><Relationship Id="rId12" Type="http://schemas.openxmlformats.org/officeDocument/2006/relationships/header" Target="header8.xml"/><Relationship Id="rId11" Type="http://schemas.openxmlformats.org/officeDocument/2006/relationships/header" Target="header7.xml"/><Relationship Id="rId10" Type="http://schemas.openxmlformats.org/officeDocument/2006/relationships/footer" Target="footer2.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72c788d3-8554-4bcc-954b-4a460fd101bd}"/>
        <w:style w:val=""/>
        <w:category>
          <w:name w:val="常规"/>
          <w:gallery w:val="placeholder"/>
        </w:category>
        <w:types>
          <w:type w:val="bbPlcHdr"/>
        </w:types>
        <w:behaviors>
          <w:behavior w:val="content"/>
        </w:behaviors>
        <w:description w:val=""/>
        <w:guid w:val="{72C788D3-8554-4BCC-954B-4A460FD101BD}"/>
      </w:docPartPr>
      <w:docPartBody>
        <w:p w14:paraId="38604C44">
          <w:pPr>
            <w:pStyle w:val="4"/>
          </w:pPr>
          <w:r>
            <w:rPr>
              <w:rStyle w:val="5"/>
              <w:rFonts w:hint="eastAsia"/>
            </w:rPr>
            <w:t>单击或点击此处输入文字。</w:t>
          </w:r>
        </w:p>
      </w:docPartBody>
    </w:docPart>
    <w:docPart>
      <w:docPartPr>
        <w:name w:val="{bff5b573-3dd9-4598-aca0-7a93752c78e9}"/>
        <w:style w:val=""/>
        <w:category>
          <w:name w:val="常规"/>
          <w:gallery w:val="placeholder"/>
        </w:category>
        <w:types>
          <w:type w:val="bbPlcHdr"/>
        </w:types>
        <w:behaviors>
          <w:behavior w:val="content"/>
        </w:behaviors>
        <w:description w:val=""/>
        <w:guid w:val="{BFF5B573-3DD9-4598-ACA0-7A93752C78E9}"/>
      </w:docPartPr>
      <w:docPartBody>
        <w:p w14:paraId="6D852B19">
          <w:pPr>
            <w:pStyle w:val="6"/>
          </w:pPr>
          <w:r>
            <w:rPr>
              <w:rStyle w:val="5"/>
              <w:rFonts w:hint="eastAsia"/>
            </w:rPr>
            <w:t>选择一项。</w:t>
          </w:r>
        </w:p>
      </w:docPartBody>
    </w:docPart>
    <w:docPart>
      <w:docPartPr>
        <w:name w:val="{bb53f2c8-d2de-4ac7-ac47-48850b483ba0}"/>
        <w:style w:val=""/>
        <w:category>
          <w:name w:val="常规"/>
          <w:gallery w:val="placeholder"/>
        </w:category>
        <w:types>
          <w:type w:val="bbPlcHdr"/>
        </w:types>
        <w:behaviors>
          <w:behavior w:val="content"/>
        </w:behaviors>
        <w:description w:val=""/>
        <w:guid w:val="{BB53F2C8-D2DE-4AC7-AC47-48850B483BA0}"/>
      </w:docPartPr>
      <w:docPartBody>
        <w:p w14:paraId="1CA491C9">
          <w:pPr>
            <w:pStyle w:val="7"/>
          </w:pPr>
          <w:r>
            <w:rPr>
              <w:rStyle w:val="5"/>
              <w:rFonts w:hint="eastAsia"/>
            </w:rPr>
            <w:t>选择一项。</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bordersDoNotSurroundHeader w:val="1"/>
  <w:bordersDoNotSurroundFooter w:val="1"/>
  <w:defaultTabStop w:val="4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0355"/>
    <w:rsid w:val="001932F4"/>
    <w:rsid w:val="00195498"/>
    <w:rsid w:val="001C694E"/>
    <w:rsid w:val="00234B2D"/>
    <w:rsid w:val="002F4DE9"/>
    <w:rsid w:val="003425E8"/>
    <w:rsid w:val="00380355"/>
    <w:rsid w:val="00457860"/>
    <w:rsid w:val="004B23CE"/>
    <w:rsid w:val="004C722E"/>
    <w:rsid w:val="005237DE"/>
    <w:rsid w:val="00540757"/>
    <w:rsid w:val="00567457"/>
    <w:rsid w:val="00650274"/>
    <w:rsid w:val="006E0558"/>
    <w:rsid w:val="00813EEC"/>
    <w:rsid w:val="00825020"/>
    <w:rsid w:val="0090653B"/>
    <w:rsid w:val="009128A5"/>
    <w:rsid w:val="00956061"/>
    <w:rsid w:val="00972123"/>
    <w:rsid w:val="00A16274"/>
    <w:rsid w:val="00AF20A1"/>
    <w:rsid w:val="00C37B5E"/>
    <w:rsid w:val="00C92821"/>
    <w:rsid w:val="00CF0820"/>
    <w:rsid w:val="00E8629B"/>
    <w:rsid w:val="00ED2DD1"/>
    <w:rsid w:val="00FC5C6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iPriority="1" w:name="Default Paragraph Font"/>
    <w:lsdException w:qFormat="1" w:uiPriority="99" w:name="Normal Table"/>
    <w:lsdException w:qFormat="1" w:unhideWhenUsed="0" w:uiPriority="99" w:name="Placeholder Text"/>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customStyle="1" w:styleId="4">
    <w:name w:val="8B444AA12CBD40ACA96F499E1294C5D0"/>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styleId="5">
    <w:name w:val="Placeholder Text"/>
    <w:basedOn w:val="2"/>
    <w:semiHidden/>
    <w:qFormat/>
    <w:uiPriority w:val="99"/>
    <w:rPr>
      <w:color w:val="808080"/>
    </w:rPr>
  </w:style>
  <w:style w:type="paragraph" w:customStyle="1" w:styleId="6">
    <w:name w:val="89569D63AA1247B9AB50F0ABF568FFA0"/>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7">
    <w:name w:val="9E6351D5AAAC4AC894A5DC2C8D2E677C"/>
    <w:qFormat/>
    <w:uiPriority w:val="0"/>
    <w:pPr>
      <w:widowControl w:val="0"/>
      <w:jc w:val="both"/>
    </w:pPr>
    <w:rPr>
      <w:rFonts w:asciiTheme="minorHAnsi" w:hAnsiTheme="minorHAnsi" w:eastAsiaTheme="minorEastAsia" w:cstheme="minorBidi"/>
      <w:kern w:val="2"/>
      <w:sz w:val="21"/>
      <w:szCs w:val="22"/>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2051"/>
    <customShpInfo spid="_x0000_s2050"/>
    <customShpInfo spid="_x0000_s2049"/>
    <customShpInfo spid="_x0000_s2054"/>
    <customShpInfo spid="_x0000_s2053"/>
    <customShpInfo spid="_x0000_s2052"/>
    <customShpInfo spid="_x0000_s1026" textRotate="1"/>
    <customShpInfo spid="_x0000_s2057"/>
    <customShpInfo spid="_x0000_s2056"/>
    <customShpInfo spid="_x0000_s2055"/>
  </customShpExts>
</s:customData>
</file>

<file path=customXml/item2.xml><?xml version="1.0" encoding="utf-8"?>
<cxp:PackageInfo xmlns:cxp="http://www.founder.com/2010/customXmlParts">
  <ServiceInfos>
    <ServiceInfo name="稿件服务信息" ArticleId="5204" ParamsNode="144505;f14_253" DocInfo="false|false" EncryptNode="false" UploadFinish="true" RevisionTime="2025-09-14 16:04:03" customXmlPartId="{332ea0d0-8cd4-4cad-8434-e3f3e001bb62}"/>
  </ServiceInfos>
</cxp:PackageInfo>
</file>

<file path=customXml/item3.xml><?xml version="1.0" encoding="utf-8"?>
<xml>http://192.168.3.108/bookui/uploadZip.do</xml>
</file>

<file path=customXml/item4.xml><?xml version="1.0" encoding="utf-8"?>
<Root xmlns="http://www.founder.com/ProofFile">
  <Root proofFileId="3c228609-6a5a-4587-9684-f639b38eff3d" proofVersionId="1"/>
</Root>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0AE205E-C317-4138-B6E1-DA83FE9FCF5D}">
  <ds:schemaRefs/>
</ds:datastoreItem>
</file>

<file path=customXml/itemProps3.xml><?xml version="1.0" encoding="utf-8"?>
<ds:datastoreItem xmlns:ds="http://schemas.openxmlformats.org/officeDocument/2006/customXml" ds:itemID="{332EA0D0-8CD4-4CAD-8434-E3F3E001BB62}">
  <ds:schemaRefs/>
</ds:datastoreItem>
</file>

<file path=customXml/itemProps4.xml><?xml version="1.0" encoding="utf-8"?>
<ds:datastoreItem xmlns:ds="http://schemas.openxmlformats.org/officeDocument/2006/customXml" ds:itemID="{BA800C8B-B2C6-45D7-8258-09698006910E}">
  <ds:schemaRefs/>
</ds:datastoreItem>
</file>

<file path=docProps/app.xml><?xml version="1.0" encoding="utf-8"?>
<Properties xmlns="http://schemas.openxmlformats.org/officeDocument/2006/extended-properties" xmlns:vt="http://schemas.openxmlformats.org/officeDocument/2006/docPropsVTypes">
  <Template>Normal.dotm</Template>
  <Pages>16</Pages>
  <Words>63</Words>
  <Characters>126</Characters>
  <Lines>70</Lines>
  <Paragraphs>19</Paragraphs>
  <TotalTime>26</TotalTime>
  <ScaleCrop>false</ScaleCrop>
  <LinksUpToDate>false</LinksUpToDate>
  <CharactersWithSpaces>142</CharactersWithSpaces>
  <Application>WPS Office_12.1.0.29158_F1E327BC-269C-435d-A152-05C5408002CA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2026-10-21T02:00:00Z</dcterms:created>
  <dc:creator>MR</dc:creator>
  <cp:lastModifiedBy>赵方方</cp:lastModifiedBy>
  <cp:lastPrinted>2026-10-21T02:51:00Z</cp:lastPrinted>
  <dcterms:modified xsi:type="dcterms:W3CDTF">2026-10-28T06:25:58Z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2052-12.1.0.29158</vt:lpwstr>
  </property>
  <property fmtid="{D5CDD505-2E9C-101B-9397-08002B2CF9AE}" pid="3" name="ICV">
    <vt:lpwstr>03D566FA31AD45548DF7CA60929AB73F_13</vt:lpwstr>
  </property>
  <property fmtid="{D5CDD505-2E9C-101B-9397-08002B2CF9AE}" pid="4" name="KSOTemplateDocerSaveRecord">
    <vt:lpwstr>eyJoZGlkIjoiODgxOWM5YmJjZWM0ZDFhYjUwMGI4MWQ5ZTMzMGMxNTEiLCJ1c2VySWQiOiI5NDY1NjQ3MDEifQ==</vt:lpwstr>
  </property>
</Properties>
</file>