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1CD42">
      <w:pPr>
        <w:spacing w:line="360" w:lineRule="auto"/>
        <w:jc w:val="center"/>
        <w:rPr>
          <w:rFonts w:ascii="Times New Roman" w:hAnsi="Times New Roman" w:eastAsia="宋体" w:cs="Times New Roman"/>
          <w:b/>
          <w:bCs/>
          <w:sz w:val="36"/>
          <w:szCs w:val="36"/>
        </w:rPr>
      </w:pPr>
      <w:bookmarkStart w:id="6" w:name="_GoBack"/>
      <w:bookmarkEnd w:id="6"/>
      <w:r>
        <w:rPr>
          <w:rFonts w:ascii="Times New Roman" w:hAnsi="Times New Roman" w:eastAsia="宋体" w:cs="Times New Roman"/>
          <w:b/>
          <w:bCs/>
          <w:sz w:val="36"/>
          <w:szCs w:val="36"/>
        </w:rPr>
        <w:t>《明胶海绵栓塞微球》团体标准编制说明</w:t>
      </w:r>
    </w:p>
    <w:p w14:paraId="3F339DAC">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一、工作简况</w:t>
      </w:r>
    </w:p>
    <w:p w14:paraId="2768133F">
      <w:pPr>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1.任务来源及背景</w:t>
      </w:r>
    </w:p>
    <w:p w14:paraId="1EF9E901">
      <w:pPr>
        <w:widowControl/>
        <w:spacing w:line="360" w:lineRule="auto"/>
        <w:ind w:firstLine="480" w:firstLineChars="200"/>
        <w:jc w:val="left"/>
        <w:rPr>
          <w:rFonts w:ascii="Times New Roman" w:hAnsi="Times New Roman" w:eastAsia="宋体" w:cs="Times New Roman"/>
          <w:sz w:val="24"/>
          <w:szCs w:val="24"/>
        </w:rPr>
      </w:pPr>
      <w:bookmarkStart w:id="0" w:name="_Hlk209108067"/>
      <w:r>
        <w:rPr>
          <w:rFonts w:ascii="Times New Roman" w:hAnsi="Times New Roman" w:eastAsia="宋体" w:cs="Times New Roman"/>
          <w:kern w:val="2"/>
          <w:sz w:val="24"/>
          <w:szCs w:val="24"/>
          <w:lang w:val="en-US" w:eastAsia="zh-CN" w:bidi="ar"/>
        </w:rPr>
        <w:t>动脉栓塞（Transarterial embolization</w:t>
      </w:r>
      <w:r>
        <w:rPr>
          <w:rFonts w:hint="eastAsia" w:ascii="Times New Roman" w:hAnsi="Times New Roman" w:eastAsia="宋体" w:cs="Times New Roman"/>
          <w:kern w:val="2"/>
          <w:sz w:val="24"/>
          <w:szCs w:val="24"/>
          <w:lang w:val="en-US" w:eastAsia="zh-CN" w:bidi="ar"/>
        </w:rPr>
        <w:t>，TAE）</w:t>
      </w:r>
      <w:r>
        <w:rPr>
          <w:rFonts w:ascii="Times New Roman" w:hAnsi="Times New Roman" w:eastAsia="宋体" w:cs="Times New Roman"/>
          <w:sz w:val="24"/>
          <w:szCs w:val="24"/>
        </w:rPr>
        <w:t>是指医生在数字减影血管造影系统下进行血管造影，确定肿瘤供血动脉后，经过超选择插管将栓塞材料输送到肿瘤供血分支处，对流向肿瘤细胞的血管进行阻塞，切断肿瘤血氧等供应以饿死肿瘤。由于肿瘤细胞恶性扩增的特性，一般需要多次栓塞治疗，明胶海绵作为可降解的常见生物医用材料，现已被开发成颗粒或微球广泛应用于肿瘤的介入栓塞治疗。但明胶为可降解生物材料，</w:t>
      </w:r>
      <w:r>
        <w:rPr>
          <w:rFonts w:hint="eastAsia" w:ascii="Times New Roman" w:hAnsi="Times New Roman" w:eastAsia="宋体" w:cs="Times New Roman"/>
          <w:sz w:val="24"/>
          <w:szCs w:val="24"/>
          <w:lang w:val="en-US" w:eastAsia="zh-CN"/>
        </w:rPr>
        <w:t>多</w:t>
      </w:r>
      <w:r>
        <w:rPr>
          <w:rFonts w:ascii="Times New Roman" w:hAnsi="Times New Roman" w:eastAsia="宋体" w:cs="Times New Roman"/>
          <w:sz w:val="24"/>
          <w:szCs w:val="24"/>
        </w:rPr>
        <w:t>为动物源来源，其降解性能对肿瘤的栓塞效果、安全性影响</w:t>
      </w:r>
      <w:r>
        <w:rPr>
          <w:rFonts w:hint="eastAsia" w:ascii="Times New Roman" w:hAnsi="Times New Roman" w:eastAsia="宋体" w:cs="Times New Roman"/>
          <w:sz w:val="24"/>
          <w:szCs w:val="24"/>
          <w:lang w:val="en-US" w:eastAsia="zh-CN"/>
        </w:rPr>
        <w:t>较</w:t>
      </w:r>
      <w:r>
        <w:rPr>
          <w:rFonts w:ascii="Times New Roman" w:hAnsi="Times New Roman" w:eastAsia="宋体" w:cs="Times New Roman"/>
          <w:sz w:val="24"/>
          <w:szCs w:val="24"/>
        </w:rPr>
        <w:t>大且动物源材料的品质对产品性能</w:t>
      </w:r>
      <w:r>
        <w:rPr>
          <w:rFonts w:hint="eastAsia" w:ascii="Times New Roman" w:hAnsi="Times New Roman" w:eastAsia="宋体" w:cs="Times New Roman"/>
          <w:sz w:val="24"/>
          <w:szCs w:val="24"/>
          <w:lang w:val="en-US" w:eastAsia="zh-CN"/>
        </w:rPr>
        <w:t>亦有</w:t>
      </w:r>
      <w:r>
        <w:rPr>
          <w:rFonts w:ascii="Times New Roman" w:hAnsi="Times New Roman" w:eastAsia="宋体" w:cs="Times New Roman"/>
          <w:sz w:val="24"/>
          <w:szCs w:val="24"/>
        </w:rPr>
        <w:t>影响。目前介入栓塞领域暂未形成统一的明胶海绵</w:t>
      </w:r>
      <w:r>
        <w:rPr>
          <w:rFonts w:hint="eastAsia" w:ascii="Times New Roman" w:hAnsi="Times New Roman" w:eastAsia="宋体" w:cs="Times New Roman"/>
          <w:sz w:val="24"/>
          <w:szCs w:val="24"/>
          <w:lang w:val="en-US" w:eastAsia="zh-CN"/>
        </w:rPr>
        <w:t>栓塞</w:t>
      </w:r>
      <w:r>
        <w:rPr>
          <w:rFonts w:ascii="Times New Roman" w:hAnsi="Times New Roman" w:eastAsia="宋体" w:cs="Times New Roman"/>
          <w:sz w:val="24"/>
          <w:szCs w:val="24"/>
        </w:rPr>
        <w:t>微球产品相关</w:t>
      </w:r>
      <w:r>
        <w:rPr>
          <w:rFonts w:hint="eastAsia" w:ascii="Times New Roman" w:hAnsi="Times New Roman" w:eastAsia="宋体" w:cs="Times New Roman"/>
          <w:sz w:val="24"/>
          <w:szCs w:val="24"/>
          <w:lang w:val="en-US" w:eastAsia="zh-CN"/>
        </w:rPr>
        <w:t>的</w:t>
      </w:r>
      <w:r>
        <w:rPr>
          <w:rFonts w:ascii="Times New Roman" w:hAnsi="Times New Roman" w:eastAsia="宋体" w:cs="Times New Roman"/>
          <w:sz w:val="24"/>
          <w:szCs w:val="24"/>
        </w:rPr>
        <w:t>技术要求，不利于产品的开发与应用。因此，制定明胶海绵栓塞微球的标准对产品的研发、生产、应用及管理十分重要。</w:t>
      </w:r>
      <w:bookmarkEnd w:id="0"/>
    </w:p>
    <w:p w14:paraId="06678FA8">
      <w:pPr>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2.起草过程</w:t>
      </w:r>
    </w:p>
    <w:p w14:paraId="5CA6A5D4">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在确立标准起草任务后，由四川大川合颐生物科技有限公司牵头建立了团体标准起草工作小组，小组成员包括四川大川合颐生物科技有限公司、四川大学、四川微流控科技有限公司、四川迈可隆生物科技有限公司等，工作小组根据明胶海绵栓塞微球前期研究成果，开展了标准草案起草及技术指标验证工作。2025年9月至2026年</w:t>
      </w:r>
      <w:r>
        <w:rPr>
          <w:rFonts w:hint="eastAsia" w:ascii="Times New Roman" w:hAnsi="Times New Roman" w:eastAsia="宋体" w:cs="Times New Roman"/>
          <w:sz w:val="24"/>
          <w:szCs w:val="24"/>
        </w:rPr>
        <w:t>10</w:t>
      </w:r>
      <w:r>
        <w:rPr>
          <w:rFonts w:ascii="Times New Roman" w:hAnsi="Times New Roman" w:eastAsia="宋体" w:cs="Times New Roman"/>
          <w:sz w:val="24"/>
          <w:szCs w:val="24"/>
        </w:rPr>
        <w:t>月，3家第三方检验检测单位分别根据标准草案中的项目进行了验证工作。工作小组根据验证试验结果对标准草案进行了修订和完善，并最终形成征求意见稿。</w:t>
      </w:r>
    </w:p>
    <w:p w14:paraId="7D348292">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二、标准编制原则</w:t>
      </w:r>
      <w:r>
        <w:rPr>
          <w:rFonts w:hint="eastAsia" w:ascii="Times New Roman" w:hAnsi="Times New Roman" w:eastAsia="宋体" w:cs="Times New Roman"/>
          <w:b/>
          <w:bCs/>
          <w:sz w:val="24"/>
          <w:szCs w:val="24"/>
        </w:rPr>
        <w:t>、</w:t>
      </w:r>
      <w:r>
        <w:rPr>
          <w:rFonts w:ascii="Times New Roman" w:hAnsi="Times New Roman" w:eastAsia="宋体" w:cs="Times New Roman"/>
          <w:b/>
          <w:bCs/>
          <w:sz w:val="24"/>
          <w:szCs w:val="24"/>
        </w:rPr>
        <w:t>主要内容</w:t>
      </w:r>
      <w:r>
        <w:rPr>
          <w:rFonts w:hint="eastAsia" w:ascii="Times New Roman" w:hAnsi="Times New Roman" w:eastAsia="宋体" w:cs="Times New Roman"/>
          <w:b/>
          <w:bCs/>
          <w:sz w:val="24"/>
          <w:szCs w:val="24"/>
        </w:rPr>
        <w:t>及其</w:t>
      </w:r>
      <w:r>
        <w:rPr>
          <w:rFonts w:ascii="Times New Roman" w:hAnsi="Times New Roman" w:eastAsia="宋体" w:cs="Times New Roman"/>
          <w:b/>
          <w:bCs/>
          <w:sz w:val="24"/>
          <w:szCs w:val="24"/>
        </w:rPr>
        <w:t>确定依据</w:t>
      </w:r>
    </w:p>
    <w:p w14:paraId="3D611260">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本标准按照 GB/T 1.1-2020《标准化工作导则 第 1 部分：标准化文件的结构和起草规则》的规定起草，依据适用的国家标准及行业标准，并综合考虑明胶海绵栓塞微球的特殊风险控制要求、临床实际应用情况、栓塞微球产业发展现状及前期研究结果，确定本标准的主要内容。</w:t>
      </w:r>
    </w:p>
    <w:p w14:paraId="2210B665">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本标准的主要内容及确定依据如下：</w:t>
      </w:r>
    </w:p>
    <w:p w14:paraId="4C4F38B6">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1</w:t>
      </w:r>
      <w:r>
        <w:rPr>
          <w:rFonts w:ascii="Times New Roman" w:hAnsi="Times New Roman" w:eastAsia="宋体" w:cs="Times New Roman"/>
          <w:b/>
          <w:bCs/>
          <w:sz w:val="24"/>
          <w:szCs w:val="24"/>
        </w:rPr>
        <w:t>.外观</w:t>
      </w:r>
    </w:p>
    <w:p w14:paraId="163F7EC7">
      <w:pPr>
        <w:spacing w:line="360" w:lineRule="auto"/>
        <w:ind w:firstLine="480" w:firstLineChars="200"/>
        <w:rPr>
          <w:rFonts w:ascii="Times New Roman" w:hAnsi="Times New Roman" w:eastAsia="宋体" w:cs="Times New Roman"/>
          <w:sz w:val="24"/>
          <w:szCs w:val="24"/>
        </w:rPr>
      </w:pPr>
      <w:bookmarkStart w:id="1" w:name="_Hlk209529467"/>
      <w:r>
        <w:rPr>
          <w:rFonts w:ascii="Times New Roman" w:hAnsi="Times New Roman" w:eastAsia="宋体" w:cs="Times New Roman"/>
          <w:sz w:val="24"/>
          <w:szCs w:val="24"/>
        </w:rPr>
        <w:t>标准要求：</w:t>
      </w:r>
      <w:r>
        <w:rPr>
          <w:rFonts w:hint="eastAsia" w:ascii="Times New Roman" w:hAnsi="Times New Roman" w:eastAsia="宋体" w:cs="Times New Roman"/>
          <w:sz w:val="24"/>
          <w:szCs w:val="24"/>
        </w:rPr>
        <w:t>本产品分为</w:t>
      </w:r>
      <w:r>
        <w:rPr>
          <w:rFonts w:hint="eastAsia" w:ascii="Times New Roman" w:hAnsi="Times New Roman" w:eastAsia="宋体" w:cs="Times New Roman"/>
          <w:sz w:val="24"/>
          <w:szCs w:val="24"/>
          <w:lang w:val="en-US" w:eastAsia="zh-CN"/>
        </w:rPr>
        <w:t>本</w:t>
      </w:r>
      <w:r>
        <w:rPr>
          <w:rFonts w:hint="eastAsia" w:ascii="Times New Roman" w:hAnsi="Times New Roman" w:eastAsia="宋体" w:cs="Times New Roman"/>
          <w:sz w:val="24"/>
          <w:szCs w:val="24"/>
        </w:rPr>
        <w:t>色型和有色型，</w:t>
      </w:r>
      <w:r>
        <w:rPr>
          <w:rFonts w:hint="eastAsia" w:ascii="Times New Roman" w:hAnsi="Times New Roman" w:eastAsia="宋体" w:cs="Times New Roman"/>
          <w:sz w:val="24"/>
          <w:szCs w:val="24"/>
          <w:lang w:val="en-US" w:eastAsia="zh-CN"/>
        </w:rPr>
        <w:t>本</w:t>
      </w:r>
      <w:r>
        <w:rPr>
          <w:rFonts w:hint="eastAsia" w:ascii="Times New Roman" w:hAnsi="Times New Roman" w:eastAsia="宋体" w:cs="Times New Roman"/>
          <w:sz w:val="24"/>
          <w:szCs w:val="24"/>
        </w:rPr>
        <w:t>色型呈类白色至黄色或黄褐色的颗粒（干态）或微球（湿态），保存液（若有）应澄清。有色型应符合制造商规定的要求</w:t>
      </w:r>
      <w:r>
        <w:rPr>
          <w:rFonts w:ascii="Times New Roman" w:hAnsi="Times New Roman" w:eastAsia="宋体" w:cs="Times New Roman"/>
          <w:sz w:val="24"/>
          <w:szCs w:val="24"/>
        </w:rPr>
        <w:t>。</w:t>
      </w:r>
      <w:bookmarkEnd w:id="1"/>
    </w:p>
    <w:p w14:paraId="1F7C45C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Times New Roman" w:hAnsi="Times New Roman" w:eastAsia="宋体" w:cs="Times New Roman"/>
          <w:sz w:val="24"/>
          <w:szCs w:val="24"/>
          <w:lang w:val="en-US" w:eastAsia="zh-CN"/>
        </w:rPr>
        <w:t>本</w:t>
      </w:r>
      <w:r>
        <w:rPr>
          <w:rFonts w:hint="eastAsia" w:ascii="Times New Roman" w:hAnsi="Times New Roman" w:eastAsia="宋体" w:cs="Times New Roman"/>
          <w:sz w:val="24"/>
          <w:szCs w:val="24"/>
        </w:rPr>
        <w:t>色型为</w:t>
      </w:r>
      <w:r>
        <w:rPr>
          <w:rFonts w:ascii="Times New Roman" w:hAnsi="Times New Roman" w:eastAsia="宋体" w:cs="Times New Roman"/>
          <w:sz w:val="24"/>
          <w:szCs w:val="24"/>
        </w:rPr>
        <w:t>产品本身性能</w:t>
      </w:r>
      <w:r>
        <w:rPr>
          <w:rFonts w:hint="eastAsia" w:ascii="Times New Roman" w:hAnsi="Times New Roman" w:eastAsia="宋体" w:cs="Times New Roman"/>
          <w:sz w:val="24"/>
          <w:szCs w:val="24"/>
        </w:rPr>
        <w:t>（由明胶经过交联剂交联而成）；有色型制造商根据实际情况进行确定</w:t>
      </w:r>
      <w:r>
        <w:rPr>
          <w:rFonts w:ascii="Times New Roman" w:hAnsi="Times New Roman" w:eastAsia="宋体" w:cs="Times New Roman"/>
          <w:sz w:val="24"/>
          <w:szCs w:val="24"/>
        </w:rPr>
        <w:t>。</w:t>
      </w:r>
    </w:p>
    <w:p w14:paraId="1CEF57E9">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.物理性能</w:t>
      </w:r>
    </w:p>
    <w:p w14:paraId="250C414A">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.1装量</w:t>
      </w:r>
    </w:p>
    <w:p w14:paraId="62317DD6">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标准要求：应规定微球和保存液（若有）的质量或体积以及</w:t>
      </w:r>
      <w:r>
        <w:rPr>
          <w:rFonts w:hint="eastAsia" w:ascii="Times New Roman" w:hAnsi="Times New Roman" w:eastAsia="宋体" w:cs="Times New Roman"/>
          <w:sz w:val="24"/>
          <w:szCs w:val="24"/>
        </w:rPr>
        <w:t>最低装量</w:t>
      </w:r>
      <w:r>
        <w:rPr>
          <w:rFonts w:ascii="Times New Roman" w:hAnsi="Times New Roman" w:eastAsia="宋体" w:cs="Times New Roman"/>
          <w:sz w:val="24"/>
          <w:szCs w:val="24"/>
        </w:rPr>
        <w:t>，干球宜用质量表示，湿球可以用质量或体积表示。</w:t>
      </w:r>
    </w:p>
    <w:p w14:paraId="26325A17">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制定依据：制造商根据产品实际情况规定。</w:t>
      </w:r>
    </w:p>
    <w:p w14:paraId="1FB55F4C">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.2尺寸</w:t>
      </w:r>
    </w:p>
    <w:p w14:paraId="6E22E258">
      <w:pPr>
        <w:pStyle w:val="11"/>
        <w:spacing w:line="360" w:lineRule="auto"/>
        <w:rPr>
          <w:rFonts w:ascii="Times New Roman"/>
          <w:kern w:val="2"/>
          <w:sz w:val="24"/>
          <w:szCs w:val="24"/>
        </w:rPr>
      </w:pPr>
      <w:r>
        <w:rPr>
          <w:rFonts w:ascii="Times New Roman" w:hAnsi="Times New Roman" w:eastAsia="宋体" w:cs="Times New Roman"/>
          <w:sz w:val="24"/>
          <w:szCs w:val="24"/>
        </w:rPr>
        <w:t>标准要求：</w:t>
      </w:r>
      <w:r>
        <w:rPr>
          <w:rFonts w:hint="default" w:ascii="Times New Roman"/>
          <w:kern w:val="2"/>
          <w:sz w:val="24"/>
          <w:szCs w:val="24"/>
        </w:rPr>
        <w:t>若为干态微球应规定栓塞微球溶胀前后的尺寸范围，以及满足尺寸范围的微球百分比；若为</w:t>
      </w:r>
      <w:r>
        <w:rPr>
          <w:rFonts w:hint="default" w:ascii="Times New Roman"/>
          <w:kern w:val="2"/>
          <w:sz w:val="24"/>
          <w:szCs w:val="24"/>
          <w:lang w:val="en-US" w:eastAsia="zh-CN"/>
        </w:rPr>
        <w:t>湿</w:t>
      </w:r>
      <w:r>
        <w:rPr>
          <w:rFonts w:hint="default" w:ascii="Times New Roman"/>
          <w:kern w:val="2"/>
          <w:sz w:val="24"/>
          <w:szCs w:val="24"/>
        </w:rPr>
        <w:t>态微球，应规定</w:t>
      </w:r>
      <w:r>
        <w:rPr>
          <w:rFonts w:hint="default" w:ascii="Times New Roman"/>
          <w:kern w:val="2"/>
          <w:sz w:val="24"/>
          <w:szCs w:val="24"/>
          <w:lang w:val="en-US" w:eastAsia="zh-CN"/>
        </w:rPr>
        <w:t>湿球</w:t>
      </w:r>
      <w:r>
        <w:rPr>
          <w:rFonts w:hint="default" w:ascii="Times New Roman"/>
          <w:kern w:val="2"/>
          <w:sz w:val="24"/>
          <w:szCs w:val="24"/>
        </w:rPr>
        <w:t>尺寸范围以及满足尺寸范围的微球百分比。</w:t>
      </w:r>
    </w:p>
    <w:p w14:paraId="25AA3B28">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制定依据：制造商根据产品实际情况规定。</w:t>
      </w:r>
    </w:p>
    <w:p w14:paraId="38261D3A">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.3不溶性微粒</w:t>
      </w:r>
    </w:p>
    <w:p w14:paraId="293C1782">
      <w:pPr>
        <w:spacing w:line="360" w:lineRule="auto"/>
        <w:ind w:firstLine="480" w:firstLineChars="200"/>
        <w:rPr>
          <w:rFonts w:ascii="Times New Roman" w:hAnsi="Times New Roman" w:eastAsia="宋体" w:cs="Times New Roman"/>
          <w:sz w:val="24"/>
          <w:szCs w:val="24"/>
        </w:rPr>
      </w:pPr>
      <w:bookmarkStart w:id="2" w:name="_Hlk209197502"/>
      <w:r>
        <w:rPr>
          <w:rFonts w:ascii="Times New Roman" w:hAnsi="Times New Roman" w:eastAsia="宋体" w:cs="Times New Roman"/>
          <w:sz w:val="24"/>
          <w:szCs w:val="24"/>
        </w:rPr>
        <w:t>标准要求：在规定量的溶液和规定温度下溶胀后（干态）或保存液（湿态微球）的上清液</w:t>
      </w:r>
      <w:bookmarkEnd w:id="2"/>
      <w:r>
        <w:rPr>
          <w:rFonts w:ascii="Times New Roman" w:hAnsi="Times New Roman" w:eastAsia="宋体" w:cs="Times New Roman"/>
          <w:sz w:val="24"/>
          <w:szCs w:val="24"/>
        </w:rPr>
        <w:t>或滤液中≥10 μm的不溶性微粒数不得超过</w:t>
      </w:r>
      <w:r>
        <w:rPr>
          <w:rFonts w:hint="eastAsia" w:ascii="Times New Roman" w:hAnsi="Times New Roman" w:eastAsia="宋体" w:cs="Times New Roman"/>
          <w:sz w:val="24"/>
          <w:szCs w:val="24"/>
        </w:rPr>
        <w:t>6</w:t>
      </w:r>
      <w:r>
        <w:rPr>
          <w:rFonts w:ascii="Times New Roman" w:hAnsi="Times New Roman" w:eastAsia="宋体" w:cs="Times New Roman"/>
          <w:sz w:val="24"/>
          <w:szCs w:val="24"/>
        </w:rPr>
        <w:t>000粒，≥25 μm的不溶性微粒数不得超过</w:t>
      </w:r>
      <w:r>
        <w:rPr>
          <w:rFonts w:hint="eastAsia" w:ascii="Times New Roman" w:hAnsi="Times New Roman" w:eastAsia="宋体" w:cs="Times New Roman"/>
          <w:sz w:val="24"/>
          <w:szCs w:val="24"/>
        </w:rPr>
        <w:t>6</w:t>
      </w:r>
      <w:r>
        <w:rPr>
          <w:rFonts w:ascii="Times New Roman" w:hAnsi="Times New Roman" w:eastAsia="宋体" w:cs="Times New Roman"/>
          <w:sz w:val="24"/>
          <w:szCs w:val="24"/>
        </w:rPr>
        <w:t>00粒。</w:t>
      </w:r>
    </w:p>
    <w:p w14:paraId="1F4D636D">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制定依据：中国药典2025版 四部 0903 不溶性微粒检查法：标示装为100mL以下的注射液、注射用无菌粉末、注射用浓溶液及供注射用无菌原料药，除另有规定外，每个供试品容器（份</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rPr>
        <w:t>中含10μm及10μm以上的粒数不得过</w:t>
      </w:r>
      <w:r>
        <w:rPr>
          <w:rFonts w:hint="eastAsia" w:ascii="Times New Roman" w:hAnsi="Times New Roman" w:eastAsia="宋体" w:cs="Times New Roman"/>
          <w:sz w:val="24"/>
          <w:szCs w:val="24"/>
        </w:rPr>
        <w:t>6</w:t>
      </w:r>
      <w:r>
        <w:rPr>
          <w:rFonts w:ascii="Times New Roman" w:hAnsi="Times New Roman" w:eastAsia="宋体" w:cs="Times New Roman"/>
          <w:sz w:val="24"/>
          <w:szCs w:val="24"/>
        </w:rPr>
        <w:t>000粒，含25μm及25μm以上的微粒数不得过</w:t>
      </w:r>
      <w:r>
        <w:rPr>
          <w:rFonts w:hint="eastAsia" w:ascii="Times New Roman" w:hAnsi="Times New Roman" w:eastAsia="宋体" w:cs="Times New Roman"/>
          <w:sz w:val="24"/>
          <w:szCs w:val="24"/>
        </w:rPr>
        <w:t>6</w:t>
      </w:r>
      <w:r>
        <w:rPr>
          <w:rFonts w:ascii="Times New Roman" w:hAnsi="Times New Roman" w:eastAsia="宋体" w:cs="Times New Roman"/>
          <w:sz w:val="24"/>
          <w:szCs w:val="24"/>
        </w:rPr>
        <w:t>00粒。</w:t>
      </w:r>
    </w:p>
    <w:p w14:paraId="015E9D1D">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.4含水率</w:t>
      </w:r>
    </w:p>
    <w:p w14:paraId="25BE0E9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标准要求：干态微球的含水率应不超过10%。</w:t>
      </w:r>
    </w:p>
    <w:p w14:paraId="09A899A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制定依据：YY/T 1283-2016 可吸收性明胶海绵 4.3 干燥失重并结合产品特点制定。</w:t>
      </w:r>
    </w:p>
    <w:p w14:paraId="0741B0E3">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.5悬浮性</w:t>
      </w:r>
    </w:p>
    <w:p w14:paraId="7E2BBC2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标准要求：应结合产品的临床实际使用方式和需求，规定产品与适宜比例的造影剂混合后达到悬浮状态的时间和微球维持悬浮状态的时间。</w:t>
      </w:r>
    </w:p>
    <w:p w14:paraId="1133BDE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微球在临床推注过程中应维持悬浮状态，避免堵塞导管，而参考《原发性肝癌诊疗指南（2024年版）》及临床使用，临床常采用1mL注射器进行栓塞微球的推注，且推荐推注速度为1mL/min，因此微球维持悬浮状态的时间应不小于1min。</w:t>
      </w:r>
    </w:p>
    <w:p w14:paraId="6EDD475E">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.6导管通过性</w:t>
      </w:r>
    </w:p>
    <w:p w14:paraId="2086540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标准要求：微球与适宜比例的造影剂共混后可从</w:t>
      </w:r>
      <w:r>
        <w:rPr>
          <w:rFonts w:hint="eastAsia" w:ascii="Times New Roman" w:hAnsi="Times New Roman" w:eastAsia="宋体" w:cs="Times New Roman"/>
          <w:sz w:val="24"/>
          <w:szCs w:val="24"/>
        </w:rPr>
        <w:t>制造商</w:t>
      </w:r>
      <w:r>
        <w:rPr>
          <w:rFonts w:ascii="Times New Roman" w:hAnsi="Times New Roman" w:eastAsia="宋体" w:cs="Times New Roman"/>
          <w:sz w:val="24"/>
          <w:szCs w:val="24"/>
        </w:rPr>
        <w:t>推荐的导管内顺利通过，注射过程全程顺畅，无阻塞、堵管现象，微球通过后无破损。</w:t>
      </w:r>
    </w:p>
    <w:p w14:paraId="46A61E4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制定依据：微球通过导管过程中应顺利流畅，且注射过程中不应出现阻塞、堵管等现象，且在通过导管后，应无破损等情况，避免破损微球出现栓塞效果不佳或异位栓塞等情况。</w:t>
      </w:r>
    </w:p>
    <w:p w14:paraId="58B6A9F6">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.7压缩弹性</w:t>
      </w:r>
    </w:p>
    <w:p w14:paraId="72A33036">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标准要求：湿态微球状态下和与适宜比例的造影剂共混后的状态下，微球被压缩至形变量至少30%时，释放压力后应能恢复原来的形状，且微球不应破裂、损坏。</w:t>
      </w:r>
    </w:p>
    <w:p w14:paraId="34E777EE">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Segoe UI" w:hAnsi="Segoe UI" w:eastAsia="宋体" w:cs="Segoe UI"/>
          <w:color w:val="0F1115"/>
          <w:sz w:val="24"/>
          <w:szCs w:val="24"/>
          <w:shd w:val="clear" w:color="auto" w:fill="FFFFFF"/>
        </w:rPr>
        <w:t>根据临床使用情况，栓塞微球需顺利通过导管且能有效栓塞病灶部位，需依靠其有效的压缩弹性形变量，</w:t>
      </w:r>
      <w:r>
        <w:rPr>
          <w:rFonts w:ascii="Segoe UI" w:hAnsi="Segoe UI" w:eastAsia="Segoe UI" w:cs="Segoe UI"/>
          <w:color w:val="0F1115"/>
          <w:sz w:val="24"/>
          <w:szCs w:val="24"/>
          <w:shd w:val="clear" w:color="auto" w:fill="FFFFFF"/>
        </w:rPr>
        <w:t>如果弹性形变能力不足（太硬），推注阻力会过大，可能导致导管堵塞或微球破碎</w:t>
      </w:r>
      <w:r>
        <w:rPr>
          <w:rFonts w:hint="eastAsia" w:ascii="Segoe UI" w:hAnsi="Segoe UI" w:eastAsia="宋体" w:cs="Segoe UI"/>
          <w:color w:val="0F1115"/>
          <w:sz w:val="24"/>
          <w:szCs w:val="24"/>
          <w:shd w:val="clear" w:color="auto" w:fill="FFFFFF"/>
        </w:rPr>
        <w:t>，且无法</w:t>
      </w:r>
      <w:r>
        <w:rPr>
          <w:rFonts w:ascii="Segoe UI" w:hAnsi="Segoe UI" w:eastAsia="Segoe UI" w:cs="Segoe UI"/>
          <w:color w:val="0F1115"/>
          <w:sz w:val="24"/>
          <w:szCs w:val="24"/>
          <w:shd w:val="clear" w:color="auto" w:fill="FFFFFF"/>
        </w:rPr>
        <w:t>依靠自身的弹性回弹来顺应血管形状、填塞管腔并阻断血流</w:t>
      </w:r>
      <w:r>
        <w:rPr>
          <w:rFonts w:hint="eastAsia" w:ascii="Segoe UI" w:hAnsi="Segoe UI" w:eastAsia="宋体" w:cs="Segoe UI"/>
          <w:color w:val="0F1115"/>
          <w:sz w:val="24"/>
          <w:szCs w:val="24"/>
          <w:shd w:val="clear" w:color="auto" w:fill="FFFFFF"/>
        </w:rPr>
        <w:t>。</w:t>
      </w:r>
    </w:p>
    <w:p w14:paraId="797D6C64">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.8溶胀时间</w:t>
      </w:r>
    </w:p>
    <w:p w14:paraId="5BB4445E">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标准要求：应结合临床实际使用方式和需求，规定干态微球在规定量的溶液下达到平衡溶胀状态的时间。</w:t>
      </w:r>
    </w:p>
    <w:p w14:paraId="2D767E9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Times New Roman" w:hAnsi="Times New Roman" w:eastAsia="宋体" w:cs="Times New Roman"/>
          <w:sz w:val="24"/>
          <w:szCs w:val="24"/>
        </w:rPr>
        <w:t>根据明胶</w:t>
      </w:r>
      <w:r>
        <w:rPr>
          <w:rFonts w:hint="eastAsia" w:ascii="Times New Roman" w:hAnsi="Times New Roman" w:eastAsia="宋体" w:cs="Times New Roman"/>
          <w:sz w:val="24"/>
          <w:szCs w:val="24"/>
          <w:lang w:val="en-US" w:eastAsia="zh-CN"/>
        </w:rPr>
        <w:t>海绵</w:t>
      </w:r>
      <w:r>
        <w:rPr>
          <w:rFonts w:hint="eastAsia" w:ascii="Times New Roman" w:hAnsi="Times New Roman" w:eastAsia="宋体" w:cs="Times New Roman"/>
          <w:sz w:val="24"/>
          <w:szCs w:val="24"/>
        </w:rPr>
        <w:t>栓塞微球多批次研究结果以及产品本身的特点制订。</w:t>
      </w:r>
    </w:p>
    <w:p w14:paraId="2DAFB6B9">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2</w:t>
      </w:r>
      <w:r>
        <w:rPr>
          <w:rFonts w:ascii="Times New Roman" w:hAnsi="Times New Roman" w:eastAsia="宋体" w:cs="Times New Roman"/>
          <w:b/>
          <w:bCs/>
          <w:sz w:val="24"/>
          <w:szCs w:val="24"/>
        </w:rPr>
        <w:t>.9溶胀率</w:t>
      </w:r>
    </w:p>
    <w:p w14:paraId="49019240">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w:t>
      </w:r>
      <w:r>
        <w:rPr>
          <w:rFonts w:hint="eastAsia" w:ascii="Times New Roman" w:hAnsi="Times New Roman" w:eastAsia="宋体" w:cs="Times New Roman"/>
          <w:color w:val="auto"/>
          <w:sz w:val="24"/>
          <w:szCs w:val="24"/>
        </w:rPr>
        <w:t>应规定干态微球的溶胀率范围</w:t>
      </w:r>
      <w:r>
        <w:rPr>
          <w:rFonts w:ascii="Times New Roman" w:hAnsi="Times New Roman" w:eastAsia="宋体" w:cs="Times New Roman"/>
          <w:sz w:val="24"/>
          <w:szCs w:val="24"/>
        </w:rPr>
        <w:t>。</w:t>
      </w:r>
    </w:p>
    <w:p w14:paraId="2CDB6FA3">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Times New Roman" w:hAnsi="Times New Roman" w:eastAsia="宋体" w:cs="Times New Roman"/>
          <w:sz w:val="24"/>
          <w:szCs w:val="24"/>
          <w:lang w:val="en-US" w:eastAsia="zh-CN"/>
        </w:rPr>
        <w:t>参考</w:t>
      </w:r>
      <w:r>
        <w:rPr>
          <w:rFonts w:hint="default" w:ascii="Times New Roman" w:hAnsi="Times New Roman" w:eastAsia="宋体" w:cs="Times New Roman"/>
          <w:sz w:val="24"/>
          <w:szCs w:val="24"/>
        </w:rPr>
        <w:t>YY/T</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0962-2021</w:t>
      </w: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整形手术交联透明质酸钠凝胶</w:t>
      </w:r>
      <w:r>
        <w:rPr>
          <w:rFonts w:hint="eastAsia"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rPr>
        <w:t>《</w:t>
      </w:r>
      <w:r>
        <w:rPr>
          <w:rFonts w:hint="eastAsia" w:ascii="Times New Roman" w:hAnsi="Times New Roman" w:eastAsia="宋体" w:cs="Times New Roman"/>
          <w:color w:val="auto"/>
          <w:sz w:val="24"/>
          <w:szCs w:val="24"/>
        </w:rPr>
        <w:t>栓塞颗粒注册审查指导原则（征求意见稿）》</w:t>
      </w:r>
      <w:r>
        <w:rPr>
          <w:rFonts w:hint="eastAsia" w:ascii="Times New Roman" w:hAnsi="Times New Roman" w:eastAsia="宋体" w:cs="Times New Roman"/>
          <w:color w:val="auto"/>
          <w:sz w:val="24"/>
          <w:szCs w:val="24"/>
          <w:lang w:val="en-US" w:eastAsia="zh-CN"/>
        </w:rPr>
        <w:t>对明胶海绵栓塞微球的溶胀率进行表征，并</w:t>
      </w:r>
      <w:r>
        <w:rPr>
          <w:rFonts w:hint="eastAsia" w:ascii="Times New Roman" w:hAnsi="Times New Roman" w:eastAsia="宋体" w:cs="Times New Roman"/>
          <w:sz w:val="24"/>
          <w:szCs w:val="24"/>
        </w:rPr>
        <w:t>根据明胶</w:t>
      </w:r>
      <w:r>
        <w:rPr>
          <w:rFonts w:hint="eastAsia" w:ascii="Times New Roman" w:hAnsi="Times New Roman" w:eastAsia="宋体" w:cs="Times New Roman"/>
          <w:sz w:val="24"/>
          <w:szCs w:val="24"/>
          <w:lang w:val="en-US" w:eastAsia="zh-CN"/>
        </w:rPr>
        <w:t>海绵</w:t>
      </w:r>
      <w:r>
        <w:rPr>
          <w:rFonts w:hint="eastAsia" w:ascii="Times New Roman" w:hAnsi="Times New Roman" w:eastAsia="宋体" w:cs="Times New Roman"/>
          <w:sz w:val="24"/>
          <w:szCs w:val="24"/>
        </w:rPr>
        <w:t>栓塞微球多批次研究结果以及产品本身的特点制订</w:t>
      </w:r>
      <w:r>
        <w:rPr>
          <w:rFonts w:hint="eastAsia" w:ascii="Times New Roman" w:hAnsi="Times New Roman" w:eastAsia="宋体" w:cs="Times New Roman"/>
          <w:sz w:val="24"/>
          <w:szCs w:val="24"/>
          <w:lang w:val="en-US" w:eastAsia="zh-CN"/>
        </w:rPr>
        <w:t>此限度</w:t>
      </w:r>
      <w:r>
        <w:rPr>
          <w:rFonts w:hint="eastAsia" w:ascii="Times New Roman" w:hAnsi="Times New Roman" w:eastAsia="宋体" w:cs="Times New Roman"/>
          <w:sz w:val="24"/>
          <w:szCs w:val="24"/>
        </w:rPr>
        <w:t>。</w:t>
      </w:r>
    </w:p>
    <w:p w14:paraId="5C54802F">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3</w:t>
      </w:r>
      <w:r>
        <w:rPr>
          <w:rFonts w:ascii="Times New Roman" w:hAnsi="Times New Roman" w:eastAsia="宋体" w:cs="Times New Roman"/>
          <w:b/>
          <w:bCs/>
          <w:sz w:val="24"/>
          <w:szCs w:val="24"/>
        </w:rPr>
        <w:t>.化学性能</w:t>
      </w:r>
    </w:p>
    <w:p w14:paraId="30C66A3C">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3</w:t>
      </w:r>
      <w:r>
        <w:rPr>
          <w:rFonts w:ascii="Times New Roman" w:hAnsi="Times New Roman" w:eastAsia="宋体" w:cs="Times New Roman"/>
          <w:b/>
          <w:bCs/>
          <w:sz w:val="24"/>
          <w:szCs w:val="24"/>
        </w:rPr>
        <w:t>.1 pH值</w:t>
      </w:r>
    </w:p>
    <w:p w14:paraId="46E64D7F">
      <w:pPr>
        <w:spacing w:line="360" w:lineRule="auto"/>
        <w:ind w:firstLine="480" w:firstLineChars="200"/>
        <w:rPr>
          <w:rFonts w:ascii="Times New Roman" w:hAnsi="Times New Roman" w:eastAsia="宋体" w:cs="Times New Roman"/>
          <w:sz w:val="24"/>
          <w:szCs w:val="24"/>
        </w:rPr>
      </w:pPr>
      <w:bookmarkStart w:id="3" w:name="_Hlk175587844"/>
      <w:r>
        <w:rPr>
          <w:rFonts w:ascii="Times New Roman" w:hAnsi="Times New Roman" w:eastAsia="宋体" w:cs="Times New Roman"/>
          <w:sz w:val="24"/>
          <w:szCs w:val="24"/>
        </w:rPr>
        <w:t>标准要求：</w:t>
      </w:r>
      <w:r>
        <w:rPr>
          <w:rFonts w:hint="eastAsia" w:ascii="Times New Roman" w:hAnsi="Times New Roman" w:eastAsia="宋体" w:cs="Times New Roman"/>
          <w:sz w:val="24"/>
          <w:szCs w:val="24"/>
        </w:rPr>
        <w:t>适用时，</w:t>
      </w:r>
      <w:bookmarkStart w:id="4" w:name="_Hlk209537416"/>
      <w:r>
        <w:rPr>
          <w:rFonts w:hint="eastAsia" w:ascii="Times New Roman" w:hAnsi="Times New Roman" w:eastAsia="宋体" w:cs="Times New Roman"/>
          <w:sz w:val="24"/>
          <w:szCs w:val="24"/>
        </w:rPr>
        <w:t>应规定保存液（湿球状态）或达到溶胀</w:t>
      </w:r>
      <w:bookmarkEnd w:id="4"/>
      <w:r>
        <w:rPr>
          <w:rFonts w:hint="eastAsia" w:ascii="Times New Roman" w:hAnsi="Times New Roman" w:eastAsia="宋体" w:cs="Times New Roman"/>
          <w:sz w:val="24"/>
          <w:szCs w:val="24"/>
        </w:rPr>
        <w:t>平衡状态（干态）的上清液的pH值。</w:t>
      </w:r>
    </w:p>
    <w:p w14:paraId="142B5483">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Times New Roman" w:hAnsi="Times New Roman" w:eastAsia="宋体" w:cs="Times New Roman"/>
          <w:sz w:val="24"/>
          <w:szCs w:val="24"/>
          <w:lang w:val="en-US" w:eastAsia="zh-CN"/>
        </w:rPr>
        <w:t>制造商根据产品实际情况进行制定</w:t>
      </w:r>
      <w:r>
        <w:rPr>
          <w:rFonts w:ascii="Times New Roman" w:hAnsi="Times New Roman" w:eastAsia="宋体" w:cs="Times New Roman"/>
          <w:sz w:val="24"/>
          <w:szCs w:val="24"/>
        </w:rPr>
        <w:t>。</w:t>
      </w:r>
      <w:r>
        <w:rPr>
          <w:rFonts w:hint="eastAsia" w:ascii="Times New Roman" w:hAnsi="Times New Roman" w:eastAsia="宋体" w:cs="Times New Roman"/>
          <w:sz w:val="24"/>
          <w:szCs w:val="24"/>
        </w:rPr>
        <w:t xml:space="preserve"> </w:t>
      </w:r>
    </w:p>
    <w:bookmarkEnd w:id="3"/>
    <w:p w14:paraId="0C37E8D7">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3</w:t>
      </w:r>
      <w:r>
        <w:rPr>
          <w:rFonts w:ascii="Times New Roman" w:hAnsi="Times New Roman" w:eastAsia="宋体" w:cs="Times New Roman"/>
          <w:b/>
          <w:bCs/>
          <w:sz w:val="24"/>
          <w:szCs w:val="24"/>
        </w:rPr>
        <w:t>.2重金属</w:t>
      </w:r>
    </w:p>
    <w:p w14:paraId="57EC4291">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标准要求：应对微球进行消解后测试，重金属总含量应不超过10μg/g；镉含量应不超过1μg/g。</w:t>
      </w:r>
    </w:p>
    <w:p w14:paraId="6B42168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制定依据：参考YY 0954-2015 《无源外科植入物-I型胶原蛋白植入剂》7.3.6</w:t>
      </w:r>
      <w:r>
        <w:rPr>
          <w:rFonts w:hint="eastAsia" w:ascii="Times New Roman" w:hAnsi="Times New Roman" w:eastAsia="宋体" w:cs="Times New Roman"/>
          <w:sz w:val="24"/>
          <w:szCs w:val="24"/>
        </w:rPr>
        <w:t>以及ICH（元素杂质指导原则）Q3D（R2）进行制订。</w:t>
      </w:r>
    </w:p>
    <w:p w14:paraId="1DC292F0">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3</w:t>
      </w:r>
      <w:r>
        <w:rPr>
          <w:rFonts w:ascii="Times New Roman" w:hAnsi="Times New Roman" w:eastAsia="宋体" w:cs="Times New Roman"/>
          <w:b/>
          <w:bCs/>
          <w:sz w:val="24"/>
          <w:szCs w:val="24"/>
        </w:rPr>
        <w:t>.3工艺残留</w:t>
      </w:r>
    </w:p>
    <w:p w14:paraId="4C8BC7FF">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标准要求：应符合厂商的规定，可根据日最大允许使用剂量，结合各残留物的毒理学数据，给出相应的残留量限值。</w:t>
      </w:r>
    </w:p>
    <w:p w14:paraId="53EF8266">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制定依据：参考</w:t>
      </w:r>
      <w:r>
        <w:rPr>
          <w:rFonts w:hint="eastAsia" w:ascii="Times New Roman" w:hAnsi="Times New Roman" w:eastAsia="宋体" w:cs="Times New Roman"/>
          <w:sz w:val="24"/>
          <w:szCs w:val="24"/>
        </w:rPr>
        <w:t>ICH（杂质：残留溶剂指导原则）Q3C（R9）以及《中国药典》2025年版四部通则0861残留溶剂的要求制订相关限度。</w:t>
      </w:r>
    </w:p>
    <w:p w14:paraId="72F2BB82">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3</w:t>
      </w:r>
      <w:r>
        <w:rPr>
          <w:rFonts w:ascii="Times New Roman" w:hAnsi="Times New Roman" w:eastAsia="宋体" w:cs="Times New Roman"/>
          <w:b/>
          <w:bCs/>
          <w:sz w:val="24"/>
          <w:szCs w:val="24"/>
        </w:rPr>
        <w:t>.7交联度</w:t>
      </w:r>
    </w:p>
    <w:p w14:paraId="65106B2D">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标准要求：应符合厂商的规定，可根据微球降解需求给出范围。</w:t>
      </w:r>
    </w:p>
    <w:p w14:paraId="497D511E">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Times New Roman" w:hAnsi="Times New Roman" w:eastAsia="宋体" w:cs="Times New Roman"/>
          <w:sz w:val="24"/>
          <w:szCs w:val="24"/>
        </w:rPr>
        <w:t>参考《</w:t>
      </w:r>
      <w:r>
        <w:rPr>
          <w:rFonts w:hint="eastAsia" w:ascii="Times New Roman" w:hAnsi="Times New Roman" w:eastAsia="宋体" w:cs="Times New Roman"/>
          <w:color w:val="auto"/>
          <w:sz w:val="24"/>
          <w:szCs w:val="24"/>
        </w:rPr>
        <w:t>栓塞颗粒注册审查指导原则（征求意见稿）》对产品的交联度进行研究，同时根据产品有效期存放期限</w:t>
      </w:r>
      <w:r>
        <w:rPr>
          <w:rFonts w:hint="eastAsia" w:ascii="Times New Roman" w:hAnsi="Times New Roman" w:eastAsia="宋体" w:cs="Times New Roman"/>
          <w:sz w:val="24"/>
          <w:szCs w:val="24"/>
        </w:rPr>
        <w:t>中交联度的变化趋势以及对产品性功能的影响</w:t>
      </w:r>
      <w:r>
        <w:rPr>
          <w:rFonts w:hint="eastAsia" w:ascii="Times New Roman" w:hAnsi="Times New Roman" w:eastAsia="宋体" w:cs="Times New Roman"/>
          <w:color w:val="auto"/>
          <w:sz w:val="24"/>
          <w:szCs w:val="24"/>
        </w:rPr>
        <w:t>拟定本品的交联度。</w:t>
      </w:r>
    </w:p>
    <w:p w14:paraId="41EC8E6A">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3</w:t>
      </w:r>
      <w:r>
        <w:rPr>
          <w:rFonts w:ascii="Times New Roman" w:hAnsi="Times New Roman" w:eastAsia="宋体" w:cs="Times New Roman"/>
          <w:b/>
          <w:bCs/>
          <w:sz w:val="24"/>
          <w:szCs w:val="24"/>
        </w:rPr>
        <w:t>.8 降解速率</w:t>
      </w:r>
    </w:p>
    <w:p w14:paraId="2B20560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标准要求：应结合临床需求确定降解速率，并确定体外模拟降解条件和降解速率。</w:t>
      </w:r>
    </w:p>
    <w:p w14:paraId="7DCB436A">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Times New Roman" w:hAnsi="Times New Roman" w:eastAsia="宋体" w:cs="Times New Roman"/>
          <w:sz w:val="24"/>
          <w:szCs w:val="24"/>
        </w:rPr>
        <w:t>参考GB/T16886.13《医疗器械生物学评价第13部分：聚合物医疗器械降解产物的定性和定量》4.降解试验方法，并根据产品本身降解特性拟定降解速率。</w:t>
      </w:r>
    </w:p>
    <w:p w14:paraId="1290CBAC">
      <w:pPr>
        <w:spacing w:line="360" w:lineRule="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4</w:t>
      </w:r>
      <w:r>
        <w:rPr>
          <w:rFonts w:ascii="Times New Roman" w:hAnsi="Times New Roman" w:eastAsia="宋体" w:cs="Times New Roman"/>
          <w:b/>
          <w:bCs/>
          <w:sz w:val="24"/>
          <w:szCs w:val="24"/>
        </w:rPr>
        <w:t>.微生物</w:t>
      </w:r>
      <w:r>
        <w:rPr>
          <w:rFonts w:hint="eastAsia" w:ascii="Times New Roman" w:hAnsi="Times New Roman" w:eastAsia="宋体" w:cs="Times New Roman"/>
          <w:b/>
          <w:bCs/>
          <w:sz w:val="24"/>
          <w:szCs w:val="24"/>
          <w:lang w:val="en-US" w:eastAsia="zh-CN"/>
        </w:rPr>
        <w:t>性能</w:t>
      </w:r>
    </w:p>
    <w:p w14:paraId="57E22E65">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4</w:t>
      </w:r>
      <w:r>
        <w:rPr>
          <w:rFonts w:ascii="Times New Roman" w:hAnsi="Times New Roman" w:eastAsia="宋体" w:cs="Times New Roman"/>
          <w:b/>
          <w:bCs/>
          <w:sz w:val="24"/>
          <w:szCs w:val="24"/>
        </w:rPr>
        <w:t>.1细菌内毒素</w:t>
      </w:r>
    </w:p>
    <w:p w14:paraId="1B1AB947">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标准要求：细菌内毒素含量应＜0.5 EU/mL。</w:t>
      </w:r>
    </w:p>
    <w:p w14:paraId="56DD900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制定依据：参考</w:t>
      </w:r>
      <w:bookmarkStart w:id="5" w:name="_Hlk204675675"/>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中国药典》四部通则1143细菌内毒素检查法、9251细菌内毒素检查法及应用指导原则，</w:t>
      </w:r>
      <w:r>
        <w:rPr>
          <w:rFonts w:ascii="Times New Roman" w:hAnsi="Times New Roman" w:eastAsia="宋体" w:cs="Times New Roman"/>
          <w:sz w:val="24"/>
          <w:szCs w:val="24"/>
        </w:rPr>
        <w:t>YY/T 0954</w:t>
      </w:r>
      <w:bookmarkEnd w:id="5"/>
      <w:r>
        <w:rPr>
          <w:rFonts w:ascii="Times New Roman" w:hAnsi="Times New Roman" w:eastAsia="宋体" w:cs="Times New Roman"/>
          <w:sz w:val="24"/>
          <w:szCs w:val="24"/>
        </w:rPr>
        <w:t>-2015《无源外科植入物-I型胶原蛋白植入剂》，其中的规定是小于0.5EU/mL（浸提液的用量是5mL/件，换算为件后控制标准为2.5EU/件）。</w:t>
      </w:r>
    </w:p>
    <w:p w14:paraId="6B429170">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4</w:t>
      </w:r>
      <w:r>
        <w:rPr>
          <w:rFonts w:ascii="Times New Roman" w:hAnsi="Times New Roman" w:eastAsia="宋体" w:cs="Times New Roman"/>
          <w:b/>
          <w:bCs/>
          <w:sz w:val="24"/>
          <w:szCs w:val="24"/>
        </w:rPr>
        <w:t>.2 无菌</w:t>
      </w:r>
    </w:p>
    <w:p w14:paraId="73D25BD0">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标准要求：微球应无菌。</w:t>
      </w:r>
    </w:p>
    <w:p w14:paraId="5DCECEAB">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制定依据：</w:t>
      </w:r>
      <w:r>
        <w:rPr>
          <w:rFonts w:hint="eastAsia" w:ascii="Times New Roman" w:hAnsi="Times New Roman" w:eastAsia="宋体" w:cs="Times New Roman"/>
          <w:sz w:val="24"/>
          <w:szCs w:val="24"/>
        </w:rPr>
        <w:t>本品为血管植入器械，需要求无菌，因此</w:t>
      </w:r>
      <w:r>
        <w:rPr>
          <w:rFonts w:ascii="Times New Roman" w:hAnsi="Times New Roman" w:eastAsia="宋体" w:cs="Times New Roman"/>
          <w:sz w:val="24"/>
          <w:szCs w:val="24"/>
        </w:rPr>
        <w:t>明胶海绵栓塞微球以无菌形式提供</w:t>
      </w:r>
      <w:r>
        <w:rPr>
          <w:rFonts w:hint="eastAsia" w:ascii="Times New Roman" w:hAnsi="Times New Roman" w:eastAsia="宋体" w:cs="Times New Roman"/>
          <w:sz w:val="24"/>
          <w:szCs w:val="24"/>
        </w:rPr>
        <w:t>，</w:t>
      </w:r>
      <w:r>
        <w:rPr>
          <w:rFonts w:ascii="Times New Roman" w:hAnsi="Times New Roman" w:eastAsia="宋体" w:cs="Times New Roman"/>
          <w:sz w:val="24"/>
          <w:szCs w:val="24"/>
        </w:rPr>
        <w:t>应无菌。</w:t>
      </w:r>
    </w:p>
    <w:p w14:paraId="245A843C">
      <w:pPr>
        <w:numPr>
          <w:ilvl w:val="0"/>
          <w:numId w:val="2"/>
        </w:numPr>
        <w:spacing w:line="360" w:lineRule="auto"/>
        <w:ind w:firstLine="0" w:firstLineChars="0"/>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生物相容性</w:t>
      </w:r>
    </w:p>
    <w:p w14:paraId="1FB33DE3">
      <w:pPr>
        <w:pStyle w:val="11"/>
        <w:spacing w:line="360" w:lineRule="auto"/>
        <w:rPr>
          <w:rFonts w:hint="default" w:ascii="Times New Roman" w:hAnsi="Times New Roman" w:eastAsia="宋体" w:cs="Times New Roman"/>
          <w:b w:val="0"/>
          <w:bCs w:val="0"/>
          <w:kern w:val="2"/>
          <w:sz w:val="24"/>
          <w:szCs w:val="24"/>
          <w:lang w:val="en-US" w:eastAsia="zh-CN"/>
        </w:rPr>
      </w:pPr>
      <w:r>
        <w:rPr>
          <w:rFonts w:hint="default" w:ascii="Times New Roman"/>
          <w:kern w:val="2"/>
          <w:sz w:val="24"/>
          <w:szCs w:val="24"/>
          <w:lang w:val="en-US" w:eastAsia="zh-CN"/>
        </w:rPr>
        <w:t>明胶海绵栓塞微球的生物评价及研究应按照</w:t>
      </w:r>
      <w:r>
        <w:rPr>
          <w:rFonts w:hint="default" w:ascii="Times New Roman"/>
          <w:kern w:val="2"/>
          <w:sz w:val="24"/>
          <w:szCs w:val="24"/>
        </w:rPr>
        <w:t>GB/T 16886.1</w:t>
      </w:r>
      <w:r>
        <w:rPr>
          <w:rFonts w:hint="default" w:ascii="Times New Roman"/>
          <w:kern w:val="2"/>
          <w:sz w:val="24"/>
          <w:szCs w:val="24"/>
          <w:lang w:val="en-US" w:eastAsia="zh-CN"/>
        </w:rPr>
        <w:t>的原则并结合产品特性</w:t>
      </w:r>
    </w:p>
    <w:p w14:paraId="0955133A">
      <w:pPr>
        <w:numPr>
          <w:ilvl w:val="0"/>
          <w:numId w:val="2"/>
        </w:numPr>
        <w:spacing w:line="360" w:lineRule="auto"/>
        <w:ind w:firstLine="0" w:firstLineChars="0"/>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生物安全性</w:t>
      </w:r>
    </w:p>
    <w:p w14:paraId="134E8BDD">
      <w:pPr>
        <w:pStyle w:val="11"/>
        <w:spacing w:beforeLines="0" w:afterLines="0" w:line="360" w:lineRule="auto"/>
        <w:rPr>
          <w:rFonts w:hint="eastAsia" w:ascii="Times New Roman"/>
          <w:kern w:val="2"/>
          <w:sz w:val="24"/>
          <w:szCs w:val="24"/>
        </w:rPr>
      </w:pPr>
      <w:r>
        <w:rPr>
          <w:rFonts w:hint="eastAsia" w:ascii="Times New Roman" w:hAnsi="Times New Roman" w:eastAsia="宋体" w:cs="Times New Roman"/>
          <w:kern w:val="2"/>
          <w:sz w:val="24"/>
          <w:szCs w:val="24"/>
        </w:rPr>
        <w:t>对于含有动物源性材料成分的产品，需参照《动物源性医疗器械注册技术审查指导原则》</w:t>
      </w:r>
      <w:r>
        <w:rPr>
          <w:rFonts w:hint="eastAsia" w:ascii="Times New Roman"/>
          <w:kern w:val="2"/>
          <w:sz w:val="24"/>
          <w:szCs w:val="24"/>
        </w:rPr>
        <w:t>。</w:t>
      </w:r>
    </w:p>
    <w:p w14:paraId="0AFC5334">
      <w:pPr>
        <w:spacing w:before="0" w:beforeLines="0" w:after="0" w:afterLines="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三</w:t>
      </w:r>
      <w:r>
        <w:rPr>
          <w:rFonts w:hint="eastAsia" w:ascii="Times New Roman" w:hAnsi="Times New Roman" w:eastAsia="宋体" w:cs="Times New Roman"/>
          <w:b/>
          <w:bCs/>
          <w:sz w:val="24"/>
          <w:szCs w:val="24"/>
        </w:rPr>
        <w:t>、</w:t>
      </w:r>
      <w:r>
        <w:rPr>
          <w:rFonts w:ascii="Times New Roman" w:hAnsi="Times New Roman" w:eastAsia="宋体" w:cs="Times New Roman"/>
          <w:b/>
          <w:bCs/>
          <w:sz w:val="24"/>
          <w:szCs w:val="24"/>
        </w:rPr>
        <w:t xml:space="preserve">试验验证的分析、综述报告，技术经济论证，预期的经济效益、社会效益和生态效益 </w:t>
      </w:r>
    </w:p>
    <w:p w14:paraId="4B099747">
      <w:pPr>
        <w:spacing w:beforeLines="0" w:afterLines="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1. 主要试验（或验证）情况分析</w:t>
      </w:r>
    </w:p>
    <w:p w14:paraId="0DAA9BE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本标准的试验验证数据主要来源于以下几个方面：</w:t>
      </w:r>
    </w:p>
    <w:p w14:paraId="49BE2A15">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（1）参加起草单位在生产中积累和收集行业相关产品的数据； </w:t>
      </w:r>
    </w:p>
    <w:p w14:paraId="1F613C00">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（2）标准起草单位为制定标准而进行的试验验证。 </w:t>
      </w:r>
    </w:p>
    <w:p w14:paraId="51499816">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（3）与第三方检测情况的比对研究结果。</w:t>
      </w:r>
    </w:p>
    <w:p w14:paraId="010CAC8A">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为保证标准中技术指标科学、合理，方法可行。工作小组联合业内相关厂商对标准中有争议的项目，进行了反复讨论和多次验证，最终确定目前标准中规定的要求是科学的、合理的，方法是可重复性、可靠性和准确性，适用于目前的明胶海绵栓塞微球产品。</w:t>
      </w:r>
    </w:p>
    <w:p w14:paraId="4154BE5B">
      <w:pPr>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2. 预期的经济效益、社会效益和生态效益</w:t>
      </w:r>
    </w:p>
    <w:p w14:paraId="5C8A5796">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根据中国国家癌症中心发布的数据，2022年全国原发性肝癌发病人数36.77万，位列各种癌症新发例数第4位，发病率位列第5位；2022年因原发性肝癌死亡人数31.65万，死亡人数和死亡率均位列第2位。2024年颁布的《原发性肝癌诊疗指南（2024年版）》，分期为Ⅰb期以上肝癌均有TACE治疗方案，‖b、Ⅲa期更是首选治疗方案。因此，栓塞颗粒是我国高发病率、高死亡率肝癌治疗的重要方案。肝癌的复发率较高，术后1年以后的复发率可达到33%，2年以后的复发率可达到50%，3年以后的复发率基本上达到60%。可降解微球体内可降解，实现周围血管的复通，方便肝癌复发后再次进行血管内栓塞介入，进一步延长患者生存期。明胶海绵栓塞微球标准的制定将有利于行业的规范化、标准化，造福广大肝癌患者。同时，标准规范的制定与统一有利于可降解栓塞微球产品的标准化，推动更多生物相容性好的可降解材料进入临床应用。</w:t>
      </w:r>
    </w:p>
    <w:p w14:paraId="4E431447">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四、与国际、国外同类标准技术内容的对比情况，或者与测试的国外样品、样机的有关数据对比的情况 </w:t>
      </w:r>
    </w:p>
    <w:p w14:paraId="1136377B">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目前尚无明胶海绵</w:t>
      </w:r>
      <w:r>
        <w:rPr>
          <w:rFonts w:hint="eastAsia" w:ascii="Times New Roman" w:hAnsi="Times New Roman" w:eastAsia="宋体" w:cs="Times New Roman"/>
          <w:sz w:val="24"/>
          <w:szCs w:val="24"/>
        </w:rPr>
        <w:t>栓塞</w:t>
      </w:r>
      <w:r>
        <w:rPr>
          <w:rFonts w:ascii="Times New Roman" w:hAnsi="Times New Roman" w:eastAsia="宋体" w:cs="Times New Roman"/>
          <w:sz w:val="24"/>
          <w:szCs w:val="24"/>
        </w:rPr>
        <w:t>微球标准相关的国际标准。而与本标准最接近的相关标准是T/CSBM 0053-2024《聚乙烯醇栓塞微球》</w:t>
      </w:r>
      <w:r>
        <w:rPr>
          <w:rFonts w:hint="eastAsia" w:ascii="Times New Roman" w:hAnsi="Times New Roman" w:eastAsia="宋体" w:cs="Times New Roman"/>
          <w:sz w:val="24"/>
          <w:szCs w:val="24"/>
        </w:rPr>
        <w:t>（2025年4</w:t>
      </w:r>
      <w:r>
        <w:rPr>
          <w:rFonts w:hint="eastAsia" w:ascii="Times New Roman" w:hAnsi="Times New Roman" w:eastAsia="宋体" w:cs="Times New Roman"/>
          <w:sz w:val="24"/>
          <w:szCs w:val="24"/>
          <w:lang w:eastAsia="zh-CN"/>
        </w:rPr>
        <w:t>月1日起实施</w:t>
      </w:r>
      <w:r>
        <w:rPr>
          <w:rFonts w:hint="eastAsia" w:ascii="Times New Roman" w:hAnsi="Times New Roman" w:eastAsia="宋体" w:cs="Times New Roman"/>
          <w:sz w:val="24"/>
          <w:szCs w:val="24"/>
        </w:rPr>
        <w:t>），以及YY/T2007-2-26《心血管植入器械栓塞微球》（2026年3月9日发布，2027年3</w:t>
      </w:r>
      <w:r>
        <w:rPr>
          <w:rFonts w:hint="eastAsia" w:ascii="Times New Roman" w:hAnsi="Times New Roman" w:eastAsia="宋体" w:cs="Times New Roman"/>
          <w:sz w:val="24"/>
          <w:szCs w:val="24"/>
          <w:lang w:eastAsia="zh-CN"/>
        </w:rPr>
        <w:t>月1日起实施</w:t>
      </w:r>
      <w:r>
        <w:rPr>
          <w:rFonts w:hint="eastAsia" w:ascii="Times New Roman" w:hAnsi="Times New Roman" w:eastAsia="宋体" w:cs="Times New Roman"/>
          <w:sz w:val="24"/>
          <w:szCs w:val="24"/>
        </w:rPr>
        <w:t>）。</w:t>
      </w:r>
    </w:p>
    <w:p w14:paraId="13127CE6">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与T/CSBM 0053-2024《聚乙烯醇栓塞微球》标准的对比情况说明如下：</w:t>
      </w:r>
    </w:p>
    <w:p w14:paraId="5110CEA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（1）聚乙烯醇栓塞微球是一种血管栓塞器械，用于介入性血管栓塞术；明胶海绵栓塞微球也是一种血管栓塞器械，同样用于介入性血管栓塞术，两者在临床应用方式和应用场景方面相似；</w:t>
      </w:r>
    </w:p>
    <w:p w14:paraId="43A403CE">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聚乙烯醇栓塞微球是由聚乙烯醇制备而成，聚乙烯醇则是人工合成高分子材料，具有不可降解性，是一种永久性栓塞器械；而明胶海绵栓塞微球是由明胶制备而成，明胶主要来源于猪皮、牛骨等，是一种天然高分子材料，具有生物可降解性，是一种临时性栓塞器械，两者在物理化学性能上有明显区别。</w:t>
      </w:r>
    </w:p>
    <w:p w14:paraId="45078DE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因此，与现有标准产品相比，本标准中的产品既有相似的应用场景，也存在明显的物理化学性能差别。本标准在制定过程中，参考了相关标准中的方法，并优化</w:t>
      </w:r>
      <w:r>
        <w:rPr>
          <w:rFonts w:hint="eastAsia" w:ascii="Times New Roman" w:hAnsi="Times New Roman" w:eastAsia="宋体" w:cs="Times New Roman"/>
          <w:sz w:val="24"/>
          <w:szCs w:val="24"/>
        </w:rPr>
        <w:t>新增</w:t>
      </w:r>
      <w:r>
        <w:rPr>
          <w:rFonts w:ascii="Times New Roman" w:hAnsi="Times New Roman" w:eastAsia="宋体" w:cs="Times New Roman"/>
          <w:sz w:val="24"/>
          <w:szCs w:val="24"/>
        </w:rPr>
        <w:t>了部分指标。</w:t>
      </w:r>
    </w:p>
    <w:p w14:paraId="50566020">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与YY/T2007-2-26《心血管植入器械栓塞微球》</w:t>
      </w:r>
      <w:r>
        <w:rPr>
          <w:rFonts w:ascii="Times New Roman" w:hAnsi="Times New Roman" w:eastAsia="宋体" w:cs="Times New Roman"/>
          <w:sz w:val="24"/>
          <w:szCs w:val="24"/>
        </w:rPr>
        <w:t>标准的对比情况说明如下：</w:t>
      </w:r>
    </w:p>
    <w:p w14:paraId="34054FCC">
      <w:pPr>
        <w:numPr>
          <w:ilvl w:val="0"/>
          <w:numId w:val="3"/>
        </w:numPr>
        <w:spacing w:line="360" w:lineRule="auto"/>
        <w:ind w:firstLine="480" w:firstLineChars="200"/>
        <w:rPr>
          <w:rFonts w:hint="eastAsia" w:ascii="Times New Roman" w:hAnsi="Times New Roman" w:eastAsia="宋体" w:cs="Times New Roman"/>
          <w:sz w:val="24"/>
          <w:szCs w:val="24"/>
        </w:rPr>
      </w:pPr>
      <w:r>
        <w:rPr>
          <w:rFonts w:ascii="Times New Roman" w:hAnsi="Times New Roman" w:eastAsia="宋体" w:cs="Times New Roman"/>
          <w:sz w:val="24"/>
          <w:szCs w:val="24"/>
        </w:rPr>
        <w:t>YY/T2007-2-26</w:t>
      </w:r>
      <w:r>
        <w:rPr>
          <w:rFonts w:hint="eastAsia" w:ascii="Times New Roman" w:hAnsi="Times New Roman" w:eastAsia="宋体" w:cs="Times New Roman"/>
          <w:sz w:val="24"/>
          <w:szCs w:val="24"/>
        </w:rPr>
        <w:t>标准是</w:t>
      </w:r>
      <w:r>
        <w:rPr>
          <w:rFonts w:ascii="Times New Roman" w:hAnsi="Times New Roman" w:eastAsia="宋体" w:cs="Times New Roman"/>
          <w:sz w:val="24"/>
          <w:szCs w:val="24"/>
        </w:rPr>
        <w:t>一份通用行业标准，覆盖所有栓塞微球。它不规定具体的数值限值，而是要求通过风险管理来选择验证项目，自行确认物理、化学和生物性能。它的优势是灵活普适，劣势是对特定材料缺乏直接指导。制订明胶海绵</w:t>
      </w:r>
      <w:r>
        <w:rPr>
          <w:rFonts w:hint="eastAsia" w:ascii="Times New Roman" w:hAnsi="Times New Roman" w:eastAsia="宋体" w:cs="Times New Roman"/>
          <w:sz w:val="24"/>
          <w:szCs w:val="24"/>
        </w:rPr>
        <w:t>栓塞</w:t>
      </w:r>
      <w:r>
        <w:rPr>
          <w:rFonts w:ascii="Times New Roman" w:hAnsi="Times New Roman" w:eastAsia="宋体" w:cs="Times New Roman"/>
          <w:sz w:val="24"/>
          <w:szCs w:val="24"/>
        </w:rPr>
        <w:t>微球专用标准的核心优势是精准</w:t>
      </w:r>
      <w:r>
        <w:rPr>
          <w:rFonts w:hint="eastAsia" w:ascii="Times New Roman" w:hAnsi="Times New Roman" w:eastAsia="宋体" w:cs="Times New Roman"/>
          <w:sz w:val="24"/>
          <w:szCs w:val="24"/>
        </w:rPr>
        <w:t>且具体</w:t>
      </w:r>
      <w:r>
        <w:rPr>
          <w:rFonts w:ascii="Times New Roman" w:hAnsi="Times New Roman" w:eastAsia="宋体" w:cs="Times New Roman"/>
          <w:sz w:val="24"/>
          <w:szCs w:val="24"/>
        </w:rPr>
        <w:t>：它能在 YY/T 2007 的风险管理框架下，为可降解天然材料栓塞微球提供一套具体、可执行的技术指标</w:t>
      </w:r>
      <w:r>
        <w:rPr>
          <w:rFonts w:hint="eastAsia" w:ascii="Times New Roman" w:hAnsi="Times New Roman" w:eastAsia="宋体" w:cs="Times New Roman"/>
          <w:sz w:val="24"/>
          <w:szCs w:val="24"/>
        </w:rPr>
        <w:t>，如</w:t>
      </w:r>
      <w:r>
        <w:rPr>
          <w:rFonts w:ascii="Times New Roman" w:hAnsi="Times New Roman" w:eastAsia="宋体" w:cs="Times New Roman"/>
          <w:sz w:val="24"/>
          <w:szCs w:val="24"/>
        </w:rPr>
        <w:t>降解</w:t>
      </w:r>
      <w:r>
        <w:rPr>
          <w:rFonts w:hint="eastAsia" w:ascii="Times New Roman" w:hAnsi="Times New Roman" w:eastAsia="宋体" w:cs="Times New Roman"/>
          <w:sz w:val="24"/>
          <w:szCs w:val="24"/>
        </w:rPr>
        <w:t>速率、</w:t>
      </w:r>
      <w:r>
        <w:rPr>
          <w:rFonts w:ascii="Times New Roman" w:hAnsi="Times New Roman" w:eastAsia="宋体" w:cs="Times New Roman"/>
          <w:sz w:val="24"/>
          <w:szCs w:val="24"/>
        </w:rPr>
        <w:t>交联</w:t>
      </w:r>
      <w:r>
        <w:rPr>
          <w:rFonts w:hint="eastAsia" w:ascii="Times New Roman" w:hAnsi="Times New Roman" w:eastAsia="宋体" w:cs="Times New Roman"/>
          <w:sz w:val="24"/>
          <w:szCs w:val="24"/>
        </w:rPr>
        <w:t>度</w:t>
      </w:r>
      <w:r>
        <w:rPr>
          <w:rFonts w:ascii="Times New Roman" w:hAnsi="Times New Roman" w:eastAsia="宋体" w:cs="Times New Roman"/>
          <w:sz w:val="24"/>
          <w:szCs w:val="24"/>
        </w:rPr>
        <w:t>/溶胀表征，避免企业各自摸索或机械套用</w:t>
      </w:r>
      <w:r>
        <w:rPr>
          <w:rFonts w:hint="eastAsia" w:ascii="Times New Roman" w:hAnsi="Times New Roman" w:eastAsia="宋体" w:cs="Times New Roman"/>
          <w:sz w:val="24"/>
          <w:szCs w:val="24"/>
        </w:rPr>
        <w:t>其他</w:t>
      </w:r>
      <w:r>
        <w:rPr>
          <w:rFonts w:ascii="Times New Roman" w:hAnsi="Times New Roman" w:eastAsia="宋体" w:cs="Times New Roman"/>
          <w:sz w:val="24"/>
          <w:szCs w:val="24"/>
        </w:rPr>
        <w:t>标准导致的评价偏差</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另外</w:t>
      </w:r>
      <w:r>
        <w:rPr>
          <w:rFonts w:hint="eastAsia" w:ascii="Times New Roman" w:hAnsi="Times New Roman" w:eastAsia="宋体" w:cs="Times New Roman"/>
          <w:sz w:val="24"/>
          <w:szCs w:val="24"/>
          <w:lang w:val="en-US" w:eastAsia="zh-CN"/>
        </w:rPr>
        <w:t>，明胶海绵栓塞微球标准根据我司上市品种研究情况以及相关指导原则的描述，对生物学评价、研究内容以及动物源性研究内容做了较为详尽的阐述。</w:t>
      </w:r>
    </w:p>
    <w:p w14:paraId="21281D3B">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因此，</w:t>
      </w:r>
      <w:r>
        <w:rPr>
          <w:rFonts w:ascii="Times New Roman" w:hAnsi="Times New Roman" w:eastAsia="宋体" w:cs="Times New Roman"/>
          <w:sz w:val="24"/>
          <w:szCs w:val="24"/>
        </w:rPr>
        <w:t>本标准专门针对明胶栓塞微球本身特性，制订明胶</w:t>
      </w:r>
      <w:r>
        <w:rPr>
          <w:rFonts w:hint="eastAsia" w:ascii="Times New Roman" w:hAnsi="Times New Roman" w:eastAsia="宋体" w:cs="Times New Roman"/>
          <w:sz w:val="24"/>
          <w:szCs w:val="24"/>
          <w:lang w:val="en-US" w:eastAsia="zh-CN"/>
        </w:rPr>
        <w:t>海绵</w:t>
      </w:r>
      <w:r>
        <w:rPr>
          <w:rFonts w:ascii="Times New Roman" w:hAnsi="Times New Roman" w:eastAsia="宋体" w:cs="Times New Roman"/>
          <w:sz w:val="24"/>
          <w:szCs w:val="24"/>
        </w:rPr>
        <w:t>栓塞微球标准。并详细明确了各性能指标的限度及详细的检测操作方法，为同品种制订标准提供相关参考。</w:t>
      </w:r>
    </w:p>
    <w:p w14:paraId="03E84AB3">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五、以国际标准为基础的起草情况，以及是否合规引用或者采用国际国外标准，并说明未采用国际标准的原因</w:t>
      </w:r>
    </w:p>
    <w:p w14:paraId="6161E1F7">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目前尚无相关国际国外标准，且本标准未直接采用国际标准和国外先进标准。</w:t>
      </w:r>
    </w:p>
    <w:p w14:paraId="51656888">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六、与有关法律、行政法规及相关标准的关系</w:t>
      </w:r>
    </w:p>
    <w:p w14:paraId="7A16A91B">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本标准与我国现行法律法规、强制性国家标准、行业标准无冲突和交叉。</w:t>
      </w:r>
    </w:p>
    <w:p w14:paraId="626F826E">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七、重大分歧意见的处理经过和依据 </w:t>
      </w:r>
    </w:p>
    <w:p w14:paraId="456521A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无。</w:t>
      </w:r>
    </w:p>
    <w:p w14:paraId="1047F3CA">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八、涉及专利的有关说明</w:t>
      </w:r>
    </w:p>
    <w:p w14:paraId="599FED82">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本标准未</w:t>
      </w:r>
      <w:r>
        <w:rPr>
          <w:rFonts w:hint="eastAsia" w:ascii="Times New Roman" w:hAnsi="Times New Roman" w:eastAsia="宋体" w:cs="Times New Roman"/>
          <w:sz w:val="24"/>
          <w:szCs w:val="24"/>
          <w:lang w:eastAsia="zh-CN"/>
        </w:rPr>
        <w:t>涉及</w:t>
      </w:r>
      <w:r>
        <w:rPr>
          <w:rFonts w:ascii="Times New Roman" w:hAnsi="Times New Roman" w:eastAsia="宋体" w:cs="Times New Roman"/>
          <w:sz w:val="24"/>
          <w:szCs w:val="24"/>
        </w:rPr>
        <w:t>任何相关专利。</w:t>
      </w:r>
    </w:p>
    <w:p w14:paraId="5D419F78">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九、实施国家标准的要求，以及组织措施、技术措施、过渡期和实施日期的建议等措施建议</w:t>
      </w:r>
    </w:p>
    <w:p w14:paraId="5FC146A9">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为进一步贯彻《明胶海绵栓塞微球》标准并达到顺利推动标准实施的目的，要求相关生产单位、企业与用户的质量管理部门理解《明胶海绵栓塞微球》标准的内容及其意义；要求质量检测部门的人员，能够熟悉掌握检测方法。</w:t>
      </w:r>
    </w:p>
    <w:p w14:paraId="434D84CC">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2.《明胶海绵栓塞微球》标准在征求意见过程中，要求收集和反馈相关生产单位、企业与用户的研发部门、质量管理部门、质量检测部门就标准中内容的建议和意见。</w:t>
      </w:r>
    </w:p>
    <w:p w14:paraId="4EF4099D">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为了加快各相关人员对标准的熟悉和理解，在标准推动实施的过程中以协会为依托，建立标准贯彻团队，对标准进行宣讲，并组织学习培训活动，对相关人员进行培训和指导，帮助其理解标准的内容，以促进对标准的贯彻和执行。</w:t>
      </w:r>
    </w:p>
    <w:p w14:paraId="24914F78">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4.本标准发布后，在过渡期间，一部分指标生产单位和用户可以检测，不能检测可委托有能力的检测单位进行协助。</w:t>
      </w:r>
    </w:p>
    <w:p w14:paraId="04AAEF4B">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5.建议实施日期为公布日期 12 个月后。</w:t>
      </w:r>
    </w:p>
    <w:p w14:paraId="107FB832">
      <w:pPr>
        <w:spacing w:before="312" w:beforeLines="100" w:after="312" w:afterLines="100"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十、其他应当说明的事项</w:t>
      </w:r>
    </w:p>
    <w:p w14:paraId="32A5FE04">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无。</w:t>
      </w:r>
    </w:p>
    <w:p w14:paraId="4F4CCA70">
      <w:pPr>
        <w:spacing w:line="360" w:lineRule="auto"/>
        <w:rPr>
          <w:rFonts w:ascii="Times New Roman" w:hAnsi="Times New Roman" w:eastAsia="宋体" w:cs="Times New Roman"/>
          <w:sz w:val="24"/>
          <w:szCs w:val="24"/>
        </w:rPr>
      </w:pPr>
    </w:p>
    <w:p w14:paraId="05941E43">
      <w:pPr>
        <w:spacing w:line="360" w:lineRule="auto"/>
        <w:rPr>
          <w:rFonts w:ascii="Times New Roman" w:hAnsi="Times New Roman" w:eastAsia="宋体" w:cs="Times New Roman"/>
          <w:sz w:val="24"/>
          <w:szCs w:val="24"/>
        </w:rPr>
      </w:pPr>
    </w:p>
    <w:p w14:paraId="6FA0BE16">
      <w:pPr>
        <w:spacing w:line="360" w:lineRule="auto"/>
        <w:jc w:val="right"/>
        <w:rPr>
          <w:rFonts w:ascii="Times New Roman" w:hAnsi="Times New Roman" w:eastAsia="宋体" w:cs="Times New Roman"/>
          <w:sz w:val="24"/>
          <w:szCs w:val="24"/>
        </w:rPr>
      </w:pPr>
      <w:r>
        <w:rPr>
          <w:rFonts w:ascii="Times New Roman" w:hAnsi="Times New Roman" w:eastAsia="宋体" w:cs="Times New Roman"/>
          <w:sz w:val="24"/>
          <w:szCs w:val="24"/>
        </w:rPr>
        <w:t>《明胶海绵栓塞微球》团体标准起草工作小组</w:t>
      </w:r>
    </w:p>
    <w:p w14:paraId="260879EB">
      <w:pPr>
        <w:spacing w:line="360" w:lineRule="auto"/>
        <w:jc w:val="right"/>
        <w:rPr>
          <w:rFonts w:ascii="Times New Roman" w:hAnsi="Times New Roman" w:eastAsia="宋体" w:cs="Times New Roman"/>
          <w:sz w:val="24"/>
          <w:szCs w:val="24"/>
        </w:rPr>
      </w:pPr>
      <w:r>
        <w:rPr>
          <w:rFonts w:ascii="Times New Roman" w:hAnsi="Times New Roman" w:eastAsia="宋体" w:cs="Times New Roman"/>
          <w:sz w:val="24"/>
          <w:szCs w:val="24"/>
        </w:rPr>
        <w:t>2026年</w:t>
      </w:r>
      <w:r>
        <w:rPr>
          <w:rFonts w:hint="eastAsia" w:ascii="Times New Roman" w:hAnsi="Times New Roman" w:eastAsia="宋体" w:cs="Times New Roman"/>
          <w:sz w:val="24"/>
          <w:szCs w:val="24"/>
        </w:rPr>
        <w:t>10</w:t>
      </w:r>
      <w:r>
        <w:rPr>
          <w:rFonts w:ascii="Times New Roman" w:hAnsi="Times New Roman" w:eastAsia="宋体" w:cs="Times New Roman"/>
          <w:sz w:val="24"/>
          <w:szCs w:val="24"/>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0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06FE30"/>
    <w:multiLevelType w:val="singleLevel"/>
    <w:tmpl w:val="A606FE30"/>
    <w:lvl w:ilvl="0" w:tentative="0">
      <w:start w:val="5"/>
      <w:numFmt w:val="decimal"/>
      <w:suff w:val="space"/>
      <w:lvlText w:val="%1."/>
      <w:lvlJc w:val="left"/>
    </w:lvl>
  </w:abstractNum>
  <w:abstractNum w:abstractNumId="1">
    <w:nsid w:val="1FC91163"/>
    <w:multiLevelType w:val="multilevel"/>
    <w:tmpl w:val="1FC91163"/>
    <w:lvl w:ilvl="0" w:tentative="0">
      <w:start w:val="1"/>
      <w:numFmt w:val="decimal"/>
      <w:pStyle w:val="14"/>
      <w:suff w:val="nothing"/>
      <w:lvlText w:val="%1　"/>
      <w:lvlJc w:val="left"/>
      <w:pPr>
        <w:ind w:left="142" w:firstLine="0"/>
      </w:pPr>
      <w:rPr>
        <w:rFonts w:hint="eastAsia" w:ascii="黑体" w:hAnsi="Times New Roman" w:eastAsia="黑体"/>
        <w:b w:val="0"/>
        <w:i w:val="0"/>
        <w:sz w:val="21"/>
        <w:szCs w:val="21"/>
      </w:rPr>
    </w:lvl>
    <w:lvl w:ilvl="1" w:tentative="0">
      <w:start w:val="1"/>
      <w:numFmt w:val="decimal"/>
      <w:pStyle w:val="13"/>
      <w:suff w:val="nothing"/>
      <w:lvlText w:val="%1.%2　"/>
      <w:lvlJc w:val="left"/>
      <w:pPr>
        <w:ind w:left="567"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tentative="0">
      <w:start w:val="1"/>
      <w:numFmt w:val="decimal"/>
      <w:pStyle w:val="15"/>
      <w:suff w:val="nothing"/>
      <w:lvlText w:val="%1.%2.%3　"/>
      <w:lvlJc w:val="left"/>
      <w:pPr>
        <w:ind w:left="2553" w:firstLine="0"/>
      </w:pPr>
      <w:rPr>
        <w:rFonts w:hint="eastAsia" w:ascii="黑体" w:hAnsi="Times New Roman" w:eastAsia="黑体"/>
        <w:b w:val="0"/>
        <w:i w:val="0"/>
        <w:sz w:val="21"/>
      </w:rPr>
    </w:lvl>
    <w:lvl w:ilvl="3" w:tentative="0">
      <w:start w:val="1"/>
      <w:numFmt w:val="decimal"/>
      <w:pStyle w:val="16"/>
      <w:suff w:val="nothing"/>
      <w:lvlText w:val="%1.%2.%3.%4　"/>
      <w:lvlJc w:val="left"/>
      <w:pPr>
        <w:ind w:left="426" w:firstLine="0"/>
      </w:pPr>
      <w:rPr>
        <w:rFonts w:hint="eastAsia" w:ascii="黑体" w:hAnsi="Times New Roman" w:eastAsia="黑体"/>
        <w:b w:val="0"/>
        <w:i w:val="0"/>
        <w:sz w:val="21"/>
      </w:rPr>
    </w:lvl>
    <w:lvl w:ilvl="4" w:tentative="0">
      <w:start w:val="1"/>
      <w:numFmt w:val="decimal"/>
      <w:pStyle w:val="17"/>
      <w:suff w:val="nothing"/>
      <w:lvlText w:val="%1.%2.%3.%4.%5　"/>
      <w:lvlJc w:val="left"/>
      <w:pPr>
        <w:ind w:left="142" w:firstLine="0"/>
      </w:pPr>
      <w:rPr>
        <w:rFonts w:hint="eastAsia" w:ascii="黑体" w:hAnsi="Times New Roman" w:eastAsia="黑体"/>
        <w:b w:val="0"/>
        <w:i w:val="0"/>
        <w:sz w:val="21"/>
      </w:rPr>
    </w:lvl>
    <w:lvl w:ilvl="5" w:tentative="0">
      <w:start w:val="1"/>
      <w:numFmt w:val="decimal"/>
      <w:pStyle w:val="18"/>
      <w:suff w:val="nothing"/>
      <w:lvlText w:val="%1.%2.%3.%4.%5.%6　"/>
      <w:lvlJc w:val="left"/>
      <w:pPr>
        <w:ind w:left="142" w:firstLine="0"/>
      </w:pPr>
      <w:rPr>
        <w:rFonts w:hint="eastAsia" w:ascii="黑体" w:hAnsi="Times New Roman" w:eastAsia="黑体"/>
        <w:b w:val="0"/>
        <w:i w:val="0"/>
        <w:sz w:val="21"/>
      </w:rPr>
    </w:lvl>
    <w:lvl w:ilvl="6" w:tentative="0">
      <w:start w:val="1"/>
      <w:numFmt w:val="decimal"/>
      <w:suff w:val="nothing"/>
      <w:lvlText w:val="%1%2.%3.%4.%5.%6.%7　"/>
      <w:lvlJc w:val="left"/>
      <w:pPr>
        <w:ind w:left="142" w:firstLine="0"/>
      </w:pPr>
      <w:rPr>
        <w:rFonts w:hint="eastAsia" w:ascii="黑体" w:hAnsi="Times New Roman" w:eastAsia="黑体"/>
        <w:b w:val="0"/>
        <w:i w:val="0"/>
        <w:sz w:val="21"/>
      </w:rPr>
    </w:lvl>
    <w:lvl w:ilvl="7" w:tentative="0">
      <w:start w:val="1"/>
      <w:numFmt w:val="decimal"/>
      <w:lvlText w:val="%1.%2.%3.%4.%5.%6.%7.%8"/>
      <w:lvlJc w:val="left"/>
      <w:pPr>
        <w:tabs>
          <w:tab w:val="left" w:pos="4493"/>
        </w:tabs>
        <w:ind w:left="4111" w:hanging="1418"/>
      </w:pPr>
      <w:rPr>
        <w:rFonts w:hint="eastAsia"/>
      </w:rPr>
    </w:lvl>
    <w:lvl w:ilvl="8" w:tentative="0">
      <w:start w:val="1"/>
      <w:numFmt w:val="decimal"/>
      <w:lvlText w:val="%1.%2.%3.%4.%5.%6.%7.%8.%9"/>
      <w:lvlJc w:val="left"/>
      <w:pPr>
        <w:tabs>
          <w:tab w:val="left" w:pos="4919"/>
        </w:tabs>
        <w:ind w:left="4819" w:hanging="1700"/>
      </w:pPr>
      <w:rPr>
        <w:rFonts w:hint="eastAsia"/>
      </w:rPr>
    </w:lvl>
  </w:abstractNum>
  <w:abstractNum w:abstractNumId="2">
    <w:nsid w:val="3133F4BF"/>
    <w:multiLevelType w:val="singleLevel"/>
    <w:tmpl w:val="3133F4BF"/>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EFE"/>
    <w:rsid w:val="00036014"/>
    <w:rsid w:val="00065CF1"/>
    <w:rsid w:val="000F2ED5"/>
    <w:rsid w:val="00102E44"/>
    <w:rsid w:val="001A1B9B"/>
    <w:rsid w:val="001A2876"/>
    <w:rsid w:val="001C7FCA"/>
    <w:rsid w:val="002661C5"/>
    <w:rsid w:val="00282892"/>
    <w:rsid w:val="00306E9D"/>
    <w:rsid w:val="00343BFB"/>
    <w:rsid w:val="00387758"/>
    <w:rsid w:val="003945E3"/>
    <w:rsid w:val="003970C3"/>
    <w:rsid w:val="003D7CAA"/>
    <w:rsid w:val="00442C83"/>
    <w:rsid w:val="004E0939"/>
    <w:rsid w:val="005948C2"/>
    <w:rsid w:val="007051A2"/>
    <w:rsid w:val="007068D6"/>
    <w:rsid w:val="00816EAA"/>
    <w:rsid w:val="008171B0"/>
    <w:rsid w:val="00851501"/>
    <w:rsid w:val="00877965"/>
    <w:rsid w:val="00897F1E"/>
    <w:rsid w:val="008E2997"/>
    <w:rsid w:val="008E2AB1"/>
    <w:rsid w:val="009A2EFE"/>
    <w:rsid w:val="00A3035B"/>
    <w:rsid w:val="00A36EC2"/>
    <w:rsid w:val="00A92119"/>
    <w:rsid w:val="00B03A5E"/>
    <w:rsid w:val="00B72447"/>
    <w:rsid w:val="00B97757"/>
    <w:rsid w:val="00BB4F9B"/>
    <w:rsid w:val="00C042FC"/>
    <w:rsid w:val="00C55A8D"/>
    <w:rsid w:val="00CC0A4A"/>
    <w:rsid w:val="00D410E4"/>
    <w:rsid w:val="00E7043C"/>
    <w:rsid w:val="00EB124C"/>
    <w:rsid w:val="00EE2783"/>
    <w:rsid w:val="00F23FF7"/>
    <w:rsid w:val="00FA40E0"/>
    <w:rsid w:val="00FF671D"/>
    <w:rsid w:val="00FF7C56"/>
    <w:rsid w:val="02A46519"/>
    <w:rsid w:val="06515EA4"/>
    <w:rsid w:val="06E25B2B"/>
    <w:rsid w:val="089900B5"/>
    <w:rsid w:val="0A31076B"/>
    <w:rsid w:val="0A670982"/>
    <w:rsid w:val="0B6178C1"/>
    <w:rsid w:val="0E061D3B"/>
    <w:rsid w:val="0FF705D0"/>
    <w:rsid w:val="117F7867"/>
    <w:rsid w:val="12EC1F42"/>
    <w:rsid w:val="140F3F73"/>
    <w:rsid w:val="147E713C"/>
    <w:rsid w:val="16B925A9"/>
    <w:rsid w:val="16ED1B63"/>
    <w:rsid w:val="19F53876"/>
    <w:rsid w:val="19F628B1"/>
    <w:rsid w:val="1C7424C3"/>
    <w:rsid w:val="20D87ACF"/>
    <w:rsid w:val="21C968BA"/>
    <w:rsid w:val="252163A7"/>
    <w:rsid w:val="278C281F"/>
    <w:rsid w:val="29BC6C1A"/>
    <w:rsid w:val="29CC523D"/>
    <w:rsid w:val="29E912A2"/>
    <w:rsid w:val="34457947"/>
    <w:rsid w:val="34B342D8"/>
    <w:rsid w:val="38481945"/>
    <w:rsid w:val="3CA2578E"/>
    <w:rsid w:val="3CFD1A2E"/>
    <w:rsid w:val="424E3754"/>
    <w:rsid w:val="467D0B27"/>
    <w:rsid w:val="474E4711"/>
    <w:rsid w:val="4FAD2590"/>
    <w:rsid w:val="54B14C81"/>
    <w:rsid w:val="5D985B63"/>
    <w:rsid w:val="60EC092C"/>
    <w:rsid w:val="63CA68DC"/>
    <w:rsid w:val="655711A7"/>
    <w:rsid w:val="66AC3C4E"/>
    <w:rsid w:val="698A11FF"/>
    <w:rsid w:val="6DA36E72"/>
    <w:rsid w:val="731D5E3C"/>
    <w:rsid w:val="732E42D3"/>
    <w:rsid w:val="7616038C"/>
    <w:rsid w:val="786E5A93"/>
    <w:rsid w:val="78865FA0"/>
    <w:rsid w:val="78CC6D3B"/>
    <w:rsid w:val="78F72A63"/>
    <w:rsid w:val="7A081EDB"/>
    <w:rsid w:val="7DE62783"/>
    <w:rsid w:val="7E5D4301"/>
    <w:rsid w:val="7F3E0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1"/>
    <w:qFormat/>
    <w:uiPriority w:val="0"/>
    <w:pPr>
      <w:jc w:val="left"/>
    </w:p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annotation subject"/>
    <w:basedOn w:val="2"/>
    <w:next w:val="2"/>
    <w:link w:val="22"/>
    <w:semiHidden/>
    <w:unhideWhenUsed/>
    <w:qFormat/>
    <w:uiPriority w:val="99"/>
    <w:rPr>
      <w:b/>
      <w:bCs/>
    </w:rPr>
  </w:style>
  <w:style w:type="character" w:styleId="8">
    <w:name w:val="annotation reference"/>
    <w:basedOn w:val="7"/>
    <w:semiHidden/>
    <w:unhideWhenUsed/>
    <w:qFormat/>
    <w:uiPriority w:val="99"/>
    <w:rPr>
      <w:sz w:val="21"/>
      <w:szCs w:val="21"/>
    </w:rPr>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 w:type="paragraph" w:customStyle="1" w:styleId="11">
    <w:name w:val="段"/>
    <w:link w:val="12"/>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2">
    <w:name w:val="段 Char"/>
    <w:link w:val="11"/>
    <w:qFormat/>
    <w:uiPriority w:val="0"/>
    <w:rPr>
      <w:rFonts w:ascii="宋体" w:hAnsi="Times New Roman" w:eastAsia="宋体" w:cs="Times New Roman"/>
      <w:kern w:val="0"/>
      <w:szCs w:val="20"/>
    </w:rPr>
  </w:style>
  <w:style w:type="paragraph" w:customStyle="1" w:styleId="13">
    <w:name w:val="一级条标题"/>
    <w:next w:val="11"/>
    <w:qFormat/>
    <w:uiPriority w:val="0"/>
    <w:pPr>
      <w:numPr>
        <w:ilvl w:val="1"/>
        <w:numId w:val="1"/>
      </w:numPr>
      <w:spacing w:beforeLines="50" w:afterLines="50"/>
      <w:outlineLvl w:val="2"/>
    </w:pPr>
    <w:rPr>
      <w:rFonts w:ascii="黑体" w:hAnsi="Times New Roman" w:eastAsia="黑体" w:cs="Times New Roman"/>
      <w:sz w:val="21"/>
      <w:szCs w:val="21"/>
      <w:lang w:val="en-US" w:eastAsia="zh-CN" w:bidi="ar-SA"/>
    </w:rPr>
  </w:style>
  <w:style w:type="paragraph" w:customStyle="1" w:styleId="14">
    <w:name w:val="章标题"/>
    <w:next w:val="11"/>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15">
    <w:name w:val="二级条标题"/>
    <w:basedOn w:val="13"/>
    <w:next w:val="11"/>
    <w:qFormat/>
    <w:uiPriority w:val="0"/>
    <w:pPr>
      <w:numPr>
        <w:ilvl w:val="2"/>
      </w:numPr>
      <w:spacing w:before="50" w:after="50"/>
      <w:outlineLvl w:val="3"/>
    </w:pPr>
  </w:style>
  <w:style w:type="paragraph" w:customStyle="1" w:styleId="16">
    <w:name w:val="三级条标题"/>
    <w:basedOn w:val="15"/>
    <w:next w:val="11"/>
    <w:qFormat/>
    <w:uiPriority w:val="0"/>
    <w:pPr>
      <w:numPr>
        <w:ilvl w:val="3"/>
      </w:numPr>
      <w:outlineLvl w:val="4"/>
    </w:pPr>
  </w:style>
  <w:style w:type="paragraph" w:customStyle="1" w:styleId="17">
    <w:name w:val="四级条标题"/>
    <w:basedOn w:val="16"/>
    <w:next w:val="11"/>
    <w:qFormat/>
    <w:uiPriority w:val="0"/>
    <w:pPr>
      <w:numPr>
        <w:ilvl w:val="4"/>
      </w:numPr>
      <w:outlineLvl w:val="5"/>
    </w:pPr>
  </w:style>
  <w:style w:type="paragraph" w:customStyle="1" w:styleId="18">
    <w:name w:val="五级条标题"/>
    <w:basedOn w:val="17"/>
    <w:next w:val="11"/>
    <w:qFormat/>
    <w:uiPriority w:val="0"/>
    <w:pPr>
      <w:numPr>
        <w:ilvl w:val="5"/>
      </w:numPr>
      <w:outlineLvl w:val="6"/>
    </w:pPr>
  </w:style>
  <w:style w:type="paragraph" w:customStyle="1" w:styleId="19">
    <w:name w:val="常用样式（方正仿宋简）"/>
    <w:autoRedefine/>
    <w:qFormat/>
    <w:uiPriority w:val="0"/>
    <w:pPr>
      <w:widowControl w:val="0"/>
      <w:spacing w:line="360" w:lineRule="auto"/>
      <w:ind w:firstLine="480" w:firstLineChars="200"/>
      <w:jc w:val="both"/>
    </w:pPr>
    <w:rPr>
      <w:rFonts w:ascii="Times New Roman" w:hAnsi="Times New Roman" w:eastAsia="方正仿宋简体" w:cs="Times New Roman"/>
      <w:kern w:val="2"/>
      <w:sz w:val="32"/>
      <w:szCs w:val="24"/>
      <w:lang w:val="en-US" w:eastAsia="zh-CN" w:bidi="ar-SA"/>
    </w:rPr>
  </w:style>
  <w:style w:type="paragraph" w:customStyle="1" w:styleId="20">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1">
    <w:name w:val="批注文字 字符"/>
    <w:basedOn w:val="7"/>
    <w:link w:val="2"/>
    <w:qFormat/>
    <w:uiPriority w:val="0"/>
    <w:rPr>
      <w:rFonts w:asciiTheme="minorHAnsi" w:hAnsiTheme="minorHAnsi" w:eastAsiaTheme="minorEastAsia" w:cstheme="minorBidi"/>
      <w:kern w:val="2"/>
      <w:sz w:val="21"/>
      <w:szCs w:val="22"/>
    </w:rPr>
  </w:style>
  <w:style w:type="character" w:customStyle="1" w:styleId="22">
    <w:name w:val="批注主题 字符"/>
    <w:basedOn w:val="21"/>
    <w:link w:val="5"/>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712</Words>
  <Characters>757</Characters>
  <Lines>39</Lines>
  <Paragraphs>11</Paragraphs>
  <TotalTime>16</TotalTime>
  <ScaleCrop>false</ScaleCrop>
  <LinksUpToDate>false</LinksUpToDate>
  <CharactersWithSpaces>763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2025-11-25T11:19:00Z</dcterms:created>
  <dc:creator>大川合颐</dc:creator>
  <cp:lastModifiedBy>Julian</cp:lastModifiedBy>
  <dcterms:modified xsi:type="dcterms:W3CDTF">2026-10-26T08:29:53Z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eyJoZGlkIjoiOGI4NjI5OTBmMDM1ODFlMDkzNDFlZTFiMWNhZWU5ZTMiLCJ1c2VySWQiOiIzMDk3NTI4ODEifQ==</vt:lpwstr>
  </property>
  <property fmtid="{D5CDD505-2E9C-101B-9397-08002B2CF9AE}" pid="3" name="KSOProductBuildVer">
    <vt:lpwstr>2052-12.1.0.29161</vt:lpwstr>
  </property>
  <property fmtid="{D5CDD505-2E9C-101B-9397-08002B2CF9AE}" pid="4" name="ICV">
    <vt:lpwstr>39A09888D02645218794BA88473D52FD_13</vt:lpwstr>
  </property>
</Properties>
</file>