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CDBE3">
      <w:pPr>
        <w:pStyle w:val="137"/>
        <w:framePr w:wrap="around" w:hAnchor="page" w:x="1351" w:y="14071"/>
        <w:rPr>
          <w:color w:val="auto"/>
        </w:rPr>
      </w:pPr>
      <w:bookmarkStart w:id="101" w:name="_GoBack"/>
      <w:bookmarkStart w:id="0" w:name="FY"/>
      <w:r>
        <w:rPr>
          <w:color w:val="auto"/>
          <w:sz w:val="30"/>
          <w:szCs w:val="30"/>
        </w:rPr>
        <w:fldChar w:fldCharType="begin">
          <w:ffData>
            <w:name w:val="FY"/>
            <w:enabled/>
            <w:calcOnExit w:val="0"/>
            <w:textInput>
              <w:default w:val="XXXX"/>
              <w:maxLength w:val="4"/>
            </w:textInput>
          </w:ffData>
        </w:fldChar>
      </w:r>
      <w:r>
        <w:rPr>
          <w:color w:val="auto"/>
          <w:sz w:val="30"/>
          <w:szCs w:val="30"/>
        </w:rPr>
        <w:instrText xml:space="preserve"> FORMTEXT </w:instrText>
      </w:r>
      <w:r>
        <w:rPr>
          <w:color w:val="auto"/>
          <w:sz w:val="30"/>
          <w:szCs w:val="30"/>
        </w:rPr>
        <w:fldChar w:fldCharType="separate"/>
      </w:r>
      <w:r>
        <w:rPr>
          <w:color w:val="auto"/>
          <w:sz w:val="30"/>
          <w:szCs w:val="30"/>
        </w:rPr>
        <w:t>XXXX</w:t>
      </w:r>
      <w:r>
        <w:rPr>
          <w:color w:val="auto"/>
          <w:sz w:val="30"/>
          <w:szCs w:val="30"/>
        </w:rPr>
        <w:fldChar w:fldCharType="end"/>
      </w:r>
      <w:bookmarkEnd w:id="0"/>
      <w:r>
        <w:rPr>
          <w:color w:val="auto"/>
          <w:sz w:val="30"/>
          <w:szCs w:val="30"/>
        </w:rPr>
        <w:t xml:space="preserve"> - </w:t>
      </w:r>
      <w:r>
        <w:rPr>
          <w:color w:val="auto"/>
          <w:sz w:val="30"/>
          <w:szCs w:val="30"/>
        </w:rPr>
        <w:fldChar w:fldCharType="begin">
          <w:ffData>
            <w:name w:val="FM"/>
            <w:enabled/>
            <w:calcOnExit w:val="0"/>
            <w:textInput>
              <w:default w:val="XX"/>
              <w:maxLength w:val="2"/>
            </w:textInput>
          </w:ffData>
        </w:fldChar>
      </w:r>
      <w:r>
        <w:rPr>
          <w:color w:val="auto"/>
          <w:sz w:val="30"/>
          <w:szCs w:val="30"/>
        </w:rPr>
        <w:instrText xml:space="preserve"> FORMTEXT </w:instrText>
      </w:r>
      <w:r>
        <w:rPr>
          <w:color w:val="auto"/>
          <w:sz w:val="30"/>
          <w:szCs w:val="30"/>
        </w:rPr>
        <w:fldChar w:fldCharType="separate"/>
      </w:r>
      <w:r>
        <w:rPr>
          <w:color w:val="auto"/>
          <w:sz w:val="30"/>
          <w:szCs w:val="30"/>
        </w:rPr>
        <w:t>XX</w:t>
      </w:r>
      <w:r>
        <w:rPr>
          <w:color w:val="auto"/>
          <w:sz w:val="30"/>
          <w:szCs w:val="30"/>
        </w:rPr>
        <w:fldChar w:fldCharType="end"/>
      </w:r>
      <w:r>
        <w:rPr>
          <w:color w:val="auto"/>
          <w:sz w:val="30"/>
          <w:szCs w:val="30"/>
        </w:rPr>
        <w:t xml:space="preserve"> - </w:t>
      </w:r>
      <w:bookmarkStart w:id="1" w:name="FD"/>
      <w:r>
        <w:rPr>
          <w:color w:val="auto"/>
          <w:sz w:val="30"/>
          <w:szCs w:val="30"/>
        </w:rPr>
        <w:fldChar w:fldCharType="begin">
          <w:ffData>
            <w:name w:val="FD"/>
            <w:enabled/>
            <w:calcOnExit w:val="0"/>
            <w:textInput>
              <w:default w:val="XX"/>
              <w:maxLength w:val="2"/>
            </w:textInput>
          </w:ffData>
        </w:fldChar>
      </w:r>
      <w:r>
        <w:rPr>
          <w:color w:val="auto"/>
          <w:sz w:val="30"/>
          <w:szCs w:val="30"/>
        </w:rPr>
        <w:instrText xml:space="preserve"> FORMTEXT </w:instrText>
      </w:r>
      <w:r>
        <w:rPr>
          <w:color w:val="auto"/>
          <w:sz w:val="30"/>
          <w:szCs w:val="30"/>
        </w:rPr>
        <w:fldChar w:fldCharType="separate"/>
      </w:r>
      <w:r>
        <w:rPr>
          <w:color w:val="auto"/>
          <w:sz w:val="30"/>
          <w:szCs w:val="30"/>
        </w:rPr>
        <w:t>XX</w:t>
      </w:r>
      <w:r>
        <w:rPr>
          <w:color w:val="auto"/>
          <w:sz w:val="30"/>
          <w:szCs w:val="30"/>
        </w:rPr>
        <w:fldChar w:fldCharType="end"/>
      </w:r>
      <w:bookmarkEnd w:id="1"/>
      <w:r>
        <w:rPr>
          <w:color w:val="auto"/>
          <w:sz w:val="30"/>
          <w:szCs w:val="30"/>
        </w:rPr>
        <w:t>发布</w:t>
      </w:r>
      <w:r>
        <w:rPr>
          <w:color w:val="auto"/>
        </w:rPr>
        <mc:AlternateContent>
          <mc:Choice Requires="wps">
            <w:drawing>
              <wp:anchor distT="0" distB="0" distL="114300" distR="114300" simplePos="0" relativeHeight="251660288" behindDoc="0" locked="1" layoutInCell="1" allowOverlap="1">
                <wp:simplePos x="0" y="0"/>
                <wp:positionH relativeFrom="column">
                  <wp:posOffset>-635</wp:posOffset>
                </wp:positionH>
                <wp:positionV relativeFrom="page">
                  <wp:posOffset>9251950</wp:posOffset>
                </wp:positionV>
                <wp:extent cx="6120130" cy="0"/>
                <wp:effectExtent l="8890" t="12700" r="5080" b="6350"/>
                <wp:wrapNone/>
                <wp:docPr id="43"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0" o:spid="_x0000_s1026" o:spt="20" style="position:absolute;left:0pt;margin-left:-0.05pt;margin-top:728.5pt;height:0pt;width:481.9pt;mso-position-vertical-relative:page;z-index:251660288;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CWHazzWAAAACwEAAA8AAAAAAAAAAQAgAAAAIgAAAGRycy9k&#10;b3ducmV2LnhtbFBLAQIUABQAAAAIAIdO4kDewLGAywEAAKEDAAAOAAAAAAAAAAEAIAAAACUBAABk&#10;cnMvZTJvRG9jLnhtbFBLBQYAAAAABgAGAFkBAABiBQAAAAA=&#10;">
                <v:fill on="f" focussize="0,0"/>
                <v:stroke color="#000000" joinstyle="round"/>
                <v:imagedata o:title=""/>
                <o:lock v:ext="edit" aspectratio="f"/>
                <w10:anchorlock/>
              </v:line>
            </w:pict>
          </mc:Fallback>
        </mc:AlternateContent>
      </w:r>
    </w:p>
    <w:p w14:paraId="5A9C9251">
      <w:pPr>
        <w:pStyle w:val="138"/>
        <w:framePr w:wrap="around" w:hAnchor="page" w:x="6931" w:y="13981"/>
        <w:rPr>
          <w:color w:val="auto"/>
          <w:sz w:val="30"/>
          <w:szCs w:val="30"/>
        </w:rPr>
      </w:pPr>
      <w:bookmarkStart w:id="2" w:name="SY"/>
      <w:r>
        <w:rPr>
          <w:color w:val="auto"/>
          <w:sz w:val="30"/>
          <w:szCs w:val="30"/>
        </w:rPr>
        <w:fldChar w:fldCharType="begin">
          <w:ffData>
            <w:name w:val="SY"/>
            <w:enabled/>
            <w:calcOnExit w:val="0"/>
            <w:textInput>
              <w:default w:val="XXXX"/>
              <w:maxLength w:val="4"/>
            </w:textInput>
          </w:ffData>
        </w:fldChar>
      </w:r>
      <w:r>
        <w:rPr>
          <w:color w:val="auto"/>
          <w:sz w:val="30"/>
          <w:szCs w:val="30"/>
        </w:rPr>
        <w:instrText xml:space="preserve"> FORMTEXT </w:instrText>
      </w:r>
      <w:r>
        <w:rPr>
          <w:color w:val="auto"/>
          <w:sz w:val="30"/>
          <w:szCs w:val="30"/>
        </w:rPr>
        <w:fldChar w:fldCharType="separate"/>
      </w:r>
      <w:r>
        <w:rPr>
          <w:color w:val="auto"/>
          <w:sz w:val="30"/>
          <w:szCs w:val="30"/>
        </w:rPr>
        <w:t>XXXX</w:t>
      </w:r>
      <w:r>
        <w:rPr>
          <w:color w:val="auto"/>
          <w:sz w:val="30"/>
          <w:szCs w:val="30"/>
        </w:rPr>
        <w:fldChar w:fldCharType="end"/>
      </w:r>
      <w:bookmarkEnd w:id="2"/>
      <w:r>
        <w:rPr>
          <w:color w:val="auto"/>
          <w:sz w:val="30"/>
          <w:szCs w:val="30"/>
        </w:rPr>
        <w:t xml:space="preserve"> - </w:t>
      </w:r>
      <w:bookmarkStart w:id="3" w:name="SM"/>
      <w:r>
        <w:rPr>
          <w:color w:val="auto"/>
          <w:sz w:val="30"/>
          <w:szCs w:val="30"/>
        </w:rPr>
        <w:fldChar w:fldCharType="begin">
          <w:ffData>
            <w:name w:val="SM"/>
            <w:enabled/>
            <w:calcOnExit w:val="0"/>
            <w:textInput>
              <w:default w:val="XX"/>
              <w:maxLength w:val="2"/>
            </w:textInput>
          </w:ffData>
        </w:fldChar>
      </w:r>
      <w:r>
        <w:rPr>
          <w:color w:val="auto"/>
          <w:sz w:val="30"/>
          <w:szCs w:val="30"/>
        </w:rPr>
        <w:instrText xml:space="preserve"> FORMTEXT </w:instrText>
      </w:r>
      <w:r>
        <w:rPr>
          <w:color w:val="auto"/>
          <w:sz w:val="30"/>
          <w:szCs w:val="30"/>
        </w:rPr>
        <w:fldChar w:fldCharType="separate"/>
      </w:r>
      <w:r>
        <w:rPr>
          <w:color w:val="auto"/>
          <w:sz w:val="30"/>
          <w:szCs w:val="30"/>
        </w:rPr>
        <w:t>XX</w:t>
      </w:r>
      <w:r>
        <w:rPr>
          <w:color w:val="auto"/>
          <w:sz w:val="30"/>
          <w:szCs w:val="30"/>
        </w:rPr>
        <w:fldChar w:fldCharType="end"/>
      </w:r>
      <w:bookmarkEnd w:id="3"/>
      <w:r>
        <w:rPr>
          <w:color w:val="auto"/>
          <w:sz w:val="30"/>
          <w:szCs w:val="30"/>
        </w:rPr>
        <w:t xml:space="preserve"> - </w:t>
      </w:r>
      <w:bookmarkStart w:id="4" w:name="SD"/>
      <w:r>
        <w:rPr>
          <w:color w:val="auto"/>
          <w:sz w:val="30"/>
          <w:szCs w:val="30"/>
        </w:rPr>
        <w:fldChar w:fldCharType="begin">
          <w:ffData>
            <w:name w:val="SD"/>
            <w:enabled/>
            <w:calcOnExit w:val="0"/>
            <w:textInput>
              <w:default w:val="XX"/>
              <w:maxLength w:val="2"/>
            </w:textInput>
          </w:ffData>
        </w:fldChar>
      </w:r>
      <w:r>
        <w:rPr>
          <w:color w:val="auto"/>
          <w:sz w:val="30"/>
          <w:szCs w:val="30"/>
        </w:rPr>
        <w:instrText xml:space="preserve"> FORMTEXT </w:instrText>
      </w:r>
      <w:r>
        <w:rPr>
          <w:color w:val="auto"/>
          <w:sz w:val="30"/>
          <w:szCs w:val="30"/>
        </w:rPr>
        <w:fldChar w:fldCharType="separate"/>
      </w:r>
      <w:r>
        <w:rPr>
          <w:color w:val="auto"/>
          <w:sz w:val="30"/>
          <w:szCs w:val="30"/>
        </w:rPr>
        <w:t>XX</w:t>
      </w:r>
      <w:r>
        <w:rPr>
          <w:color w:val="auto"/>
          <w:sz w:val="30"/>
          <w:szCs w:val="30"/>
        </w:rPr>
        <w:fldChar w:fldCharType="end"/>
      </w:r>
      <w:bookmarkEnd w:id="4"/>
      <w:r>
        <w:rPr>
          <w:color w:val="auto"/>
          <w:sz w:val="30"/>
          <w:szCs w:val="30"/>
        </w:rPr>
        <w:t>实施</w:t>
      </w:r>
    </w:p>
    <w:p w14:paraId="43A61B32">
      <w:pPr>
        <w:pStyle w:val="118"/>
        <w:framePr w:h="584" w:hRule="exact" w:hSpace="181" w:wrap="around" w:y="15027"/>
        <w:rPr>
          <w:rFonts w:hint="eastAsia" w:ascii="黑体" w:hAnsi="黑体" w:cs="黑体"/>
          <w:color w:val="auto"/>
          <w:szCs w:val="28"/>
        </w:rPr>
      </w:pPr>
      <w:r>
        <w:rPr>
          <w:rFonts w:hint="eastAsia" w:ascii="Times New Roman" w:hAnsi="Times New Roman" w:eastAsia="黑体" w:cs="Times New Roman"/>
          <w:color w:val="auto"/>
          <w:spacing w:val="0"/>
          <w:w w:val="100"/>
          <w:sz w:val="28"/>
          <w:szCs w:val="20"/>
        </w:rPr>
        <w:t xml:space="preserve">中国生物材料学会   </w:t>
      </w:r>
      <w:r>
        <w:rPr>
          <w:rFonts w:hint="eastAsia" w:ascii="Times New Roman" w:hAnsi="Times New Roman" w:cs="Times New Roman"/>
          <w:color w:val="auto"/>
          <w:spacing w:val="0"/>
          <w:sz w:val="28"/>
          <w:szCs w:val="20"/>
        </w:rPr>
        <w:t>发布</w:t>
      </w:r>
    </w:p>
    <w:p w14:paraId="566E2AF9">
      <w:pPr>
        <w:pStyle w:val="86"/>
        <w:framePr w:wrap="around"/>
        <w:spacing w:before="156" w:after="156" w:line="240" w:lineRule="auto"/>
        <w:rPr>
          <w:rFonts w:hint="eastAsia" w:ascii="黑体" w:hAnsi="黑体" w:cs="Times New Roman"/>
          <w:bCs/>
          <w:color w:val="auto"/>
          <w:sz w:val="52"/>
          <w:szCs w:val="20"/>
        </w:rPr>
      </w:pPr>
      <w:bookmarkStart w:id="5" w:name="OLE_LINK23"/>
      <w:bookmarkStart w:id="6" w:name="YZBS"/>
      <w:r>
        <w:rPr>
          <w:rFonts w:hint="eastAsia" w:ascii="黑体" w:hAnsi="黑体" w:cs="Times New Roman"/>
          <w:bCs/>
          <w:color w:val="auto"/>
          <w:sz w:val="52"/>
          <w:szCs w:val="20"/>
        </w:rPr>
        <w:t>明胶海绵栓塞微球</w:t>
      </w:r>
    </w:p>
    <w:bookmarkEnd w:id="5"/>
    <w:tbl>
      <w:tblPr>
        <w:tblStyle w:val="36"/>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55"/>
      </w:tblGrid>
      <w:tr w14:paraId="756C6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tcPr>
          <w:p w14:paraId="786FD5DC">
            <w:pPr>
              <w:pStyle w:val="86"/>
              <w:framePr w:wrap="around"/>
              <w:spacing w:before="156" w:after="156"/>
              <w:rPr>
                <w:color w:val="auto"/>
              </w:rPr>
            </w:pPr>
            <w:r>
              <w:rPr>
                <w:rFonts w:ascii="Noto Sans SC" w:hAnsi="Noto Sans SC" w:eastAsia="Noto Sans SC" w:cs="Noto Sans SC"/>
                <w:color w:val="auto"/>
                <w:sz w:val="24"/>
                <w:szCs w:val="24"/>
                <w:shd w:val="clear" w:color="auto" w:fill="FFFFFF"/>
              </w:rPr>
              <w:t> </w:t>
            </w:r>
            <w:r>
              <w:rPr>
                <w:rFonts w:hint="default" w:ascii="黑体" w:hAnsi="黑体" w:eastAsia="黑体" w:cs="Times New Roman"/>
                <w:bCs w:val="0"/>
                <w:color w:val="auto"/>
                <w:sz w:val="28"/>
                <w:szCs w:val="28"/>
                <w:shd w:val="clear"/>
              </w:rPr>
              <w:t>Gelatin Sponge Embolization Microspheres</w:t>
            </w:r>
            <w:bookmarkEnd w:id="6"/>
            <w:r>
              <w:rPr>
                <w:color w:val="auto"/>
              </w:rPr>
              <mc:AlternateContent>
                <mc:Choice Requires="wps">
                  <w:drawing>
                    <wp:anchor distT="0" distB="0" distL="114300" distR="114300" simplePos="0" relativeHeight="251662336" behindDoc="1" locked="1" layoutInCell="1" allowOverlap="1">
                      <wp:simplePos x="0" y="0"/>
                      <wp:positionH relativeFrom="column">
                        <wp:posOffset>2200910</wp:posOffset>
                      </wp:positionH>
                      <wp:positionV relativeFrom="paragraph">
                        <wp:posOffset>573405</wp:posOffset>
                      </wp:positionV>
                      <wp:extent cx="1905000" cy="254000"/>
                      <wp:effectExtent l="635" t="1905" r="0" b="1270"/>
                      <wp:wrapNone/>
                      <wp:docPr id="45" name="RQ"/>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wps:spPr>
                            <wps:bodyPr rot="0" vert="horz" wrap="square" lIns="91440" tIns="45720" rIns="91440" bIns="45720" anchor="t" anchorCtr="0" upright="1">
                              <a:noAutofit/>
                            </wps:bodyPr>
                          </wps:wsp>
                        </a:graphicData>
                      </a:graphic>
                    </wp:anchor>
                  </w:drawing>
                </mc:Choice>
                <mc:Fallback>
                  <w:pict>
                    <v:rect id="RQ" o:spid="_x0000_s1026" o:spt="1" style="position:absolute;left:0pt;margin-left:173.3pt;margin-top:45.15pt;height:20pt;width:150pt;z-index:-251654144;mso-width-relative:page;mso-height-relative:page;" fillcolor="#FFFFFF" filled="t" stroked="f" coordsize="21600,21600" o:gfxdata="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YmuktUAAAAKAQAADwAAAAAAAAABACAAAAAiAAAA&#10;ZHJzL2Rvd25yZXYueG1sUEsBAhQAFAAAAAgAh07iQOlIXzMKAgAAIQQAAA4AAAAAAAAAAQAgAAAA&#10;JAEAAGRycy9lMm9Eb2MueG1sUEsFBgAAAAAGAAYAWQEAAKAFAAAAAA==&#10;">
                      <v:fill on="t" focussize="0,0"/>
                      <v:stroke on="f"/>
                      <v:imagedata o:title=""/>
                      <o:lock v:ext="edit" aspectratio="f"/>
                      <w10:anchorlock/>
                    </v:rect>
                  </w:pict>
                </mc:Fallback>
              </mc:AlternateContent>
            </w:r>
            <w:r>
              <w:rPr>
                <w:rFonts w:hint="eastAsia"/>
                <w:color w:val="auto"/>
              </w:rPr>
              <w:t>（征求意见稿）</w:t>
            </w:r>
          </w:p>
        </w:tc>
      </w:tr>
      <w:tr w14:paraId="06D78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5" w:type="dxa"/>
            <w:tcBorders>
              <w:top w:val="nil"/>
              <w:left w:val="nil"/>
              <w:bottom w:val="nil"/>
              <w:right w:val="nil"/>
            </w:tcBorders>
          </w:tcPr>
          <w:p w14:paraId="59E02425">
            <w:pPr>
              <w:pStyle w:val="89"/>
              <w:framePr w:wrap="around"/>
              <w:spacing w:before="312" w:after="312"/>
              <w:rPr>
                <w:rFonts w:ascii="Times New Roman"/>
                <w:color w:val="auto"/>
              </w:rPr>
            </w:pPr>
            <w:r>
              <w:rPr>
                <w:rFonts w:hint="eastAsia" w:ascii="Times New Roman"/>
                <w:color w:val="auto"/>
              </w:rPr>
              <w:t>在提交反馈意见时，请将您知道的相关专利连同支持性文件一并附上</w:t>
            </w:r>
          </w:p>
        </w:tc>
      </w:tr>
    </w:tbl>
    <w:tbl>
      <w:tblPr>
        <w:tblStyle w:val="37"/>
        <w:tblW w:w="9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6"/>
        <w:gridCol w:w="9319"/>
      </w:tblGrid>
      <w:tr w14:paraId="7DBBD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6" w:type="dxa"/>
          </w:tcPr>
          <w:p w14:paraId="155FB94B">
            <w:pPr>
              <w:pStyle w:val="21"/>
              <w:framePr w:wrap="notBeside" w:vAnchor="page" w:hAnchor="page" w:x="1372" w:y="568"/>
              <w:rPr>
                <w:rFonts w:hint="eastAsia" w:ascii="黑体" w:hAnsi="黑体" w:eastAsia="黑体" w:cs="黑体"/>
                <w:color w:val="auto"/>
                <w:sz w:val="21"/>
                <w:szCs w:val="21"/>
              </w:rPr>
            </w:pPr>
            <w:r>
              <w:rPr>
                <w:rFonts w:hint="eastAsia" w:ascii="黑体" w:hAnsi="黑体" w:eastAsia="黑体" w:cs="黑体"/>
                <w:color w:val="auto"/>
                <w:sz w:val="21"/>
                <w:szCs w:val="21"/>
              </w:rPr>
              <w:t>ICS</w:t>
            </w:r>
          </w:p>
        </w:tc>
        <w:tc>
          <w:tcPr>
            <w:tcW w:w="9319" w:type="dxa"/>
          </w:tcPr>
          <w:p w14:paraId="14543682">
            <w:pPr>
              <w:pStyle w:val="21"/>
              <w:framePr w:wrap="notBeside" w:vAnchor="page" w:hAnchor="page" w:x="1372" w:y="568"/>
              <w:spacing w:before="40"/>
              <w:jc w:val="left"/>
              <w:rPr>
                <w:rFonts w:ascii="Times New Roman" w:eastAsia="黑体"/>
                <w:color w:val="auto"/>
                <w:sz w:val="21"/>
                <w:szCs w:val="21"/>
              </w:rPr>
            </w:pPr>
            <w:r>
              <w:rPr>
                <w:rFonts w:hint="eastAsia" w:ascii="黑体" w:hAnsi="黑体" w:eastAsia="黑体" w:cs="黑体"/>
                <w:color w:val="auto"/>
                <w:sz w:val="21"/>
                <w:szCs w:val="21"/>
                <w:lang w:val="en-US" w:eastAsia="zh-CN"/>
              </w:rPr>
              <w:t>11.040.40</w:t>
            </w:r>
          </w:p>
        </w:tc>
      </w:tr>
      <w:tr w14:paraId="4C93D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36" w:type="dxa"/>
          </w:tcPr>
          <w:p w14:paraId="2B6367A3">
            <w:pPr>
              <w:pStyle w:val="21"/>
              <w:framePr w:wrap="notBeside" w:vAnchor="page" w:hAnchor="page" w:x="1372" w:y="568"/>
              <w:spacing w:before="40"/>
              <w:rPr>
                <w:rFonts w:hint="eastAsia" w:ascii="黑体" w:hAnsi="黑体" w:eastAsia="黑体" w:cs="黑体"/>
                <w:color w:val="auto"/>
                <w:sz w:val="21"/>
                <w:szCs w:val="21"/>
              </w:rPr>
            </w:pPr>
            <w:r>
              <w:rPr>
                <w:rFonts w:hint="eastAsia" w:ascii="黑体" w:hAnsi="黑体" w:eastAsia="黑体" w:cs="黑体"/>
                <w:color w:val="auto"/>
                <w:sz w:val="21"/>
                <w:szCs w:val="21"/>
              </w:rPr>
              <w:t>CCS</w:t>
            </w:r>
          </w:p>
        </w:tc>
        <w:tc>
          <w:tcPr>
            <w:tcW w:w="9319" w:type="dxa"/>
          </w:tcPr>
          <w:p w14:paraId="1F8BADB6">
            <w:pPr>
              <w:pStyle w:val="21"/>
              <w:framePr w:wrap="notBeside" w:vAnchor="page" w:hAnchor="page" w:x="1372" w:y="568"/>
              <w:spacing w:before="40"/>
              <w:rPr>
                <w:rFonts w:ascii="Times New Roman" w:eastAsia="黑体"/>
                <w:color w:val="auto"/>
                <w:sz w:val="21"/>
                <w:szCs w:val="21"/>
              </w:rPr>
            </w:pPr>
            <w:r>
              <w:rPr>
                <w:rFonts w:hint="eastAsia" w:ascii="黑体" w:hAnsi="黑体" w:eastAsia="黑体" w:cs="黑体"/>
                <w:color w:val="auto"/>
                <w:sz w:val="21"/>
                <w:szCs w:val="21"/>
                <w:lang w:val="en-US" w:eastAsia="zh-CN"/>
              </w:rPr>
              <w:t>C 45</w:t>
            </w:r>
          </w:p>
        </w:tc>
      </w:tr>
    </w:tbl>
    <w:tbl>
      <w:tblPr>
        <w:tblStyle w:val="37"/>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61"/>
      </w:tblGrid>
      <w:tr w14:paraId="41427A1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61" w:type="dxa"/>
          </w:tcPr>
          <w:p w14:paraId="5F75B235">
            <w:pPr>
              <w:pStyle w:val="72"/>
              <w:framePr w:w="0" w:hRule="auto" w:hSpace="0" w:vSpace="0" w:wrap="auto" w:vAnchor="margin" w:hAnchor="text" w:xAlign="left" w:yAlign="inline"/>
              <w:rPr>
                <w:rFonts w:hint="eastAsia" w:ascii="宋体" w:hAnsi="宋体"/>
                <w:color w:val="auto"/>
                <w:sz w:val="28"/>
                <w:szCs w:val="28"/>
              </w:rPr>
            </w:pPr>
            <w:r>
              <w:rPr>
                <w:rFonts w:ascii="Times New Roman" w:hAnsi="Times New Roman" w:eastAsia="宋体" w:cs="Times New Roman"/>
                <w:color w:val="auto"/>
                <w:w w:val="130"/>
                <w:szCs w:val="20"/>
              </w:rPr>
              <w:t>T</w:t>
            </w:r>
            <w:r>
              <w:rPr>
                <w:rFonts w:hint="default" w:ascii="Times New Roman" w:hAnsi="Times New Roman" w:eastAsia="宋体" w:cs="Times New Roman"/>
                <w:color w:val="auto"/>
                <w:w w:val="130"/>
                <w:szCs w:val="20"/>
              </w:rPr>
              <w:t>/</w:t>
            </w:r>
            <w:r>
              <w:rPr>
                <w:rFonts w:ascii="Times New Roman" w:hAnsi="Times New Roman" w:eastAsia="宋体" w:cs="Times New Roman"/>
                <w:color w:val="auto"/>
                <w:w w:val="130"/>
                <w:szCs w:val="20"/>
              </w:rPr>
              <w:t>CSBM</w:t>
            </w:r>
          </w:p>
        </w:tc>
      </w:tr>
    </w:tbl>
    <w:p w14:paraId="2E5382BA">
      <w:pPr>
        <w:pStyle w:val="73"/>
        <w:framePr w:wrap="around" w:x="1305" w:y="2269"/>
        <w:rPr>
          <w:rFonts w:hint="eastAsia" w:ascii="黑体" w:hAnsi="黑体" w:eastAsia="黑体"/>
          <w:b w:val="0"/>
          <w:bCs w:val="0"/>
          <w:color w:val="auto"/>
          <w:w w:val="100"/>
          <w:szCs w:val="48"/>
        </w:rPr>
      </w:pPr>
      <w:r>
        <w:rPr>
          <w:rFonts w:hint="eastAsia" w:ascii="黑体" w:hAnsi="黑体" w:eastAsia="黑体"/>
          <w:b w:val="0"/>
          <w:bCs w:val="0"/>
          <w:color w:val="auto"/>
          <w:w w:val="100"/>
          <w:szCs w:val="48"/>
        </w:rPr>
        <w:t>团体标准</w:t>
      </w:r>
    </w:p>
    <w:p w14:paraId="54CAEB64">
      <w:pPr>
        <w:pStyle w:val="163"/>
        <w:rPr>
          <w:rFonts w:hint="eastAsia" w:hAnsi="黑体" w:eastAsia="黑体"/>
          <w:color w:val="auto"/>
          <w:lang w:eastAsia="zh-CN"/>
        </w:rPr>
      </w:pPr>
      <w:r>
        <w:rPr>
          <w:rFonts w:hAnsi="黑体" w:cs="Times New Roman"/>
          <w:color w:val="auto"/>
        </w:rPr>
        <w:t>T/CSBM 00</w:t>
      </w:r>
      <w:r>
        <w:rPr>
          <w:rFonts w:hint="eastAsia" w:hAnsi="黑体" w:cs="Times New Roman"/>
          <w:color w:val="auto"/>
          <w:lang w:val="en-US" w:eastAsia="zh-CN"/>
        </w:rPr>
        <w:t>XX</w:t>
      </w:r>
      <w:r>
        <w:rPr>
          <w:rFonts w:hAnsi="黑体" w:cs="Times New Roman"/>
          <w:color w:val="auto"/>
        </w:rPr>
        <w:t>—202</w:t>
      </w:r>
      <w:r>
        <w:rPr>
          <w:rFonts w:hint="eastAsia" w:hAnsi="黑体" w:cs="Times New Roman"/>
          <w:color w:val="auto"/>
          <w:lang w:val="en-US" w:eastAsia="zh-CN"/>
        </w:rPr>
        <w:t>6</w:t>
      </w:r>
    </w:p>
    <w:p w14:paraId="07B542A8">
      <w:pPr>
        <w:pStyle w:val="164"/>
        <w:rPr>
          <w:rFonts w:hint="eastAsia" w:hAnsi="黑体"/>
          <w:color w:val="auto"/>
        </w:rPr>
      </w:pPr>
      <w:r>
        <w:rPr>
          <w:rFonts w:hAnsi="黑体"/>
          <w:color w:val="auto"/>
        </w:rPr>
        <w:fldChar w:fldCharType="begin">
          <w:ffData>
            <w:name w:val="OSTD_CODE"/>
            <w:enabled/>
            <w:calcOnExit w:val="0"/>
            <w:textInput/>
          </w:ffData>
        </w:fldChar>
      </w:r>
      <w:bookmarkStart w:id="7" w:name="OSTD_CODE"/>
      <w:r>
        <w:rPr>
          <w:rFonts w:hAnsi="黑体"/>
          <w:color w:val="auto"/>
        </w:rPr>
        <w:instrText xml:space="preserve"> FORMTEXT </w:instrText>
      </w:r>
      <w:r>
        <w:rPr>
          <w:rFonts w:hAnsi="黑体"/>
          <w:color w:val="auto"/>
        </w:rPr>
        <w:fldChar w:fldCharType="separate"/>
      </w:r>
      <w:r>
        <w:rPr>
          <w:rFonts w:hAnsi="黑体"/>
          <w:color w:val="auto"/>
        </w:rPr>
        <w:t>     </w:t>
      </w:r>
      <w:r>
        <w:rPr>
          <w:rFonts w:hAnsi="黑体"/>
          <w:color w:val="auto"/>
        </w:rPr>
        <w:fldChar w:fldCharType="end"/>
      </w:r>
      <w:bookmarkEnd w:id="7"/>
    </w:p>
    <w:p w14:paraId="4FCAED03">
      <w:pPr>
        <w:pStyle w:val="26"/>
        <w:rPr>
          <w:rFonts w:ascii="Times New Roman"/>
          <w:color w:val="auto"/>
        </w:rPr>
        <w:sectPr>
          <w:footerReference r:id="rId3" w:type="default"/>
          <w:footerReference r:id="rId4" w:type="even"/>
          <w:pgSz w:w="11906" w:h="16838"/>
          <w:pgMar w:top="567" w:right="1134" w:bottom="1134" w:left="1417" w:header="0" w:footer="0" w:gutter="0"/>
          <w:pgNumType w:start="1"/>
          <w:cols w:space="425" w:num="1"/>
          <w:docGrid w:type="lines" w:linePitch="312" w:charSpace="0"/>
        </w:sectPr>
      </w:pPr>
      <w:r>
        <w:rPr>
          <w:rFonts w:ascii="Times New Roman"/>
          <w:color w:val="auto"/>
        </w:rP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2339975</wp:posOffset>
                </wp:positionV>
                <wp:extent cx="6120130" cy="0"/>
                <wp:effectExtent l="8890" t="6350" r="5080" b="12700"/>
                <wp:wrapNone/>
                <wp:docPr id="42" name="Line 11"/>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0.05pt;margin-top:184.25pt;height:0pt;width:481.9pt;z-index:251661312;mso-width-relative:page;mso-height-relative:page;" filled="f" stroked="t" coordsize="21600,21600" o:gfxdata="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QkHiX9cAAAAJAQAADwAAAAAAAAABACAAAAAiAAAAZHJzL2Rv&#10;d25yZXYueG1sUEsBAhQAFAAAAAgAh07iQFi0IyfJAQAAoQMAAA4AAAAAAAAAAQAgAAAAJgEAAGRy&#10;cy9lMm9Eb2MueG1sUEsFBgAAAAAGAAYAWQEAAGEFAAAAAA==&#10;">
                <v:fill on="f" focussize="0,0"/>
                <v:stroke color="#000000" joinstyle="round"/>
                <v:imagedata o:title=""/>
                <o:lock v:ext="edit" aspectratio="f"/>
              </v:line>
            </w:pict>
          </mc:Fallback>
        </mc:AlternateContent>
      </w:r>
    </w:p>
    <w:p w14:paraId="36F37EF5">
      <w:pPr>
        <w:pStyle w:val="56"/>
        <w:rPr>
          <w:rFonts w:ascii="Times New Roman"/>
          <w:color w:val="auto"/>
        </w:rPr>
      </w:pPr>
      <w:bookmarkStart w:id="8" w:name="_Toc398301037"/>
      <w:bookmarkStart w:id="9" w:name="_Toc354142462"/>
      <w:bookmarkStart w:id="10" w:name="_Toc358964227"/>
      <w:bookmarkStart w:id="11" w:name="_Toc354142267"/>
      <w:bookmarkStart w:id="12" w:name="_Toc343596936"/>
      <w:bookmarkStart w:id="13" w:name="_Toc340491278"/>
      <w:bookmarkStart w:id="14" w:name="_Toc374444820"/>
      <w:bookmarkStart w:id="15" w:name="_Toc338060633"/>
      <w:bookmarkStart w:id="16" w:name="_Toc342665737"/>
      <w:bookmarkStart w:id="17" w:name="_Toc342589523"/>
      <w:bookmarkStart w:id="18" w:name="_Toc338685857"/>
      <w:bookmarkStart w:id="19" w:name="_Toc338754584"/>
      <w:bookmarkStart w:id="20" w:name="_Toc338604798"/>
      <w:bookmarkStart w:id="21" w:name="_Toc338060690"/>
      <w:bookmarkStart w:id="22" w:name="_Toc354142627"/>
      <w:r>
        <w:rPr>
          <w:rFonts w:ascii="Times New Roman"/>
          <w:color w:val="auto"/>
        </w:rPr>
        <w:t>目</w:t>
      </w:r>
      <w:bookmarkStart w:id="23" w:name="BKML"/>
      <w:r>
        <w:rPr>
          <w:rFonts w:ascii="Times New Roman"/>
          <w:color w:val="auto"/>
        </w:rPr>
        <w:t>  次</w:t>
      </w:r>
      <w:bookmarkEnd w:id="23"/>
    </w:p>
    <w:p w14:paraId="149008C6">
      <w:pPr>
        <w:pStyle w:val="22"/>
        <w:tabs>
          <w:tab w:val="right" w:leader="dot" w:pos="9355"/>
          <w:tab w:val="clear" w:pos="9241"/>
        </w:tabs>
        <w:rPr>
          <w:color w:val="auto"/>
        </w:rPr>
      </w:pPr>
      <w:r>
        <w:rPr>
          <w:rFonts w:ascii="Times New Roman"/>
          <w:color w:val="auto"/>
        </w:rPr>
        <w:fldChar w:fldCharType="begin"/>
      </w:r>
      <w:r>
        <w:rPr>
          <w:rFonts w:ascii="Times New Roman"/>
          <w:color w:val="auto"/>
        </w:rPr>
        <w:instrText xml:space="preserve"> TOC \h \z \t "前言、引言标题,1,参考文献、索引标题,1,章标题,1,参考文献,1,附录标识,1" </w:instrText>
      </w:r>
      <w:r>
        <w:rPr>
          <w:rFonts w:ascii="Times New Roman"/>
          <w:color w:val="auto"/>
        </w:rPr>
        <w:fldChar w:fldCharType="separate"/>
      </w:r>
      <w:r>
        <w:rPr>
          <w:rFonts w:ascii="Times New Roman"/>
          <w:color w:val="auto"/>
          <w:kern w:val="2"/>
          <w:szCs w:val="21"/>
        </w:rPr>
        <w:fldChar w:fldCharType="begin"/>
      </w:r>
      <w:r>
        <w:rPr>
          <w:rFonts w:ascii="Times New Roman"/>
          <w:color w:val="auto"/>
          <w:kern w:val="2"/>
          <w:szCs w:val="21"/>
        </w:rPr>
        <w:instrText xml:space="preserve"> HYPERLINK \l _Toc4963 </w:instrText>
      </w:r>
      <w:r>
        <w:rPr>
          <w:rFonts w:ascii="Times New Roman"/>
          <w:color w:val="auto"/>
          <w:kern w:val="2"/>
          <w:szCs w:val="21"/>
        </w:rPr>
        <w:fldChar w:fldCharType="separate"/>
      </w:r>
      <w:r>
        <w:rPr>
          <w:rFonts w:ascii="Times New Roman"/>
          <w:color w:val="auto"/>
        </w:rPr>
        <w:t>前  言</w:t>
      </w:r>
      <w:r>
        <w:rPr>
          <w:color w:val="auto"/>
        </w:rPr>
        <w:tab/>
      </w:r>
      <w:r>
        <w:rPr>
          <w:color w:val="auto"/>
        </w:rPr>
        <w:fldChar w:fldCharType="begin"/>
      </w:r>
      <w:r>
        <w:rPr>
          <w:color w:val="auto"/>
        </w:rPr>
        <w:instrText xml:space="preserve"> PAGEREF _Toc4963 \h </w:instrText>
      </w:r>
      <w:r>
        <w:rPr>
          <w:color w:val="auto"/>
        </w:rPr>
        <w:fldChar w:fldCharType="separate"/>
      </w:r>
      <w:r>
        <w:rPr>
          <w:color w:val="auto"/>
        </w:rPr>
        <w:t>II</w:t>
      </w:r>
      <w:r>
        <w:rPr>
          <w:color w:val="auto"/>
        </w:rPr>
        <w:fldChar w:fldCharType="end"/>
      </w:r>
      <w:r>
        <w:rPr>
          <w:rFonts w:ascii="Times New Roman"/>
          <w:color w:val="auto"/>
          <w:kern w:val="2"/>
          <w:szCs w:val="21"/>
        </w:rPr>
        <w:fldChar w:fldCharType="end"/>
      </w:r>
    </w:p>
    <w:p w14:paraId="206CCB4B">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_Toc25168 </w:instrText>
      </w:r>
      <w:r>
        <w:rPr>
          <w:rFonts w:ascii="Times New Roman"/>
          <w:color w:val="auto"/>
          <w:kern w:val="2"/>
          <w:szCs w:val="21"/>
        </w:rPr>
        <w:fldChar w:fldCharType="separate"/>
      </w:r>
      <w:r>
        <w:rPr>
          <w:rFonts w:hint="eastAsia"/>
          <w:color w:val="auto"/>
        </w:rPr>
        <w:t>引   言</w:t>
      </w:r>
      <w:r>
        <w:rPr>
          <w:color w:val="auto"/>
        </w:rPr>
        <w:tab/>
      </w:r>
      <w:r>
        <w:rPr>
          <w:color w:val="auto"/>
        </w:rPr>
        <w:fldChar w:fldCharType="begin"/>
      </w:r>
      <w:r>
        <w:rPr>
          <w:color w:val="auto"/>
        </w:rPr>
        <w:instrText xml:space="preserve"> PAGEREF _Toc25168 \h </w:instrText>
      </w:r>
      <w:r>
        <w:rPr>
          <w:color w:val="auto"/>
        </w:rPr>
        <w:fldChar w:fldCharType="separate"/>
      </w:r>
      <w:r>
        <w:rPr>
          <w:color w:val="auto"/>
        </w:rPr>
        <w:t>III</w:t>
      </w:r>
      <w:r>
        <w:rPr>
          <w:color w:val="auto"/>
        </w:rPr>
        <w:fldChar w:fldCharType="end"/>
      </w:r>
      <w:r>
        <w:rPr>
          <w:rFonts w:ascii="Times New Roman"/>
          <w:color w:val="auto"/>
          <w:kern w:val="2"/>
          <w:szCs w:val="21"/>
        </w:rPr>
        <w:fldChar w:fldCharType="end"/>
      </w:r>
    </w:p>
    <w:p w14:paraId="7B9AC207">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_Toc26027 </w:instrText>
      </w:r>
      <w:r>
        <w:rPr>
          <w:rFonts w:ascii="Times New Roman"/>
          <w:color w:val="auto"/>
          <w:kern w:val="2"/>
          <w:szCs w:val="21"/>
        </w:rPr>
        <w:fldChar w:fldCharType="separate"/>
      </w:r>
      <w:r>
        <w:rPr>
          <w:rFonts w:hint="eastAsia" w:ascii="黑体" w:hAnsi="Times New Roman" w:eastAsia="黑体"/>
          <w:i w:val="0"/>
          <w:color w:val="auto"/>
          <w:szCs w:val="21"/>
        </w:rPr>
        <w:t xml:space="preserve">1 </w:t>
      </w:r>
      <w:r>
        <w:rPr>
          <w:rFonts w:ascii="Times New Roman"/>
          <w:color w:val="auto"/>
        </w:rPr>
        <w:t>范围</w:t>
      </w:r>
      <w:r>
        <w:rPr>
          <w:color w:val="auto"/>
        </w:rPr>
        <w:tab/>
      </w:r>
      <w:r>
        <w:rPr>
          <w:color w:val="auto"/>
        </w:rPr>
        <w:fldChar w:fldCharType="begin"/>
      </w:r>
      <w:r>
        <w:rPr>
          <w:color w:val="auto"/>
        </w:rPr>
        <w:instrText xml:space="preserve"> PAGEREF _Toc26027 \h </w:instrText>
      </w:r>
      <w:r>
        <w:rPr>
          <w:color w:val="auto"/>
        </w:rPr>
        <w:fldChar w:fldCharType="separate"/>
      </w:r>
      <w:r>
        <w:rPr>
          <w:color w:val="auto"/>
        </w:rPr>
        <w:t>1</w:t>
      </w:r>
      <w:r>
        <w:rPr>
          <w:color w:val="auto"/>
        </w:rPr>
        <w:fldChar w:fldCharType="end"/>
      </w:r>
      <w:r>
        <w:rPr>
          <w:rFonts w:ascii="Times New Roman"/>
          <w:color w:val="auto"/>
          <w:kern w:val="2"/>
          <w:szCs w:val="21"/>
        </w:rPr>
        <w:fldChar w:fldCharType="end"/>
      </w:r>
    </w:p>
    <w:p w14:paraId="6F9C3DD6">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_Toc26982 </w:instrText>
      </w:r>
      <w:r>
        <w:rPr>
          <w:rFonts w:ascii="Times New Roman"/>
          <w:color w:val="auto"/>
          <w:kern w:val="2"/>
          <w:szCs w:val="21"/>
        </w:rPr>
        <w:fldChar w:fldCharType="separate"/>
      </w:r>
      <w:r>
        <w:rPr>
          <w:rFonts w:hint="eastAsia" w:ascii="黑体" w:hAnsi="Times New Roman" w:eastAsia="黑体"/>
          <w:i w:val="0"/>
          <w:color w:val="auto"/>
          <w:szCs w:val="21"/>
        </w:rPr>
        <w:t xml:space="preserve">2 </w:t>
      </w:r>
      <w:r>
        <w:rPr>
          <w:rFonts w:ascii="Times New Roman"/>
          <w:color w:val="auto"/>
        </w:rPr>
        <w:t>规范性引用文件</w:t>
      </w:r>
      <w:r>
        <w:rPr>
          <w:color w:val="auto"/>
        </w:rPr>
        <w:tab/>
      </w:r>
      <w:r>
        <w:rPr>
          <w:color w:val="auto"/>
        </w:rPr>
        <w:fldChar w:fldCharType="begin"/>
      </w:r>
      <w:r>
        <w:rPr>
          <w:color w:val="auto"/>
        </w:rPr>
        <w:instrText xml:space="preserve"> PAGEREF _Toc26982 \h </w:instrText>
      </w:r>
      <w:r>
        <w:rPr>
          <w:color w:val="auto"/>
        </w:rPr>
        <w:fldChar w:fldCharType="separate"/>
      </w:r>
      <w:r>
        <w:rPr>
          <w:color w:val="auto"/>
        </w:rPr>
        <w:t>1</w:t>
      </w:r>
      <w:r>
        <w:rPr>
          <w:color w:val="auto"/>
        </w:rPr>
        <w:fldChar w:fldCharType="end"/>
      </w:r>
      <w:r>
        <w:rPr>
          <w:rFonts w:ascii="Times New Roman"/>
          <w:color w:val="auto"/>
          <w:kern w:val="2"/>
          <w:szCs w:val="21"/>
        </w:rPr>
        <w:fldChar w:fldCharType="end"/>
      </w:r>
    </w:p>
    <w:p w14:paraId="429B3B10">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_Toc23108 </w:instrText>
      </w:r>
      <w:r>
        <w:rPr>
          <w:rFonts w:ascii="Times New Roman"/>
          <w:color w:val="auto"/>
          <w:kern w:val="2"/>
          <w:szCs w:val="21"/>
        </w:rPr>
        <w:fldChar w:fldCharType="separate"/>
      </w:r>
      <w:r>
        <w:rPr>
          <w:rFonts w:hint="eastAsia" w:ascii="黑体" w:hAnsi="Times New Roman" w:eastAsia="黑体"/>
          <w:i w:val="0"/>
          <w:color w:val="auto"/>
          <w:szCs w:val="21"/>
        </w:rPr>
        <w:t xml:space="preserve">3 </w:t>
      </w:r>
      <w:r>
        <w:rPr>
          <w:rFonts w:ascii="Times New Roman"/>
          <w:color w:val="auto"/>
        </w:rPr>
        <w:t>术语</w:t>
      </w:r>
      <w:r>
        <w:rPr>
          <w:rFonts w:hint="eastAsia" w:ascii="Times New Roman"/>
          <w:color w:val="auto"/>
        </w:rPr>
        <w:t>和</w:t>
      </w:r>
      <w:r>
        <w:rPr>
          <w:rFonts w:ascii="Times New Roman"/>
          <w:color w:val="auto"/>
        </w:rPr>
        <w:t>定义</w:t>
      </w:r>
      <w:r>
        <w:rPr>
          <w:color w:val="auto"/>
        </w:rPr>
        <w:tab/>
      </w:r>
      <w:r>
        <w:rPr>
          <w:color w:val="auto"/>
        </w:rPr>
        <w:fldChar w:fldCharType="begin"/>
      </w:r>
      <w:r>
        <w:rPr>
          <w:color w:val="auto"/>
        </w:rPr>
        <w:instrText xml:space="preserve"> PAGEREF _Toc23108 \h </w:instrText>
      </w:r>
      <w:r>
        <w:rPr>
          <w:color w:val="auto"/>
        </w:rPr>
        <w:fldChar w:fldCharType="separate"/>
      </w:r>
      <w:r>
        <w:rPr>
          <w:color w:val="auto"/>
        </w:rPr>
        <w:t>1</w:t>
      </w:r>
      <w:r>
        <w:rPr>
          <w:color w:val="auto"/>
        </w:rPr>
        <w:fldChar w:fldCharType="end"/>
      </w:r>
      <w:r>
        <w:rPr>
          <w:rFonts w:ascii="Times New Roman"/>
          <w:color w:val="auto"/>
          <w:kern w:val="2"/>
          <w:szCs w:val="21"/>
        </w:rPr>
        <w:fldChar w:fldCharType="end"/>
      </w:r>
    </w:p>
    <w:p w14:paraId="0FEB9A97">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_Toc25387 </w:instrText>
      </w:r>
      <w:r>
        <w:rPr>
          <w:rFonts w:ascii="Times New Roman"/>
          <w:color w:val="auto"/>
          <w:kern w:val="2"/>
          <w:szCs w:val="21"/>
        </w:rPr>
        <w:fldChar w:fldCharType="separate"/>
      </w:r>
      <w:r>
        <w:rPr>
          <w:rFonts w:hint="eastAsia" w:ascii="黑体" w:hAnsi="Times New Roman" w:eastAsia="黑体"/>
          <w:i w:val="0"/>
          <w:color w:val="auto"/>
          <w:szCs w:val="21"/>
        </w:rPr>
        <w:t xml:space="preserve">4 </w:t>
      </w:r>
      <w:r>
        <w:rPr>
          <w:rFonts w:hint="eastAsia" w:ascii="Times New Roman"/>
          <w:color w:val="auto"/>
        </w:rPr>
        <w:t>技术要求</w:t>
      </w:r>
      <w:r>
        <w:rPr>
          <w:color w:val="auto"/>
        </w:rPr>
        <w:tab/>
      </w:r>
      <w:r>
        <w:rPr>
          <w:color w:val="auto"/>
        </w:rPr>
        <w:fldChar w:fldCharType="begin"/>
      </w:r>
      <w:r>
        <w:rPr>
          <w:color w:val="auto"/>
        </w:rPr>
        <w:instrText xml:space="preserve"> PAGEREF _Toc25387 \h </w:instrText>
      </w:r>
      <w:r>
        <w:rPr>
          <w:color w:val="auto"/>
        </w:rPr>
        <w:fldChar w:fldCharType="separate"/>
      </w:r>
      <w:r>
        <w:rPr>
          <w:color w:val="auto"/>
        </w:rPr>
        <w:t>1</w:t>
      </w:r>
      <w:r>
        <w:rPr>
          <w:color w:val="auto"/>
        </w:rPr>
        <w:fldChar w:fldCharType="end"/>
      </w:r>
      <w:r>
        <w:rPr>
          <w:rFonts w:ascii="Times New Roman"/>
          <w:color w:val="auto"/>
          <w:kern w:val="2"/>
          <w:szCs w:val="21"/>
        </w:rPr>
        <w:fldChar w:fldCharType="end"/>
      </w:r>
    </w:p>
    <w:p w14:paraId="1C966E4A">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_Toc1767 </w:instrText>
      </w:r>
      <w:r>
        <w:rPr>
          <w:rFonts w:ascii="Times New Roman"/>
          <w:color w:val="auto"/>
          <w:kern w:val="2"/>
          <w:szCs w:val="21"/>
        </w:rPr>
        <w:fldChar w:fldCharType="separate"/>
      </w:r>
      <w:r>
        <w:rPr>
          <w:rFonts w:hint="eastAsia" w:ascii="黑体" w:hAnsi="Times New Roman" w:eastAsia="黑体"/>
          <w:i w:val="0"/>
          <w:color w:val="auto"/>
          <w:szCs w:val="21"/>
        </w:rPr>
        <w:t xml:space="preserve">5 </w:t>
      </w:r>
      <w:r>
        <w:rPr>
          <w:rFonts w:ascii="Times New Roman"/>
          <w:color w:val="auto"/>
        </w:rPr>
        <w:t>检验方法</w:t>
      </w:r>
      <w:r>
        <w:rPr>
          <w:color w:val="auto"/>
        </w:rPr>
        <w:tab/>
      </w:r>
      <w:r>
        <w:rPr>
          <w:color w:val="auto"/>
        </w:rPr>
        <w:fldChar w:fldCharType="begin"/>
      </w:r>
      <w:r>
        <w:rPr>
          <w:color w:val="auto"/>
        </w:rPr>
        <w:instrText xml:space="preserve"> PAGEREF _Toc1767 \h </w:instrText>
      </w:r>
      <w:r>
        <w:rPr>
          <w:color w:val="auto"/>
        </w:rPr>
        <w:fldChar w:fldCharType="separate"/>
      </w:r>
      <w:r>
        <w:rPr>
          <w:color w:val="auto"/>
        </w:rPr>
        <w:t>3</w:t>
      </w:r>
      <w:r>
        <w:rPr>
          <w:color w:val="auto"/>
        </w:rPr>
        <w:fldChar w:fldCharType="end"/>
      </w:r>
      <w:r>
        <w:rPr>
          <w:rFonts w:ascii="Times New Roman"/>
          <w:color w:val="auto"/>
          <w:kern w:val="2"/>
          <w:szCs w:val="21"/>
        </w:rPr>
        <w:fldChar w:fldCharType="end"/>
      </w:r>
    </w:p>
    <w:p w14:paraId="00177A0A">
      <w:pPr>
        <w:pStyle w:val="22"/>
        <w:tabs>
          <w:tab w:val="right" w:leader="dot" w:pos="9355"/>
          <w:tab w:val="clear" w:pos="9241"/>
        </w:tabs>
        <w:rPr>
          <w:color w:val="auto"/>
        </w:rPr>
      </w:pPr>
      <w:r>
        <w:rPr>
          <w:rFonts w:ascii="Times New Roman"/>
          <w:color w:val="auto"/>
          <w:kern w:val="2"/>
          <w:szCs w:val="21"/>
        </w:rPr>
        <w:fldChar w:fldCharType="begin"/>
      </w:r>
      <w:r>
        <w:rPr>
          <w:rFonts w:ascii="Times New Roman"/>
          <w:color w:val="auto"/>
          <w:kern w:val="2"/>
          <w:szCs w:val="21"/>
        </w:rPr>
        <w:instrText xml:space="preserve"> HYPERLINK \l _Toc11661 </w:instrText>
      </w:r>
      <w:r>
        <w:rPr>
          <w:rFonts w:ascii="Times New Roman"/>
          <w:color w:val="auto"/>
          <w:kern w:val="2"/>
          <w:szCs w:val="21"/>
        </w:rPr>
        <w:fldChar w:fldCharType="separate"/>
      </w:r>
      <w:r>
        <w:rPr>
          <w:rFonts w:hint="eastAsia"/>
          <w:color w:val="auto"/>
        </w:rPr>
        <w:t>参</w:t>
      </w:r>
      <w:r>
        <w:rPr>
          <w:rFonts w:hAnsi="黑体"/>
          <w:color w:val="auto"/>
        </w:rPr>
        <w:t> </w:t>
      </w:r>
      <w:r>
        <w:rPr>
          <w:rFonts w:hint="eastAsia"/>
          <w:color w:val="auto"/>
        </w:rPr>
        <w:t>考</w:t>
      </w:r>
      <w:r>
        <w:rPr>
          <w:rFonts w:hAnsi="黑体"/>
          <w:color w:val="auto"/>
        </w:rPr>
        <w:t> </w:t>
      </w:r>
      <w:r>
        <w:rPr>
          <w:rFonts w:hint="eastAsia"/>
          <w:color w:val="auto"/>
        </w:rPr>
        <w:t>文</w:t>
      </w:r>
      <w:r>
        <w:rPr>
          <w:rFonts w:hAnsi="黑体"/>
          <w:color w:val="auto"/>
        </w:rPr>
        <w:t> </w:t>
      </w:r>
      <w:r>
        <w:rPr>
          <w:rFonts w:hint="eastAsia"/>
          <w:color w:val="auto"/>
        </w:rPr>
        <w:t>献</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11</w:t>
      </w:r>
      <w:r>
        <w:rPr>
          <w:color w:val="auto"/>
        </w:rPr>
        <w:fldChar w:fldCharType="end"/>
      </w:r>
      <w:r>
        <w:rPr>
          <w:rFonts w:ascii="Times New Roman"/>
          <w:color w:val="auto"/>
          <w:kern w:val="2"/>
          <w:szCs w:val="21"/>
        </w:rPr>
        <w:fldChar w:fldCharType="end"/>
      </w:r>
    </w:p>
    <w:p w14:paraId="1916D729">
      <w:pPr>
        <w:pStyle w:val="26"/>
        <w:rPr>
          <w:rFonts w:ascii="Times New Roman"/>
          <w:color w:val="auto"/>
        </w:rPr>
      </w:pPr>
      <w:r>
        <w:rPr>
          <w:rFonts w:ascii="Times New Roman"/>
          <w:color w:val="auto"/>
          <w:kern w:val="2"/>
          <w:szCs w:val="21"/>
        </w:rPr>
        <w:fldChar w:fldCharType="end"/>
      </w:r>
    </w:p>
    <w:p w14:paraId="1C48FB04">
      <w:pPr>
        <w:pStyle w:val="119"/>
        <w:tabs>
          <w:tab w:val="center" w:pos="4677"/>
        </w:tabs>
        <w:rPr>
          <w:rFonts w:ascii="Times New Roman"/>
          <w:color w:val="auto"/>
        </w:rPr>
      </w:pPr>
      <w:bookmarkStart w:id="24" w:name="_Toc60732097"/>
      <w:bookmarkStart w:id="25" w:name="_Toc428177671"/>
      <w:bookmarkStart w:id="26" w:name="_Toc4963"/>
      <w:bookmarkStart w:id="27" w:name="_Toc22820"/>
      <w:r>
        <w:rPr>
          <w:rFonts w:ascii="Times New Roman"/>
          <w:color w:val="auto"/>
        </w:rPr>
        <w:t>前</w:t>
      </w:r>
      <w:bookmarkStart w:id="28" w:name="BKQY"/>
      <w:r>
        <w:rPr>
          <w:rFonts w:ascii="Times New Roman"/>
          <w:color w:val="auto"/>
        </w:rPr>
        <w:t>  言</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4"/>
      <w:bookmarkEnd w:id="25"/>
      <w:bookmarkEnd w:id="26"/>
      <w:bookmarkEnd w:id="27"/>
      <w:bookmarkEnd w:id="28"/>
    </w:p>
    <w:p w14:paraId="36D287FE">
      <w:pPr>
        <w:pStyle w:val="81"/>
        <w:rPr>
          <w:rFonts w:hint="eastAsia" w:ascii="宋体" w:hAnsi="Times New Roman" w:eastAsia="宋体" w:cs="Times New Roman"/>
          <w:color w:val="auto"/>
        </w:rPr>
      </w:pPr>
      <w:r>
        <w:rPr>
          <w:rFonts w:hint="eastAsia" w:ascii="宋体" w:hAnsi="Times New Roman" w:eastAsia="宋体" w:cs="Times New Roman"/>
          <w:color w:val="auto"/>
        </w:rPr>
        <w:t>本文件按照GB/T 1.1—2020《标准化工作导则 第1部分：标准化文件的结构和起草规则》的规定起草。</w:t>
      </w:r>
    </w:p>
    <w:p w14:paraId="174EA18E">
      <w:pPr>
        <w:pStyle w:val="81"/>
        <w:rPr>
          <w:rFonts w:hint="eastAsia" w:ascii="宋体" w:hAnsi="Times New Roman" w:eastAsia="宋体" w:cs="Times New Roman"/>
          <w:color w:val="auto"/>
        </w:rPr>
      </w:pPr>
      <w:r>
        <w:rPr>
          <w:rFonts w:hint="eastAsia" w:ascii="宋体" w:hAnsi="Times New Roman" w:eastAsia="宋体" w:cs="Times New Roman"/>
          <w:color w:val="auto"/>
        </w:rPr>
        <w:t>请注意本文件的某些内容可能涉及专利。本文件的发布机构不承担识别这些专利的责任。</w:t>
      </w:r>
    </w:p>
    <w:p w14:paraId="3E9882DA">
      <w:pPr>
        <w:pStyle w:val="81"/>
        <w:rPr>
          <w:rFonts w:hint="eastAsia" w:ascii="宋体" w:hAnsi="Times New Roman" w:eastAsia="宋体" w:cs="Times New Roman"/>
          <w:color w:val="auto"/>
        </w:rPr>
      </w:pPr>
      <w:r>
        <w:rPr>
          <w:rFonts w:hint="eastAsia" w:ascii="宋体" w:hAnsi="Times New Roman" w:eastAsia="宋体" w:cs="Times New Roman"/>
          <w:color w:val="auto"/>
        </w:rPr>
        <w:t>本文件由中国生物材料学会提出。</w:t>
      </w:r>
    </w:p>
    <w:p w14:paraId="7BE0BCDC">
      <w:pPr>
        <w:pStyle w:val="81"/>
        <w:rPr>
          <w:rFonts w:hint="eastAsia" w:ascii="宋体" w:hAnsi="Times New Roman" w:eastAsia="宋体" w:cs="Times New Roman"/>
          <w:color w:val="auto"/>
        </w:rPr>
      </w:pPr>
      <w:r>
        <w:rPr>
          <w:rFonts w:hint="eastAsia" w:ascii="宋体" w:hAnsi="Times New Roman" w:eastAsia="宋体" w:cs="Times New Roman"/>
          <w:color w:val="auto"/>
        </w:rPr>
        <w:t>本文件由中国生物材料学会标准工作委员会归口。</w:t>
      </w:r>
    </w:p>
    <w:p w14:paraId="77BA31B0">
      <w:pPr>
        <w:pStyle w:val="81"/>
        <w:rPr>
          <w:rFonts w:hint="eastAsia" w:ascii="宋体" w:hAnsi="Times New Roman" w:eastAsia="宋体" w:cs="Times New Roman"/>
          <w:color w:val="auto"/>
          <w:lang w:eastAsia="zh-CN"/>
        </w:rPr>
      </w:pPr>
      <w:r>
        <w:rPr>
          <w:rFonts w:hint="eastAsia" w:ascii="宋体" w:hAnsi="Times New Roman" w:eastAsia="宋体" w:cs="Times New Roman"/>
          <w:color w:val="auto"/>
        </w:rPr>
        <w:t>本文件起草单位：四川大川合颐生物科技有限公司、四川大学、四川微流控科技有限公司、四川迈可隆生物科技有限公司</w:t>
      </w:r>
      <w:r>
        <w:rPr>
          <w:rFonts w:hint="eastAsia" w:ascii="宋体" w:hAnsi="Times New Roman" w:eastAsia="宋体" w:cs="Times New Roman"/>
          <w:color w:val="auto"/>
          <w:lang w:eastAsia="zh-CN"/>
        </w:rPr>
        <w:t>。</w:t>
      </w:r>
    </w:p>
    <w:p w14:paraId="3D113130">
      <w:pPr>
        <w:pStyle w:val="81"/>
        <w:rPr>
          <w:rFonts w:hint="eastAsia" w:ascii="宋体" w:hAnsi="Times New Roman" w:eastAsia="宋体" w:cs="Times New Roman"/>
          <w:color w:val="auto"/>
        </w:rPr>
      </w:pPr>
      <w:r>
        <w:rPr>
          <w:rFonts w:hint="eastAsia" w:ascii="宋体" w:hAnsi="Times New Roman" w:eastAsia="宋体" w:cs="Times New Roman"/>
          <w:color w:val="auto"/>
        </w:rPr>
        <w:t>本文件主要起草人：褚良银、蔡泉威、陈宏杰、李明、冯玲玲。</w:t>
      </w:r>
    </w:p>
    <w:p w14:paraId="643D6337">
      <w:pPr>
        <w:pStyle w:val="81"/>
        <w:rPr>
          <w:rFonts w:hint="eastAsia" w:asciiTheme="minorEastAsia" w:hAnsiTheme="minorEastAsia" w:eastAsiaTheme="minorEastAsia"/>
          <w:color w:val="auto"/>
        </w:rPr>
      </w:pPr>
      <w:r>
        <w:rPr>
          <w:rFonts w:hint="eastAsia" w:ascii="宋体" w:hAnsi="Times New Roman" w:eastAsia="宋体" w:cs="Times New Roman"/>
          <w:color w:val="auto"/>
        </w:rPr>
        <w:t>本文件为首次发布。</w:t>
      </w:r>
    </w:p>
    <w:p w14:paraId="221423CD">
      <w:pPr>
        <w:pStyle w:val="119"/>
        <w:rPr>
          <w:color w:val="auto"/>
        </w:rPr>
      </w:pPr>
      <w:bookmarkStart w:id="29" w:name="_Toc18932"/>
      <w:bookmarkStart w:id="30" w:name="_Toc25168"/>
      <w:bookmarkStart w:id="31" w:name="_Toc14816819"/>
      <w:bookmarkStart w:id="32" w:name="_Toc60732098"/>
      <w:r>
        <w:rPr>
          <w:rFonts w:hint="eastAsia"/>
          <w:color w:val="auto"/>
        </w:rPr>
        <w:t>引   言</w:t>
      </w:r>
      <w:bookmarkEnd w:id="29"/>
      <w:bookmarkEnd w:id="30"/>
      <w:bookmarkEnd w:id="31"/>
      <w:bookmarkEnd w:id="32"/>
    </w:p>
    <w:p w14:paraId="4912E36A">
      <w:pPr>
        <w:pStyle w:val="81"/>
        <w:rPr>
          <w:rFonts w:hint="eastAsia" w:ascii="宋体" w:hAnsi="Times New Roman" w:eastAsia="宋体" w:cs="Times New Roman"/>
          <w:color w:val="auto"/>
        </w:rPr>
      </w:pPr>
      <w:r>
        <w:rPr>
          <w:rFonts w:hint="eastAsia" w:ascii="宋体" w:hAnsi="Times New Roman" w:eastAsia="宋体" w:cs="Times New Roman"/>
          <w:color w:val="auto"/>
        </w:rPr>
        <w:t>栓塞微球是通过介入栓塞的方式被注射到靶向部位，切断肿瘤血流和营养物质等供应的目的。栓塞剂可分为永久性栓塞剂和可降解性栓塞剂，而可降解栓塞微球因其具有可降解性、低并发症、无长期炎症风险以及可重复栓塞等优势，同时明胶作为可降解的常见生物医用材料，逐渐成为栓塞剂研发的重点方向，且国内外已有多家明胶海绵栓塞微球上市。</w:t>
      </w:r>
    </w:p>
    <w:p w14:paraId="3C12EEBE">
      <w:pPr>
        <w:pStyle w:val="81"/>
        <w:rPr>
          <w:rFonts w:hint="eastAsia" w:ascii="宋体" w:hAnsi="Times New Roman" w:eastAsia="宋体" w:cs="Times New Roman"/>
          <w:color w:val="auto"/>
        </w:rPr>
      </w:pPr>
      <w:r>
        <w:rPr>
          <w:rFonts w:hint="eastAsia" w:ascii="宋体" w:hAnsi="Times New Roman" w:eastAsia="宋体" w:cs="Times New Roman"/>
          <w:color w:val="auto"/>
        </w:rPr>
        <w:t>目前介入栓塞领域暂未形成统一的明胶海绵微球产品相关技术要求，为规范明胶海绵栓塞微球的创新发展，亟需细化明胶海绵栓塞微球的产品标准，</w:t>
      </w:r>
      <w:r>
        <w:rPr>
          <w:rFonts w:hint="eastAsia" w:ascii="宋体" w:hAnsi="Times New Roman" w:eastAsia="宋体" w:cs="Times New Roman"/>
          <w:color w:val="auto"/>
        </w:rPr>
        <w:t>包括控制项和控制项的指标</w:t>
      </w:r>
      <w:r>
        <w:rPr>
          <w:rFonts w:hint="eastAsia" w:ascii="宋体" w:hAnsi="Times New Roman" w:eastAsia="宋体" w:cs="Times New Roman"/>
          <w:color w:val="auto"/>
        </w:rPr>
        <w:t>，同时规范检验检测方法。因此，制定明胶海绵栓塞微球的标准对产品的研发、生产、应用及管理十分重要。</w:t>
      </w:r>
    </w:p>
    <w:p w14:paraId="37D95555">
      <w:pPr>
        <w:pStyle w:val="81"/>
        <w:rPr>
          <w:rFonts w:hint="eastAsia" w:ascii="宋体" w:hAnsi="Times New Roman" w:eastAsia="宋体" w:cs="Times New Roman"/>
          <w:color w:val="auto"/>
        </w:rPr>
      </w:pPr>
      <w:r>
        <w:rPr>
          <w:rFonts w:hint="eastAsia" w:ascii="宋体" w:hAnsi="Times New Roman" w:eastAsia="宋体" w:cs="Times New Roman"/>
          <w:color w:val="auto"/>
        </w:rPr>
        <w:t>本文件为针对明胶海绵栓塞微球的通用要求，标准中规定了明胶海绵栓塞微球产品的技术指标和对应的检测方法，指导研发单位对明胶海绵栓塞微球产品的质量控制。考虑到明胶海绵栓塞微球产品的制备工艺和临床需求的多样性，部分技术指标仅作总体评价要求，不规定具体定量值，研究单位可以依据产品用途和工艺条件进行详细规定。其他产品如适用也可以参考本标准。</w:t>
      </w:r>
    </w:p>
    <w:p w14:paraId="27AB7D1D">
      <w:pPr>
        <w:pStyle w:val="26"/>
        <w:rPr>
          <w:rFonts w:ascii="Times New Roman"/>
          <w:color w:val="auto"/>
        </w:rPr>
        <w:sectPr>
          <w:headerReference r:id="rId7" w:type="first"/>
          <w:headerReference r:id="rId5" w:type="default"/>
          <w:footerReference r:id="rId8" w:type="default"/>
          <w:headerReference r:id="rId6" w:type="even"/>
          <w:pgSz w:w="11906" w:h="16838"/>
          <w:pgMar w:top="567" w:right="1134" w:bottom="1134" w:left="1417" w:header="1418" w:footer="1134" w:gutter="0"/>
          <w:pgNumType w:fmt="upperRoman" w:start="1"/>
          <w:cols w:space="425" w:num="1"/>
          <w:formProt w:val="0"/>
          <w:docGrid w:type="lines" w:linePitch="312" w:charSpace="0"/>
        </w:sectPr>
      </w:pPr>
    </w:p>
    <w:p w14:paraId="78EB9633">
      <w:pPr>
        <w:pStyle w:val="56"/>
        <w:rPr>
          <w:rFonts w:ascii="Times New Roman"/>
          <w:color w:val="auto"/>
        </w:rPr>
      </w:pPr>
      <w:r>
        <w:rPr>
          <w:rFonts w:hint="eastAsia"/>
          <w:color w:val="auto"/>
          <w:lang w:val="en-US" w:eastAsia="zh-CN"/>
        </w:rPr>
        <w:t>明胶海绵栓塞微球</w:t>
      </w:r>
    </w:p>
    <w:p w14:paraId="00EE2C79">
      <w:pPr>
        <w:pStyle w:val="51"/>
        <w:spacing w:before="312" w:after="312"/>
        <w:ind w:left="0"/>
        <w:rPr>
          <w:rFonts w:ascii="Times New Roman"/>
          <w:color w:val="auto"/>
        </w:rPr>
      </w:pPr>
      <w:bookmarkStart w:id="33" w:name="_Toc358964228"/>
      <w:bookmarkStart w:id="34" w:name="_Toc338604799"/>
      <w:bookmarkStart w:id="35" w:name="_Toc338754585"/>
      <w:bookmarkStart w:id="36" w:name="_Toc342665738"/>
      <w:bookmarkStart w:id="37" w:name="_Toc354142268"/>
      <w:bookmarkStart w:id="38" w:name="_Toc398301038"/>
      <w:bookmarkStart w:id="39" w:name="_Toc343596937"/>
      <w:bookmarkStart w:id="40" w:name="_Toc374444821"/>
      <w:bookmarkStart w:id="41" w:name="_Toc338685858"/>
      <w:bookmarkStart w:id="42" w:name="_Toc338060634"/>
      <w:bookmarkStart w:id="43" w:name="_Toc340491279"/>
      <w:bookmarkStart w:id="44" w:name="_Toc60732099"/>
      <w:bookmarkStart w:id="45" w:name="_Toc428177672"/>
      <w:bookmarkStart w:id="46" w:name="_Toc26027"/>
      <w:bookmarkStart w:id="47" w:name="_Toc354142628"/>
      <w:bookmarkStart w:id="48" w:name="_Toc338060691"/>
      <w:bookmarkStart w:id="49" w:name="_Toc342589524"/>
      <w:bookmarkStart w:id="50" w:name="_Toc354142463"/>
      <w:bookmarkStart w:id="51" w:name="_Toc4522"/>
      <w:r>
        <w:rPr>
          <w:rFonts w:ascii="Times New Roman"/>
          <w:color w:val="auto"/>
        </w:rPr>
        <w:t>范围</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70BB865A">
      <w:pPr>
        <w:pStyle w:val="26"/>
        <w:rPr>
          <w:rFonts w:hint="eastAsia" w:ascii="Times New Roman" w:hAnsi="宋体"/>
          <w:color w:val="auto"/>
        </w:rPr>
      </w:pPr>
      <w:bookmarkStart w:id="52" w:name="_Toc398301039"/>
      <w:bookmarkStart w:id="53" w:name="_Toc354142464"/>
      <w:bookmarkStart w:id="54" w:name="_Toc428177673"/>
      <w:bookmarkStart w:id="55" w:name="_Toc354142269"/>
      <w:bookmarkStart w:id="56" w:name="_Toc374444822"/>
      <w:bookmarkStart w:id="57" w:name="_Toc358964229"/>
      <w:bookmarkStart w:id="58" w:name="_Toc354142629"/>
      <w:bookmarkStart w:id="59" w:name="_Toc343596938"/>
      <w:bookmarkStart w:id="60" w:name="_Toc340491280"/>
      <w:bookmarkStart w:id="61" w:name="_Toc338754586"/>
      <w:bookmarkStart w:id="62" w:name="_Toc338604800"/>
      <w:bookmarkStart w:id="63" w:name="_Toc342665739"/>
      <w:bookmarkStart w:id="64" w:name="_Toc338060692"/>
      <w:bookmarkStart w:id="65" w:name="_Toc342589525"/>
      <w:bookmarkStart w:id="66" w:name="_Toc338685859"/>
      <w:bookmarkStart w:id="67" w:name="_Toc338060635"/>
      <w:r>
        <w:rPr>
          <w:rFonts w:hint="eastAsia" w:ascii="Times New Roman" w:hAnsi="宋体"/>
          <w:color w:val="auto"/>
        </w:rPr>
        <w:t>本文件规定了明胶海绵栓塞微球的术语和定义、技术要求、检验方法、标志、包装和厂商信息。</w:t>
      </w:r>
    </w:p>
    <w:p w14:paraId="651E30F7">
      <w:pPr>
        <w:pStyle w:val="26"/>
        <w:rPr>
          <w:rFonts w:hint="eastAsia" w:ascii="Times New Roman" w:hAnsi="宋体"/>
          <w:color w:val="auto"/>
        </w:rPr>
      </w:pPr>
      <w:r>
        <w:rPr>
          <w:rFonts w:hint="eastAsia" w:ascii="Times New Roman" w:hAnsi="宋体"/>
          <w:color w:val="auto"/>
        </w:rPr>
        <w:t>本文件适用于介入栓塞领域的明胶海绵栓塞微球，其他可降解栓塞微球可参考适用。</w:t>
      </w:r>
    </w:p>
    <w:p w14:paraId="524960C0">
      <w:pPr>
        <w:pStyle w:val="26"/>
        <w:rPr>
          <w:rFonts w:hint="eastAsia" w:ascii="Times New Roman" w:hAnsi="宋体"/>
          <w:color w:val="auto"/>
        </w:rPr>
      </w:pPr>
      <w:r>
        <w:rPr>
          <w:rFonts w:hint="eastAsia" w:ascii="Times New Roman" w:hAnsi="宋体"/>
          <w:color w:val="auto"/>
        </w:rPr>
        <w:t>本文件不适用于液体栓塞剂、放射性栓塞微球。</w:t>
      </w:r>
    </w:p>
    <w:p w14:paraId="64118A9A">
      <w:pPr>
        <w:pStyle w:val="51"/>
        <w:spacing w:before="312" w:after="312"/>
        <w:ind w:left="0"/>
        <w:rPr>
          <w:rFonts w:ascii="Times New Roman"/>
          <w:color w:val="auto"/>
        </w:rPr>
      </w:pPr>
      <w:bookmarkStart w:id="68" w:name="_Toc5062"/>
      <w:bookmarkStart w:id="69" w:name="_Toc60732100"/>
      <w:bookmarkStart w:id="70" w:name="_Toc26982"/>
      <w:r>
        <w:rPr>
          <w:rFonts w:ascii="Times New Roman"/>
          <w:color w:val="auto"/>
        </w:rPr>
        <w:t>规范性引用文件</w:t>
      </w:r>
      <w:bookmarkEnd w:id="52"/>
      <w:bookmarkEnd w:id="53"/>
      <w:bookmarkEnd w:id="54"/>
      <w:bookmarkEnd w:id="55"/>
      <w:bookmarkEnd w:id="56"/>
      <w:bookmarkEnd w:id="57"/>
      <w:bookmarkEnd w:id="58"/>
      <w:bookmarkEnd w:id="68"/>
      <w:bookmarkEnd w:id="69"/>
      <w:bookmarkEnd w:id="70"/>
    </w:p>
    <w:p w14:paraId="0FFF2285">
      <w:pPr>
        <w:pStyle w:val="26"/>
        <w:rPr>
          <w:rFonts w:ascii="Times New Roman"/>
          <w:color w:val="auto"/>
        </w:rPr>
      </w:pPr>
      <w:r>
        <w:rPr>
          <w:rFonts w:hint="eastAsia"/>
          <w:color w:val="auto"/>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49DC035C">
      <w:pPr>
        <w:pStyle w:val="26"/>
        <w:rPr>
          <w:rFonts w:hint="eastAsia" w:ascii="宋体" w:hAnsi="宋体" w:cs="宋体"/>
          <w:color w:val="auto"/>
        </w:rPr>
      </w:pPr>
      <w:r>
        <w:rPr>
          <w:rFonts w:hint="eastAsia" w:ascii="宋体" w:hAnsi="宋体" w:cs="宋体"/>
          <w:color w:val="auto"/>
        </w:rPr>
        <w:t>GB/T 16886.1  医疗器械生物学平均  第1部分：</w:t>
      </w:r>
      <w:r>
        <w:rPr>
          <w:rFonts w:hint="eastAsia" w:hAnsi="宋体" w:cs="宋体"/>
          <w:color w:val="auto"/>
          <w:lang w:eastAsia="zh-CN"/>
        </w:rPr>
        <w:t>风险管理</w:t>
      </w:r>
      <w:r>
        <w:rPr>
          <w:rFonts w:hint="eastAsia" w:ascii="宋体" w:hAnsi="宋体" w:cs="宋体"/>
          <w:color w:val="auto"/>
        </w:rPr>
        <w:t>过程中的评价与试验</w:t>
      </w:r>
    </w:p>
    <w:p w14:paraId="185C556D">
      <w:pPr>
        <w:pStyle w:val="26"/>
        <w:rPr>
          <w:rFonts w:hint="eastAsia" w:ascii="宋体" w:hAnsi="宋体" w:cs="宋体"/>
          <w:color w:val="auto"/>
        </w:rPr>
      </w:pPr>
      <w:r>
        <w:rPr>
          <w:rFonts w:hint="eastAsia" w:hAnsi="宋体" w:cs="宋体"/>
          <w:color w:val="auto"/>
        </w:rPr>
        <w:t>GB/T 14233.1‐2022 医用输液、输血、注射器具检验方法 第1部分：化学分析方法</w:t>
      </w:r>
    </w:p>
    <w:p w14:paraId="1879BF5C">
      <w:pPr>
        <w:pStyle w:val="26"/>
        <w:rPr>
          <w:rFonts w:hint="eastAsia" w:ascii="宋体" w:hAnsi="宋体" w:cs="宋体"/>
          <w:color w:val="auto"/>
        </w:rPr>
      </w:pPr>
      <w:r>
        <w:rPr>
          <w:rFonts w:hint="eastAsia" w:ascii="宋体" w:hAnsi="宋体" w:cs="宋体"/>
          <w:color w:val="auto"/>
        </w:rPr>
        <w:t>YY/T 0962-2021</w:t>
      </w:r>
      <w:r>
        <w:rPr>
          <w:rFonts w:hint="eastAsia" w:hAnsi="宋体" w:cs="宋体"/>
          <w:color w:val="auto"/>
        </w:rPr>
        <w:t xml:space="preserve"> 整形手术交联透明质酸钠凝胶</w:t>
      </w:r>
    </w:p>
    <w:p w14:paraId="13F639DB">
      <w:pPr>
        <w:pStyle w:val="26"/>
        <w:rPr>
          <w:rFonts w:hint="eastAsia" w:hAnsi="宋体" w:eastAsia="宋体" w:cs="宋体"/>
          <w:color w:val="auto"/>
          <w:lang w:val="en-US" w:eastAsia="zh-CN"/>
        </w:rPr>
      </w:pPr>
      <w:r>
        <w:rPr>
          <w:rFonts w:hint="eastAsia" w:hAnsi="宋体" w:cs="宋体"/>
          <w:color w:val="auto"/>
        </w:rPr>
        <w:t>YY/T</w:t>
      </w:r>
      <w:r>
        <w:rPr>
          <w:rFonts w:hint="eastAsia" w:hAnsi="宋体" w:cs="宋体"/>
          <w:color w:val="auto"/>
          <w:lang w:val="en-US" w:eastAsia="zh-CN"/>
        </w:rPr>
        <w:t xml:space="preserve"> </w:t>
      </w:r>
      <w:r>
        <w:rPr>
          <w:rFonts w:hint="eastAsia" w:hAnsi="宋体" w:cs="宋体"/>
          <w:color w:val="auto"/>
        </w:rPr>
        <w:t>0640-2016</w:t>
      </w:r>
      <w:r>
        <w:rPr>
          <w:rFonts w:hint="eastAsia" w:hAnsi="宋体" w:cs="宋体"/>
          <w:color w:val="auto"/>
          <w:lang w:val="en-US" w:eastAsia="zh-CN"/>
        </w:rPr>
        <w:t xml:space="preserve"> 无源外科植入物 通用要求</w:t>
      </w:r>
    </w:p>
    <w:p w14:paraId="632154EE">
      <w:pPr>
        <w:pStyle w:val="26"/>
        <w:rPr>
          <w:rFonts w:hint="eastAsia" w:ascii="宋体" w:hAnsi="宋体" w:cs="宋体"/>
          <w:color w:val="auto"/>
        </w:rPr>
      </w:pPr>
      <w:r>
        <w:rPr>
          <w:rFonts w:hint="eastAsia" w:ascii="宋体" w:hAnsi="宋体" w:cs="宋体"/>
          <w:color w:val="auto"/>
        </w:rPr>
        <w:t>中华人民共和国药典（2025年版二部、四部）</w:t>
      </w:r>
    </w:p>
    <w:p w14:paraId="47907B6A">
      <w:pPr>
        <w:pStyle w:val="26"/>
        <w:rPr>
          <w:rFonts w:hint="eastAsia" w:hAnsi="宋体" w:cs="宋体"/>
          <w:color w:val="auto"/>
          <w:sz w:val="21"/>
          <w:szCs w:val="20"/>
          <w:lang w:eastAsia="zh-CN"/>
        </w:rPr>
      </w:pPr>
      <w:r>
        <w:rPr>
          <w:rFonts w:hint="eastAsia" w:ascii="宋体" w:hAnsi="宋体" w:eastAsia="宋体" w:cs="宋体"/>
          <w:color w:val="auto"/>
          <w:sz w:val="21"/>
          <w:szCs w:val="20"/>
        </w:rPr>
        <w:t>动物源性医疗器械注册技术审查指导原则</w:t>
      </w:r>
      <w:r>
        <w:rPr>
          <w:rFonts w:hint="eastAsia" w:hAnsi="宋体" w:cs="宋体"/>
          <w:color w:val="auto"/>
          <w:sz w:val="21"/>
          <w:szCs w:val="20"/>
          <w:lang w:eastAsia="zh-CN"/>
        </w:rPr>
        <w:t>（</w:t>
      </w:r>
      <w:r>
        <w:rPr>
          <w:rFonts w:hint="eastAsia" w:hAnsi="宋体" w:cs="宋体"/>
          <w:color w:val="auto"/>
          <w:sz w:val="21"/>
          <w:szCs w:val="20"/>
          <w:lang w:val="en-US" w:eastAsia="zh-CN"/>
        </w:rPr>
        <w:t>2017修订版</w:t>
      </w:r>
      <w:r>
        <w:rPr>
          <w:rFonts w:hint="eastAsia" w:hAnsi="宋体" w:cs="宋体"/>
          <w:color w:val="auto"/>
          <w:sz w:val="21"/>
          <w:szCs w:val="20"/>
          <w:lang w:eastAsia="zh-CN"/>
        </w:rPr>
        <w:t>）</w:t>
      </w:r>
    </w:p>
    <w:p w14:paraId="1868FAA2">
      <w:pPr>
        <w:spacing w:line="360" w:lineRule="auto"/>
        <w:ind w:firstLine="420" w:firstLineChars="200"/>
        <w:jc w:val="left"/>
        <w:rPr>
          <w:rFonts w:hint="eastAsia" w:ascii="宋体" w:hAnsi="宋体" w:cs="宋体"/>
          <w:b w:val="0"/>
          <w:bCs w:val="0"/>
          <w:color w:val="auto"/>
          <w:kern w:val="0"/>
          <w:sz w:val="21"/>
          <w:szCs w:val="20"/>
        </w:rPr>
      </w:pPr>
      <w:r>
        <w:rPr>
          <w:rFonts w:hint="eastAsia" w:ascii="宋体" w:hAnsi="宋体" w:cs="宋体"/>
          <w:b w:val="0"/>
          <w:bCs w:val="0"/>
          <w:color w:val="auto"/>
          <w:kern w:val="0"/>
          <w:sz w:val="21"/>
          <w:szCs w:val="20"/>
        </w:rPr>
        <w:t>栓塞颗粒注册审查指导原则</w:t>
      </w:r>
      <w:r>
        <w:rPr>
          <w:rFonts w:hint="eastAsia" w:ascii="宋体" w:hAnsi="宋体" w:cs="宋体"/>
          <w:b w:val="0"/>
          <w:bCs w:val="0"/>
          <w:color w:val="auto"/>
          <w:kern w:val="0"/>
          <w:sz w:val="21"/>
          <w:szCs w:val="20"/>
          <w:lang w:eastAsia="zh-CN"/>
        </w:rPr>
        <w:t>（</w:t>
      </w:r>
      <w:r>
        <w:rPr>
          <w:rFonts w:hint="eastAsia" w:ascii="宋体" w:hAnsi="宋体" w:cs="宋体"/>
          <w:b w:val="0"/>
          <w:bCs w:val="0"/>
          <w:color w:val="auto"/>
          <w:kern w:val="0"/>
          <w:sz w:val="21"/>
          <w:szCs w:val="20"/>
          <w:lang w:val="en-US" w:eastAsia="zh-CN"/>
        </w:rPr>
        <w:t>征求意见稿</w:t>
      </w:r>
      <w:r>
        <w:rPr>
          <w:rFonts w:hint="eastAsia" w:ascii="宋体" w:hAnsi="宋体" w:cs="宋体"/>
          <w:b w:val="0"/>
          <w:bCs w:val="0"/>
          <w:color w:val="auto"/>
          <w:kern w:val="0"/>
          <w:sz w:val="21"/>
          <w:szCs w:val="20"/>
          <w:lang w:eastAsia="zh-CN"/>
        </w:rPr>
        <w:t>）</w:t>
      </w:r>
    </w:p>
    <w:p w14:paraId="739084B2">
      <w:pPr>
        <w:pStyle w:val="51"/>
        <w:spacing w:before="313" w:beforeLines="100" w:after="313" w:afterLines="100"/>
        <w:ind w:left="0"/>
        <w:rPr>
          <w:rFonts w:ascii="Times New Roman" w:eastAsia="宋体"/>
          <w:color w:val="auto"/>
        </w:rPr>
      </w:pPr>
      <w:bookmarkStart w:id="71" w:name="_Toc398301040"/>
      <w:bookmarkStart w:id="72" w:name="_Toc19114"/>
      <w:bookmarkStart w:id="73" w:name="_Toc60732101"/>
      <w:bookmarkStart w:id="74" w:name="_Toc354142465"/>
      <w:bookmarkStart w:id="75" w:name="_Toc428177674"/>
      <w:bookmarkStart w:id="76" w:name="_Toc354142630"/>
      <w:bookmarkStart w:id="77" w:name="_Toc358964230"/>
      <w:bookmarkStart w:id="78" w:name="_Toc354142270"/>
      <w:bookmarkStart w:id="79" w:name="_Toc374444823"/>
      <w:bookmarkStart w:id="80" w:name="_Toc23108"/>
      <w:r>
        <w:rPr>
          <w:rFonts w:ascii="Times New Roman"/>
          <w:color w:val="auto"/>
        </w:rPr>
        <w:t>术语</w:t>
      </w:r>
      <w:r>
        <w:rPr>
          <w:rFonts w:hint="eastAsia" w:ascii="Times New Roman"/>
          <w:color w:val="auto"/>
        </w:rPr>
        <w:t>和</w:t>
      </w:r>
      <w:r>
        <w:rPr>
          <w:rFonts w:ascii="Times New Roman"/>
          <w:color w:val="auto"/>
        </w:rPr>
        <w:t>定义</w:t>
      </w:r>
      <w:bookmarkEnd w:id="71"/>
      <w:bookmarkEnd w:id="72"/>
      <w:bookmarkEnd w:id="73"/>
      <w:bookmarkEnd w:id="74"/>
      <w:bookmarkEnd w:id="75"/>
      <w:bookmarkEnd w:id="76"/>
      <w:bookmarkEnd w:id="77"/>
      <w:bookmarkEnd w:id="78"/>
      <w:bookmarkEnd w:id="79"/>
      <w:bookmarkEnd w:id="80"/>
    </w:p>
    <w:p w14:paraId="0A3F897E">
      <w:pPr>
        <w:pStyle w:val="26"/>
        <w:spacing w:beforeLines="0" w:afterLines="0"/>
        <w:rPr>
          <w:rFonts w:ascii="Times New Roman"/>
          <w:color w:val="auto"/>
        </w:rPr>
      </w:pPr>
      <w:r>
        <w:rPr>
          <w:rFonts w:hint="eastAsia" w:ascii="宋体" w:hAnsi="宋体" w:cs="宋体"/>
          <w:color w:val="auto"/>
        </w:rPr>
        <w:t>T/CSBM 0053-2024 聚乙烯醇栓塞微球界定的以及下列术语与定义适用于本文件</w:t>
      </w:r>
      <w:r>
        <w:rPr>
          <w:rFonts w:hint="eastAsia" w:ascii="Times New Roman"/>
          <w:color w:val="auto"/>
        </w:rPr>
        <w:t>。</w:t>
      </w:r>
    </w:p>
    <w:p w14:paraId="655E30D4">
      <w:pPr>
        <w:pStyle w:val="48"/>
        <w:spacing w:before="313" w:beforeLines="100" w:after="0" w:afterLines="0" w:line="240" w:lineRule="auto"/>
        <w:ind w:left="0"/>
        <w:outlineLvl w:val="9"/>
        <w:rPr>
          <w:color w:val="auto"/>
        </w:rPr>
      </w:pPr>
      <w:bookmarkStart w:id="81" w:name="OLE_LINK4"/>
      <w:bookmarkStart w:id="82" w:name="OLE_LINK5"/>
    </w:p>
    <w:p w14:paraId="428A5EBF">
      <w:pPr>
        <w:pStyle w:val="48"/>
        <w:numPr>
          <w:ilvl w:val="-1"/>
          <w:numId w:val="0"/>
        </w:numPr>
        <w:spacing w:before="313" w:beforeLines="100" w:after="0" w:afterLines="0" w:line="240" w:lineRule="auto"/>
        <w:ind w:left="0" w:firstLine="420" w:firstLineChars="200"/>
        <w:outlineLvl w:val="9"/>
        <w:rPr>
          <w:color w:val="auto"/>
        </w:rPr>
      </w:pPr>
      <w:r>
        <w:rPr>
          <w:rFonts w:hint="eastAsia" w:ascii="Times New Roman"/>
          <w:color w:val="auto"/>
        </w:rPr>
        <w:t>明胶海绵</w:t>
      </w:r>
      <w:r>
        <w:rPr>
          <w:rFonts w:hint="eastAsia" w:ascii="Times New Roman"/>
          <w:color w:val="auto"/>
          <w:lang w:val="en-US" w:eastAsia="zh-CN"/>
        </w:rPr>
        <w:t xml:space="preserve">  </w:t>
      </w:r>
      <w:r>
        <w:rPr>
          <w:rFonts w:hint="eastAsia" w:ascii="黑体" w:hAnsi="黑体" w:cs="黑体"/>
          <w:color w:val="auto"/>
        </w:rPr>
        <w:t>Gelatin sponge</w:t>
      </w:r>
    </w:p>
    <w:p w14:paraId="51619329">
      <w:pPr>
        <w:pStyle w:val="26"/>
        <w:autoSpaceDE/>
        <w:autoSpaceDN/>
        <w:spacing w:beforeLines="0" w:afterLines="0"/>
        <w:rPr>
          <w:rFonts w:ascii="Times New Roman"/>
          <w:color w:val="auto"/>
        </w:rPr>
      </w:pPr>
      <w:r>
        <w:rPr>
          <w:rFonts w:hint="eastAsia" w:ascii="Times New Roman"/>
          <w:color w:val="auto"/>
        </w:rPr>
        <w:t>明胶海绵是胶原部分水解后形成的多孔网状的高分子产物。</w:t>
      </w:r>
    </w:p>
    <w:p w14:paraId="6457AD53">
      <w:pPr>
        <w:pStyle w:val="48"/>
        <w:spacing w:before="157" w:beforeLines="50" w:after="0" w:afterLines="0" w:line="240" w:lineRule="auto"/>
        <w:ind w:left="0"/>
        <w:outlineLvl w:val="9"/>
        <w:rPr>
          <w:rFonts w:ascii="Times New Roman"/>
          <w:color w:val="auto"/>
        </w:rPr>
      </w:pPr>
    </w:p>
    <w:p w14:paraId="3F4B80DA">
      <w:pPr>
        <w:pStyle w:val="48"/>
        <w:numPr>
          <w:ilvl w:val="-1"/>
          <w:numId w:val="0"/>
        </w:numPr>
        <w:spacing w:before="157" w:beforeLines="50" w:after="0" w:afterLines="0" w:line="240" w:lineRule="auto"/>
        <w:ind w:left="0" w:firstLine="420" w:firstLineChars="200"/>
        <w:outlineLvl w:val="9"/>
        <w:rPr>
          <w:rFonts w:ascii="Times New Roman"/>
          <w:color w:val="auto"/>
        </w:rPr>
      </w:pPr>
      <w:r>
        <w:rPr>
          <w:rFonts w:hint="eastAsia" w:ascii="Times New Roman"/>
          <w:color w:val="auto"/>
        </w:rPr>
        <w:t>可降解</w:t>
      </w:r>
      <w:r>
        <w:rPr>
          <w:rFonts w:hint="eastAsia" w:ascii="Times New Roman"/>
          <w:color w:val="auto"/>
          <w:lang w:val="en-US" w:eastAsia="zh-CN"/>
        </w:rPr>
        <w:t xml:space="preserve">  </w:t>
      </w:r>
      <w:r>
        <w:rPr>
          <w:rFonts w:hint="eastAsia" w:ascii="黑体" w:hAnsi="黑体" w:cs="黑体"/>
          <w:color w:val="auto"/>
        </w:rPr>
        <w:t>Degradable</w:t>
      </w:r>
    </w:p>
    <w:p w14:paraId="44EFE682">
      <w:pPr>
        <w:pStyle w:val="26"/>
        <w:spacing w:beforeLines="0" w:afterLines="0"/>
        <w:rPr>
          <w:color w:val="auto"/>
        </w:rPr>
      </w:pPr>
      <w:r>
        <w:rPr>
          <w:rFonts w:hint="eastAsia"/>
          <w:color w:val="auto"/>
        </w:rPr>
        <w:t>材料在特定环境条件下</w:t>
      </w:r>
      <w:r>
        <w:rPr>
          <w:rFonts w:hint="eastAsia"/>
          <w:color w:val="auto"/>
          <w:lang w:eastAsia="zh-CN"/>
        </w:rPr>
        <w:t>，</w:t>
      </w:r>
      <w:r>
        <w:rPr>
          <w:rFonts w:hint="eastAsia"/>
          <w:color w:val="auto"/>
        </w:rPr>
        <w:t>经过物理、化学或生物作用</w:t>
      </w:r>
      <w:r>
        <w:rPr>
          <w:rFonts w:hint="eastAsia"/>
          <w:color w:val="auto"/>
          <w:lang w:eastAsia="zh-CN"/>
        </w:rPr>
        <w:t>，</w:t>
      </w:r>
      <w:r>
        <w:rPr>
          <w:rFonts w:hint="eastAsia"/>
          <w:color w:val="auto"/>
        </w:rPr>
        <w:t>逐渐分解转化为无害物质的过程。</w:t>
      </w:r>
    </w:p>
    <w:p w14:paraId="1AC8FDB1">
      <w:pPr>
        <w:pStyle w:val="48"/>
        <w:spacing w:before="157" w:beforeLines="50" w:after="0" w:afterLines="0" w:line="240" w:lineRule="auto"/>
        <w:ind w:left="0"/>
        <w:outlineLvl w:val="9"/>
        <w:rPr>
          <w:color w:val="auto"/>
        </w:rPr>
      </w:pPr>
    </w:p>
    <w:p w14:paraId="59D4F3FA">
      <w:pPr>
        <w:pStyle w:val="48"/>
        <w:numPr>
          <w:ilvl w:val="-1"/>
          <w:numId w:val="0"/>
        </w:numPr>
        <w:spacing w:before="157" w:beforeLines="50" w:after="0" w:afterLines="0" w:line="240" w:lineRule="auto"/>
        <w:ind w:left="0" w:firstLine="420" w:firstLineChars="200"/>
        <w:outlineLvl w:val="9"/>
        <w:rPr>
          <w:color w:val="auto"/>
        </w:rPr>
      </w:pPr>
      <w:r>
        <w:rPr>
          <w:rFonts w:hint="eastAsia"/>
          <w:color w:val="auto"/>
        </w:rPr>
        <w:t>降解产物</w:t>
      </w:r>
      <w:r>
        <w:rPr>
          <w:rFonts w:hint="eastAsia"/>
          <w:color w:val="auto"/>
          <w:lang w:val="en-US" w:eastAsia="zh-CN"/>
        </w:rPr>
        <w:t xml:space="preserve">  </w:t>
      </w:r>
      <w:r>
        <w:rPr>
          <w:rFonts w:hint="eastAsia"/>
          <w:color w:val="auto"/>
        </w:rPr>
        <w:t>D</w:t>
      </w:r>
      <w:r>
        <w:rPr>
          <w:color w:val="auto"/>
        </w:rPr>
        <w:t>egradation product</w:t>
      </w:r>
    </w:p>
    <w:p w14:paraId="5C19C058">
      <w:pPr>
        <w:pStyle w:val="26"/>
        <w:spacing w:beforeLines="0" w:afterLines="0"/>
        <w:rPr>
          <w:color w:val="auto"/>
        </w:rPr>
      </w:pPr>
      <w:r>
        <w:rPr>
          <w:rFonts w:hint="eastAsia"/>
          <w:color w:val="auto"/>
        </w:rPr>
        <w:t>化合物在物理、化学或生物作用下分解生成的物质。</w:t>
      </w:r>
    </w:p>
    <w:bookmarkEnd w:id="81"/>
    <w:bookmarkEnd w:id="82"/>
    <w:p w14:paraId="27577A91">
      <w:pPr>
        <w:pStyle w:val="51"/>
        <w:spacing w:before="313" w:beforeLines="100" w:after="313" w:afterLines="100"/>
        <w:ind w:left="0"/>
        <w:rPr>
          <w:color w:val="auto"/>
        </w:rPr>
      </w:pPr>
      <w:bookmarkStart w:id="83" w:name="_Toc21384"/>
      <w:bookmarkStart w:id="84" w:name="_Toc25387"/>
      <w:r>
        <w:rPr>
          <w:rFonts w:hint="eastAsia" w:ascii="Times New Roman"/>
          <w:color w:val="auto"/>
        </w:rPr>
        <w:t>技术要求</w:t>
      </w:r>
      <w:bookmarkEnd w:id="83"/>
      <w:bookmarkEnd w:id="84"/>
    </w:p>
    <w:p w14:paraId="6205CB04">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1</w:t>
      </w:r>
      <w:r>
        <w:rPr>
          <w:rFonts w:hint="eastAsia" w:hAnsi="黑体"/>
          <w:color w:val="auto"/>
        </w:rPr>
        <w:t xml:space="preserve">  外观</w:t>
      </w:r>
    </w:p>
    <w:p w14:paraId="25229535">
      <w:pPr>
        <w:pStyle w:val="26"/>
        <w:rPr>
          <w:color w:val="auto"/>
        </w:rPr>
      </w:pPr>
      <w:bookmarkStart w:id="85" w:name="_Hlk209529467"/>
      <w:r>
        <w:rPr>
          <w:rFonts w:hint="eastAsia"/>
          <w:color w:val="auto"/>
        </w:rPr>
        <w:t>本产品分为</w:t>
      </w:r>
      <w:r>
        <w:rPr>
          <w:rFonts w:hint="eastAsia"/>
          <w:color w:val="auto"/>
          <w:lang w:val="en-US" w:eastAsia="zh-CN"/>
        </w:rPr>
        <w:t>本</w:t>
      </w:r>
      <w:r>
        <w:rPr>
          <w:rFonts w:hint="eastAsia"/>
          <w:color w:val="auto"/>
        </w:rPr>
        <w:t>色型和有色型，</w:t>
      </w:r>
      <w:r>
        <w:rPr>
          <w:rFonts w:hint="eastAsia"/>
          <w:color w:val="auto"/>
          <w:lang w:val="en-US" w:eastAsia="zh-CN"/>
        </w:rPr>
        <w:t>本</w:t>
      </w:r>
      <w:r>
        <w:rPr>
          <w:rFonts w:hint="eastAsia"/>
          <w:color w:val="auto"/>
        </w:rPr>
        <w:t>色型呈类白色至黄色或黄褐色的颗粒（干态）或微球（湿态），保存液（若有）应澄清。</w:t>
      </w:r>
      <w:bookmarkEnd w:id="85"/>
      <w:r>
        <w:rPr>
          <w:rFonts w:hint="eastAsia"/>
          <w:color w:val="auto"/>
        </w:rPr>
        <w:t>有色型应符合制造商规定的要求。</w:t>
      </w:r>
    </w:p>
    <w:p w14:paraId="4EDA9B3B">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 xml:space="preserve">  物理性能</w:t>
      </w:r>
    </w:p>
    <w:p w14:paraId="1B8D8376">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.1装量</w:t>
      </w:r>
    </w:p>
    <w:p w14:paraId="37AD3C18">
      <w:pPr>
        <w:pStyle w:val="26"/>
        <w:rPr>
          <w:color w:val="auto"/>
        </w:rPr>
      </w:pPr>
      <w:r>
        <w:rPr>
          <w:rFonts w:hint="eastAsia"/>
          <w:color w:val="auto"/>
        </w:rPr>
        <w:t>应规定微球和保存液（若有）的质量或体积以及最低装量，干球宜用质量表示，湿球可以用质量或体积表示。</w:t>
      </w:r>
    </w:p>
    <w:p w14:paraId="03E7C951">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.2尺寸</w:t>
      </w:r>
    </w:p>
    <w:p w14:paraId="6E22E258">
      <w:pPr>
        <w:pStyle w:val="26"/>
        <w:rPr>
          <w:color w:val="auto"/>
        </w:rPr>
      </w:pPr>
      <w:r>
        <w:rPr>
          <w:rFonts w:hint="eastAsia"/>
          <w:color w:val="auto"/>
        </w:rPr>
        <w:t>若为干态微球应规定栓塞微球溶胀前后的尺寸范围，以及满足尺寸范围的微球百分比；若为</w:t>
      </w:r>
      <w:r>
        <w:rPr>
          <w:rFonts w:hint="eastAsia"/>
          <w:color w:val="auto"/>
          <w:lang w:val="en-US" w:eastAsia="zh-CN"/>
        </w:rPr>
        <w:t>湿</w:t>
      </w:r>
      <w:r>
        <w:rPr>
          <w:rFonts w:hint="eastAsia"/>
          <w:color w:val="auto"/>
        </w:rPr>
        <w:t>态微球，应规定</w:t>
      </w:r>
      <w:r>
        <w:rPr>
          <w:rFonts w:hint="eastAsia"/>
          <w:color w:val="auto"/>
          <w:lang w:val="en-US" w:eastAsia="zh-CN"/>
        </w:rPr>
        <w:t>湿球</w:t>
      </w:r>
      <w:r>
        <w:rPr>
          <w:rFonts w:hint="eastAsia"/>
          <w:color w:val="auto"/>
        </w:rPr>
        <w:t>尺寸范围以及满足尺寸范围的微球百分比。</w:t>
      </w:r>
    </w:p>
    <w:p w14:paraId="10B00C43">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.3</w:t>
      </w:r>
      <w:r>
        <w:rPr>
          <w:rFonts w:hAnsi="黑体"/>
          <w:color w:val="auto"/>
        </w:rPr>
        <w:t>不溶性微粒</w:t>
      </w:r>
    </w:p>
    <w:p w14:paraId="4CD3171E">
      <w:pPr>
        <w:pStyle w:val="26"/>
        <w:rPr>
          <w:color w:val="auto"/>
        </w:rPr>
      </w:pPr>
      <w:bookmarkStart w:id="86" w:name="_Hlk209197502"/>
      <w:r>
        <w:rPr>
          <w:rFonts w:hint="eastAsia"/>
          <w:color w:val="auto"/>
        </w:rPr>
        <w:t>在规定量的溶液下溶胀后（干态）或保存液（湿态微球）的上清液</w:t>
      </w:r>
      <w:bookmarkEnd w:id="86"/>
      <w:r>
        <w:rPr>
          <w:color w:val="auto"/>
        </w:rPr>
        <w:t>≥10 μm的不溶性微粒数不得超过</w:t>
      </w:r>
      <w:r>
        <w:rPr>
          <w:rFonts w:hint="eastAsia"/>
          <w:color w:val="auto"/>
        </w:rPr>
        <w:t>6</w:t>
      </w:r>
      <w:r>
        <w:rPr>
          <w:color w:val="auto"/>
        </w:rPr>
        <w:t>000粒，≥25 μm的不溶性微粒数不得超过</w:t>
      </w:r>
      <w:r>
        <w:rPr>
          <w:rFonts w:hint="eastAsia"/>
          <w:color w:val="auto"/>
        </w:rPr>
        <w:t>6</w:t>
      </w:r>
      <w:r>
        <w:rPr>
          <w:color w:val="auto"/>
        </w:rPr>
        <w:t>00粒。</w:t>
      </w:r>
    </w:p>
    <w:p w14:paraId="29BAB4C0">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.4含水率</w:t>
      </w:r>
    </w:p>
    <w:p w14:paraId="134A3717">
      <w:pPr>
        <w:pStyle w:val="26"/>
        <w:rPr>
          <w:color w:val="auto"/>
        </w:rPr>
      </w:pPr>
      <w:r>
        <w:rPr>
          <w:rFonts w:hint="eastAsia"/>
          <w:color w:val="auto"/>
        </w:rPr>
        <w:t>应规定干态微球的</w:t>
      </w:r>
      <w:r>
        <w:rPr>
          <w:color w:val="auto"/>
        </w:rPr>
        <w:t>含水率</w:t>
      </w:r>
      <w:r>
        <w:rPr>
          <w:rFonts w:hint="eastAsia"/>
          <w:color w:val="auto"/>
        </w:rPr>
        <w:t>上限。</w:t>
      </w:r>
    </w:p>
    <w:p w14:paraId="6C74595F">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.5 悬浮性</w:t>
      </w:r>
    </w:p>
    <w:p w14:paraId="04BCA4D7">
      <w:pPr>
        <w:pStyle w:val="26"/>
        <w:rPr>
          <w:color w:val="auto"/>
        </w:rPr>
      </w:pPr>
      <w:r>
        <w:rPr>
          <w:rFonts w:hint="eastAsia"/>
          <w:color w:val="auto"/>
        </w:rPr>
        <w:t>应结合产品的临床实际使用方式和需求，规定产品与适宜比例的造影剂混合后达到悬浮状态的时间和微球维持悬浮状态的时间</w:t>
      </w:r>
      <w:r>
        <w:rPr>
          <w:rFonts w:hint="eastAsia"/>
          <w:color w:val="auto"/>
          <w:lang w:eastAsia="zh-CN"/>
        </w:rPr>
        <w:t>。</w:t>
      </w:r>
    </w:p>
    <w:p w14:paraId="7DB71F50">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.6 导管通过性</w:t>
      </w:r>
    </w:p>
    <w:p w14:paraId="438065B9">
      <w:pPr>
        <w:pStyle w:val="26"/>
        <w:rPr>
          <w:color w:val="auto"/>
        </w:rPr>
      </w:pPr>
      <w:r>
        <w:rPr>
          <w:rFonts w:hint="eastAsia"/>
          <w:color w:val="auto"/>
        </w:rPr>
        <w:t>微球与适宜比例的造影剂共混后可从制造商推荐的导管内顺利通过，注射过程全程顺畅，无阻塞、堵管现象，微球通过后无破损。</w:t>
      </w:r>
    </w:p>
    <w:p w14:paraId="284BB40E">
      <w:pPr>
        <w:pStyle w:val="57"/>
        <w:numPr>
          <w:ilvl w:val="0"/>
          <w:numId w:val="0"/>
        </w:numPr>
        <w:spacing w:before="156" w:after="156"/>
        <w:rPr>
          <w:color w:val="auto"/>
        </w:rPr>
      </w:pPr>
      <w:r>
        <w:rPr>
          <w:rFonts w:hint="eastAsia" w:hAnsi="黑体"/>
          <w:color w:val="auto"/>
        </w:rPr>
        <w:t>4.</w:t>
      </w:r>
      <w:r>
        <w:rPr>
          <w:rFonts w:hint="eastAsia" w:hAnsi="黑体"/>
          <w:color w:val="auto"/>
          <w:lang w:val="en-US" w:eastAsia="zh-CN"/>
        </w:rPr>
        <w:t>2</w:t>
      </w:r>
      <w:r>
        <w:rPr>
          <w:rFonts w:hint="eastAsia" w:hAnsi="黑体"/>
          <w:color w:val="auto"/>
        </w:rPr>
        <w:t>.7 压缩弹性</w:t>
      </w:r>
    </w:p>
    <w:p w14:paraId="30EBF922">
      <w:pPr>
        <w:pStyle w:val="26"/>
        <w:rPr>
          <w:color w:val="auto"/>
        </w:rPr>
      </w:pPr>
      <w:r>
        <w:rPr>
          <w:rFonts w:hint="eastAsia"/>
          <w:color w:val="auto"/>
        </w:rPr>
        <w:t>湿态微球状态下和与适宜比例的造影剂共混后的状态下，微球被压缩至形变量至少30%时，释放压力后应能恢复原来的形状，且微球不应破裂、损坏。</w:t>
      </w:r>
    </w:p>
    <w:p w14:paraId="3935687F">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.8 溶胀时间</w:t>
      </w:r>
    </w:p>
    <w:p w14:paraId="4AABDECC">
      <w:pPr>
        <w:pStyle w:val="26"/>
        <w:rPr>
          <w:color w:val="auto"/>
        </w:rPr>
      </w:pPr>
      <w:r>
        <w:rPr>
          <w:rFonts w:hint="eastAsia"/>
          <w:color w:val="auto"/>
        </w:rPr>
        <w:t>应结合临床实际使用方式和需求，规定干态微球在规定量的溶液下达到平衡溶胀状态的时间。</w:t>
      </w:r>
    </w:p>
    <w:p w14:paraId="77FCD679">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2</w:t>
      </w:r>
      <w:r>
        <w:rPr>
          <w:rFonts w:hint="eastAsia" w:hAnsi="黑体"/>
          <w:color w:val="auto"/>
        </w:rPr>
        <w:t>.9 溶胀率</w:t>
      </w:r>
    </w:p>
    <w:p w14:paraId="0ED09C3A">
      <w:pPr>
        <w:pStyle w:val="26"/>
        <w:rPr>
          <w:color w:val="auto"/>
        </w:rPr>
      </w:pPr>
      <w:r>
        <w:rPr>
          <w:rFonts w:hint="eastAsia"/>
          <w:color w:val="auto"/>
        </w:rPr>
        <w:t>应规定干态微球的溶胀率范围。</w:t>
      </w:r>
    </w:p>
    <w:p w14:paraId="457B4E65">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化学性能</w:t>
      </w:r>
    </w:p>
    <w:p w14:paraId="285F730A">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.1 pH值</w:t>
      </w:r>
    </w:p>
    <w:p w14:paraId="70CD0798">
      <w:pPr>
        <w:pStyle w:val="26"/>
        <w:rPr>
          <w:color w:val="auto"/>
        </w:rPr>
      </w:pPr>
      <w:bookmarkStart w:id="87" w:name="_Hlk175587844"/>
      <w:r>
        <w:rPr>
          <w:rFonts w:hint="eastAsia"/>
          <w:color w:val="auto"/>
        </w:rPr>
        <w:t>适用时，</w:t>
      </w:r>
      <w:bookmarkStart w:id="88" w:name="_Hlk209537416"/>
      <w:r>
        <w:rPr>
          <w:rFonts w:hint="eastAsia"/>
          <w:color w:val="auto"/>
        </w:rPr>
        <w:t>应规定保存液（湿球状态）或达到溶胀</w:t>
      </w:r>
      <w:bookmarkEnd w:id="88"/>
      <w:r>
        <w:rPr>
          <w:rFonts w:hint="eastAsia"/>
          <w:color w:val="auto"/>
        </w:rPr>
        <w:t>平衡状态（干态）的上清液的pH值。</w:t>
      </w:r>
    </w:p>
    <w:bookmarkEnd w:id="87"/>
    <w:p w14:paraId="04A93E92">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.2</w:t>
      </w:r>
      <w:r>
        <w:rPr>
          <w:rFonts w:hAnsi="黑体"/>
          <w:color w:val="auto"/>
        </w:rPr>
        <w:t>重金属</w:t>
      </w:r>
    </w:p>
    <w:p w14:paraId="6C998F67">
      <w:pPr>
        <w:pStyle w:val="26"/>
        <w:rPr>
          <w:rFonts w:ascii="Times New Roman"/>
          <w:color w:val="auto"/>
        </w:rPr>
      </w:pPr>
      <w:r>
        <w:rPr>
          <w:rFonts w:hint="eastAsia" w:ascii="Times New Roman"/>
          <w:color w:val="auto"/>
        </w:rPr>
        <w:t>应对微球进行消解后测试，重金属总含量应不超过</w:t>
      </w:r>
      <w:r>
        <w:rPr>
          <w:rFonts w:hint="eastAsia" w:ascii="Times New Roman"/>
          <w:color w:val="auto"/>
          <w:highlight w:val="none"/>
        </w:rPr>
        <w:t>10μg/g</w:t>
      </w:r>
      <w:r>
        <w:rPr>
          <w:rFonts w:hint="eastAsia" w:ascii="Times New Roman"/>
          <w:color w:val="auto"/>
        </w:rPr>
        <w:t>；镉含量应不超过1μg/g。</w:t>
      </w:r>
    </w:p>
    <w:p w14:paraId="74562262">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.3</w:t>
      </w:r>
      <w:r>
        <w:rPr>
          <w:rFonts w:hAnsi="黑体"/>
          <w:color w:val="auto"/>
        </w:rPr>
        <w:t xml:space="preserve"> </w:t>
      </w:r>
      <w:r>
        <w:rPr>
          <w:rFonts w:hint="eastAsia" w:hAnsi="黑体"/>
          <w:color w:val="auto"/>
        </w:rPr>
        <w:t>工艺残留</w:t>
      </w:r>
    </w:p>
    <w:p w14:paraId="277205E9">
      <w:pPr>
        <w:pStyle w:val="26"/>
        <w:rPr>
          <w:color w:val="auto"/>
        </w:rPr>
      </w:pPr>
      <w:r>
        <w:rPr>
          <w:rFonts w:hint="eastAsia"/>
          <w:color w:val="auto"/>
        </w:rPr>
        <w:t>应符合制造商的规定，可根据日最大允许使用剂量，结合各残留物的毒理学数据，给出相应的残留量限值。</w:t>
      </w:r>
    </w:p>
    <w:p w14:paraId="5C597C4E">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.4</w:t>
      </w:r>
      <w:r>
        <w:rPr>
          <w:rFonts w:hAnsi="黑体"/>
          <w:color w:val="auto"/>
        </w:rPr>
        <w:t xml:space="preserve"> 交联度</w:t>
      </w:r>
    </w:p>
    <w:p w14:paraId="7002B32B">
      <w:pPr>
        <w:pStyle w:val="26"/>
        <w:rPr>
          <w:color w:val="auto"/>
        </w:rPr>
      </w:pPr>
      <w:r>
        <w:rPr>
          <w:rFonts w:hint="eastAsia"/>
          <w:color w:val="auto"/>
        </w:rPr>
        <w:t>应符合厂商的规定，可根据微球降解、物理性能等需求给出范围</w:t>
      </w:r>
      <w:r>
        <w:rPr>
          <w:color w:val="auto"/>
        </w:rPr>
        <w:t>。</w:t>
      </w:r>
    </w:p>
    <w:p w14:paraId="27644E8B">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3</w:t>
      </w:r>
      <w:r>
        <w:rPr>
          <w:rFonts w:hint="eastAsia" w:hAnsi="黑体"/>
          <w:color w:val="auto"/>
        </w:rPr>
        <w:t>.5 降解速率</w:t>
      </w:r>
    </w:p>
    <w:p w14:paraId="4E25E431">
      <w:pPr>
        <w:pStyle w:val="26"/>
        <w:rPr>
          <w:color w:val="auto"/>
        </w:rPr>
      </w:pPr>
      <w:r>
        <w:rPr>
          <w:rFonts w:hint="eastAsia"/>
          <w:color w:val="auto"/>
        </w:rPr>
        <w:t>应结合临床需求确定降解速率，并确定体外模拟降解条件和降解速率。</w:t>
      </w:r>
    </w:p>
    <w:p w14:paraId="54A361AC">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4</w:t>
      </w:r>
      <w:r>
        <w:rPr>
          <w:rFonts w:hint="eastAsia" w:hAnsi="黑体"/>
          <w:color w:val="auto"/>
        </w:rPr>
        <w:t>微生物性能</w:t>
      </w:r>
    </w:p>
    <w:p w14:paraId="5491DB68">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4</w:t>
      </w:r>
      <w:r>
        <w:rPr>
          <w:rFonts w:hint="eastAsia" w:hAnsi="黑体"/>
          <w:color w:val="auto"/>
        </w:rPr>
        <w:t>.1细菌内毒素</w:t>
      </w:r>
    </w:p>
    <w:p w14:paraId="7A9B1A1E">
      <w:pPr>
        <w:pStyle w:val="26"/>
        <w:rPr>
          <w:color w:val="auto"/>
        </w:rPr>
      </w:pPr>
      <w:r>
        <w:rPr>
          <w:rFonts w:hint="eastAsia"/>
          <w:color w:val="auto"/>
        </w:rPr>
        <w:t>细菌内毒素含量应＜0.5 EU/mL。</w:t>
      </w:r>
    </w:p>
    <w:p w14:paraId="2B45DBF9">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4</w:t>
      </w:r>
      <w:r>
        <w:rPr>
          <w:rFonts w:hint="eastAsia" w:hAnsi="黑体"/>
          <w:color w:val="auto"/>
        </w:rPr>
        <w:t>.2 无菌</w:t>
      </w:r>
    </w:p>
    <w:p w14:paraId="289A9ACB">
      <w:pPr>
        <w:pStyle w:val="26"/>
        <w:rPr>
          <w:color w:val="auto"/>
        </w:rPr>
      </w:pPr>
      <w:r>
        <w:rPr>
          <w:rFonts w:hint="eastAsia"/>
          <w:color w:val="auto"/>
        </w:rPr>
        <w:t>微球应无菌。</w:t>
      </w:r>
    </w:p>
    <w:p w14:paraId="22D0ED87">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5</w:t>
      </w:r>
      <w:r>
        <w:rPr>
          <w:rFonts w:hint="eastAsia" w:hAnsi="黑体"/>
          <w:color w:val="auto"/>
        </w:rPr>
        <w:t>生物相容性</w:t>
      </w:r>
    </w:p>
    <w:p w14:paraId="134E8BDD">
      <w:pPr>
        <w:pStyle w:val="26"/>
        <w:rPr>
          <w:rFonts w:hint="eastAsia"/>
          <w:color w:val="auto"/>
        </w:rPr>
      </w:pPr>
      <w:r>
        <w:rPr>
          <w:rFonts w:hint="eastAsia"/>
          <w:color w:val="auto"/>
        </w:rPr>
        <w:t>按照GB/T 16886.1进行生物学评价。</w:t>
      </w:r>
    </w:p>
    <w:p w14:paraId="0685120E">
      <w:pPr>
        <w:pStyle w:val="57"/>
        <w:numPr>
          <w:ilvl w:val="0"/>
          <w:numId w:val="0"/>
        </w:numPr>
        <w:spacing w:before="156" w:after="156"/>
        <w:rPr>
          <w:rFonts w:hint="eastAsia" w:hAnsi="黑体"/>
          <w:color w:val="auto"/>
        </w:rPr>
      </w:pPr>
      <w:r>
        <w:rPr>
          <w:rFonts w:hint="eastAsia" w:hAnsi="黑体"/>
          <w:color w:val="auto"/>
        </w:rPr>
        <w:t>4.</w:t>
      </w:r>
      <w:r>
        <w:rPr>
          <w:rFonts w:hint="eastAsia" w:hAnsi="黑体"/>
          <w:color w:val="auto"/>
          <w:lang w:val="en-US" w:eastAsia="zh-CN"/>
        </w:rPr>
        <w:t>6</w:t>
      </w:r>
      <w:r>
        <w:rPr>
          <w:rFonts w:hint="eastAsia" w:hAnsi="黑体"/>
          <w:color w:val="auto"/>
        </w:rPr>
        <w:t>生物相容性</w:t>
      </w:r>
    </w:p>
    <w:p w14:paraId="09ECA0F3">
      <w:pPr>
        <w:pStyle w:val="26"/>
        <w:rPr>
          <w:rFonts w:hint="default" w:eastAsia="宋体"/>
          <w:color w:val="auto"/>
          <w:lang w:val="en-US" w:eastAsia="zh-CN"/>
        </w:rPr>
      </w:pPr>
      <w:r>
        <w:rPr>
          <w:rFonts w:hint="eastAsia" w:cs="Times New Roman"/>
          <w:color w:val="auto"/>
          <w:sz w:val="21"/>
          <w:szCs w:val="20"/>
          <w:lang w:val="en-US" w:eastAsia="zh-CN"/>
        </w:rPr>
        <w:t>按照</w:t>
      </w:r>
      <w:r>
        <w:rPr>
          <w:rFonts w:hint="default" w:ascii="宋体" w:hAnsi="Times New Roman" w:eastAsia="宋体" w:cs="Times New Roman"/>
          <w:color w:val="auto"/>
          <w:sz w:val="21"/>
          <w:szCs w:val="20"/>
        </w:rPr>
        <w:t>《动物源性医疗器械注册技术审查指导原则》</w:t>
      </w:r>
      <w:r>
        <w:rPr>
          <w:rFonts w:hint="eastAsia" w:cs="Times New Roman"/>
          <w:color w:val="auto"/>
          <w:sz w:val="21"/>
          <w:szCs w:val="20"/>
          <w:lang w:val="en-US" w:eastAsia="zh-CN"/>
        </w:rPr>
        <w:t>进行评价及研究。</w:t>
      </w:r>
    </w:p>
    <w:p w14:paraId="1B7B0B53">
      <w:pPr>
        <w:pStyle w:val="51"/>
        <w:spacing w:before="312" w:after="312"/>
        <w:ind w:left="0"/>
        <w:rPr>
          <w:rFonts w:ascii="Times New Roman"/>
          <w:color w:val="auto"/>
        </w:rPr>
      </w:pPr>
      <w:bookmarkStart w:id="89" w:name="_Toc1767"/>
      <w:bookmarkStart w:id="90" w:name="_Toc16577"/>
      <w:r>
        <w:rPr>
          <w:rFonts w:ascii="Times New Roman"/>
          <w:color w:val="auto"/>
        </w:rPr>
        <w:t>检验方法</w:t>
      </w:r>
      <w:bookmarkEnd w:id="89"/>
      <w:bookmarkEnd w:id="90"/>
    </w:p>
    <w:p w14:paraId="183ABDC3">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1</w:t>
      </w:r>
      <w:r>
        <w:rPr>
          <w:rFonts w:hint="eastAsia" w:hAnsi="黑体"/>
          <w:color w:val="auto"/>
        </w:rPr>
        <w:t xml:space="preserve"> 外观</w:t>
      </w:r>
    </w:p>
    <w:p w14:paraId="098C5BA7">
      <w:pPr>
        <w:pStyle w:val="26"/>
        <w:rPr>
          <w:color w:val="auto"/>
        </w:rPr>
      </w:pPr>
      <w:r>
        <w:rPr>
          <w:rFonts w:hint="eastAsia"/>
          <w:color w:val="auto"/>
        </w:rPr>
        <w:t>产品采用有色容器包装时，取适量样品倒入无色透明玻璃管中，自然光线下以目力观察。产品采用无色透明容器包装时，在自然光线下，将微球样品轻轻摇匀，以目力观察微球形态；然后将微球样品水平静置至微球完全沉底，目力观察上清液。检测结果应符合4.</w:t>
      </w:r>
      <w:r>
        <w:rPr>
          <w:rFonts w:hint="eastAsia"/>
          <w:color w:val="auto"/>
          <w:lang w:val="en-US" w:eastAsia="zh-CN"/>
        </w:rPr>
        <w:t>1</w:t>
      </w:r>
      <w:r>
        <w:rPr>
          <w:rFonts w:hint="eastAsia"/>
          <w:color w:val="auto"/>
        </w:rPr>
        <w:t>的要求。</w:t>
      </w:r>
    </w:p>
    <w:p w14:paraId="56E2ED0C">
      <w:pPr>
        <w:pStyle w:val="57"/>
        <w:numPr>
          <w:ilvl w:val="0"/>
          <w:numId w:val="0"/>
        </w:numPr>
        <w:spacing w:before="156" w:after="156"/>
        <w:rPr>
          <w:rFonts w:hint="eastAsia" w:hAnsi="黑体"/>
          <w:color w:val="auto"/>
        </w:rPr>
      </w:pPr>
      <w:bookmarkStart w:id="91" w:name="OLE_LINK1"/>
      <w:r>
        <w:rPr>
          <w:rFonts w:hint="eastAsia" w:hAnsi="黑体"/>
          <w:color w:val="auto"/>
        </w:rPr>
        <w:t>5.</w:t>
      </w:r>
      <w:r>
        <w:rPr>
          <w:rFonts w:hint="eastAsia" w:hAnsi="黑体"/>
          <w:color w:val="auto"/>
          <w:lang w:val="en-US" w:eastAsia="zh-CN"/>
        </w:rPr>
        <w:t>2</w:t>
      </w:r>
      <w:r>
        <w:rPr>
          <w:rFonts w:hint="eastAsia" w:hAnsi="黑体"/>
          <w:color w:val="auto"/>
        </w:rPr>
        <w:t>物理性能检测</w:t>
      </w:r>
    </w:p>
    <w:p w14:paraId="2908E569">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int="eastAsia" w:hAnsi="黑体"/>
          <w:color w:val="auto"/>
        </w:rPr>
        <w:t>.1装量</w:t>
      </w:r>
    </w:p>
    <w:bookmarkEnd w:id="91"/>
    <w:p w14:paraId="2010D0FC">
      <w:pPr>
        <w:pStyle w:val="57"/>
        <w:numPr>
          <w:ilvl w:val="0"/>
          <w:numId w:val="0"/>
        </w:numPr>
        <w:spacing w:before="156" w:after="156" w:line="240" w:lineRule="auto"/>
        <w:rPr>
          <w:color w:val="auto"/>
        </w:rPr>
      </w:pPr>
      <w:r>
        <w:rPr>
          <w:rFonts w:hint="eastAsia"/>
          <w:color w:val="auto"/>
        </w:rPr>
        <w:t>5.</w:t>
      </w:r>
      <w:r>
        <w:rPr>
          <w:rFonts w:hint="eastAsia"/>
          <w:color w:val="auto"/>
          <w:lang w:val="en-US" w:eastAsia="zh-CN"/>
        </w:rPr>
        <w:t>2</w:t>
      </w:r>
      <w:r>
        <w:rPr>
          <w:rFonts w:hint="eastAsia"/>
          <w:color w:val="auto"/>
        </w:rPr>
        <w:t>.1.1</w:t>
      </w:r>
      <w:r>
        <w:rPr>
          <w:rFonts w:hint="eastAsia"/>
          <w:color w:val="auto"/>
          <w:lang w:val="en-US" w:eastAsia="zh-CN"/>
        </w:rPr>
        <w:t xml:space="preserve"> </w:t>
      </w:r>
      <w:r>
        <w:rPr>
          <w:rFonts w:hint="eastAsia"/>
          <w:color w:val="auto"/>
        </w:rPr>
        <w:t>干态微球质量</w:t>
      </w:r>
    </w:p>
    <w:p w14:paraId="40A0684D">
      <w:pPr>
        <w:pStyle w:val="26"/>
        <w:rPr>
          <w:rFonts w:hint="eastAsia"/>
          <w:color w:val="auto"/>
        </w:rPr>
      </w:pPr>
      <w:r>
        <w:rPr>
          <w:rFonts w:hint="eastAsia"/>
          <w:color w:val="auto"/>
        </w:rPr>
        <w:t>取适量样品，去除外盖后精密称定样品重量m1，倒出明胶海绵栓塞微球，用适宜的溶剂清洗容器，精密称定胶塞和西林瓶的重量m</w:t>
      </w:r>
      <w:r>
        <w:rPr>
          <w:rFonts w:hint="eastAsia"/>
          <w:color w:val="auto"/>
          <w:vertAlign w:val="subscript"/>
        </w:rPr>
        <w:t>2</w:t>
      </w:r>
      <w:r>
        <w:rPr>
          <w:rFonts w:hint="eastAsia"/>
          <w:color w:val="auto"/>
        </w:rPr>
        <w:t>，通过减重法求出每瓶微球的装量，结果应符合4.</w:t>
      </w:r>
      <w:r>
        <w:rPr>
          <w:rFonts w:hint="eastAsia"/>
          <w:color w:val="auto"/>
          <w:lang w:val="en-US" w:eastAsia="zh-CN"/>
        </w:rPr>
        <w:t>2</w:t>
      </w:r>
      <w:r>
        <w:rPr>
          <w:rFonts w:hint="eastAsia"/>
          <w:color w:val="auto"/>
        </w:rPr>
        <w:t>.1的规定。</w:t>
      </w:r>
    </w:p>
    <w:p w14:paraId="78F265C0">
      <w:pPr>
        <w:pStyle w:val="26"/>
        <w:spacing w:line="240" w:lineRule="auto"/>
        <w:ind w:firstLine="0" w:firstLineChars="0"/>
        <w:rPr>
          <w:color w:val="auto"/>
        </w:rPr>
      </w:pPr>
      <w:r>
        <w:rPr>
          <w:rFonts w:hint="eastAsia" w:ascii="黑体" w:hAnsi="黑体" w:eastAsia="黑体" w:cs="黑体"/>
          <w:color w:val="auto"/>
        </w:rPr>
        <w:t>5.</w:t>
      </w:r>
      <w:r>
        <w:rPr>
          <w:rFonts w:hint="eastAsia" w:ascii="黑体" w:hAnsi="黑体" w:eastAsia="黑体" w:cs="黑体"/>
          <w:color w:val="auto"/>
          <w:lang w:val="en-US" w:eastAsia="zh-CN"/>
        </w:rPr>
        <w:t>2</w:t>
      </w:r>
      <w:r>
        <w:rPr>
          <w:rFonts w:hint="eastAsia" w:ascii="黑体" w:hAnsi="黑体" w:eastAsia="黑体" w:cs="黑体"/>
          <w:color w:val="auto"/>
        </w:rPr>
        <w:t>.1.2</w:t>
      </w:r>
      <w:r>
        <w:rPr>
          <w:rFonts w:hint="eastAsia" w:ascii="黑体" w:hAnsi="黑体" w:eastAsia="黑体" w:cs="黑体"/>
          <w:color w:val="auto"/>
          <w:lang w:val="en-US" w:eastAsia="zh-CN"/>
        </w:rPr>
        <w:t xml:space="preserve"> </w:t>
      </w:r>
      <w:r>
        <w:rPr>
          <w:rFonts w:hint="eastAsia" w:ascii="黑体" w:hAnsi="黑体" w:eastAsia="黑体" w:cs="黑体"/>
          <w:color w:val="auto"/>
        </w:rPr>
        <w:t>湿态微球和保存液质量</w:t>
      </w:r>
    </w:p>
    <w:p w14:paraId="77DC648E">
      <w:pPr>
        <w:pStyle w:val="26"/>
        <w:rPr>
          <w:rFonts w:hint="eastAsia"/>
          <w:color w:val="auto"/>
        </w:rPr>
      </w:pPr>
      <w:r>
        <w:rPr>
          <w:rFonts w:hint="eastAsia"/>
          <w:color w:val="auto"/>
        </w:rPr>
        <w:t>取适量样品，去除外盖后精密称定样品重量m</w:t>
      </w:r>
      <w:r>
        <w:rPr>
          <w:color w:val="auto"/>
          <w:vertAlign w:val="subscript"/>
        </w:rPr>
        <w:t>1</w:t>
      </w:r>
      <w:r>
        <w:rPr>
          <w:rFonts w:hint="eastAsia"/>
          <w:color w:val="auto"/>
        </w:rPr>
        <w:t>，倒出明胶海绵栓塞微球至质量为m</w:t>
      </w:r>
      <w:r>
        <w:rPr>
          <w:color w:val="auto"/>
          <w:vertAlign w:val="subscript"/>
        </w:rPr>
        <w:t>2</w:t>
      </w:r>
      <w:r>
        <w:rPr>
          <w:rFonts w:hint="eastAsia"/>
          <w:color w:val="auto"/>
        </w:rPr>
        <w:t>的滤网上，并用无尘布沿滤网四周吸去多余水分，至无明显水滴滴落，称取滤网和微球的总质量为m</w:t>
      </w:r>
      <w:r>
        <w:rPr>
          <w:color w:val="auto"/>
          <w:vertAlign w:val="subscript"/>
        </w:rPr>
        <w:t>3</w:t>
      </w:r>
      <w:r>
        <w:rPr>
          <w:rFonts w:hint="eastAsia"/>
          <w:color w:val="auto"/>
        </w:rPr>
        <w:t>，然后用适宜的溶剂清洗容器，精密称定胶塞和西林瓶的重量m4，通过减重法求出每瓶微球的装量m</w:t>
      </w:r>
      <w:r>
        <w:rPr>
          <w:color w:val="auto"/>
          <w:vertAlign w:val="subscript"/>
        </w:rPr>
        <w:t>3</w:t>
      </w:r>
      <w:r>
        <w:rPr>
          <w:rFonts w:hint="eastAsia"/>
          <w:color w:val="auto"/>
        </w:rPr>
        <w:t>-m</w:t>
      </w:r>
      <w:r>
        <w:rPr>
          <w:color w:val="auto"/>
          <w:vertAlign w:val="subscript"/>
        </w:rPr>
        <w:t>2</w:t>
      </w:r>
      <w:r>
        <w:rPr>
          <w:rFonts w:hint="eastAsia"/>
          <w:color w:val="auto"/>
        </w:rPr>
        <w:t>，保存液的质量为m</w:t>
      </w:r>
      <w:r>
        <w:rPr>
          <w:color w:val="auto"/>
          <w:vertAlign w:val="subscript"/>
        </w:rPr>
        <w:t>1</w:t>
      </w:r>
      <w:r>
        <w:rPr>
          <w:rFonts w:hint="eastAsia"/>
          <w:color w:val="auto"/>
        </w:rPr>
        <w:t>-m</w:t>
      </w:r>
      <w:r>
        <w:rPr>
          <w:color w:val="auto"/>
          <w:vertAlign w:val="subscript"/>
        </w:rPr>
        <w:t>4</w:t>
      </w:r>
      <w:r>
        <w:rPr>
          <w:rFonts w:hint="eastAsia"/>
          <w:color w:val="auto"/>
        </w:rPr>
        <w:t>-(m</w:t>
      </w:r>
      <w:r>
        <w:rPr>
          <w:color w:val="auto"/>
          <w:vertAlign w:val="subscript"/>
        </w:rPr>
        <w:t>3</w:t>
      </w:r>
      <w:r>
        <w:rPr>
          <w:rFonts w:hint="eastAsia"/>
          <w:color w:val="auto"/>
        </w:rPr>
        <w:t>-m</w:t>
      </w:r>
      <w:r>
        <w:rPr>
          <w:color w:val="auto"/>
          <w:vertAlign w:val="subscript"/>
        </w:rPr>
        <w:t>2</w:t>
      </w:r>
      <w:r>
        <w:rPr>
          <w:rFonts w:hint="eastAsia"/>
          <w:color w:val="auto"/>
        </w:rPr>
        <w:t>)，结果应符合4.</w:t>
      </w:r>
      <w:r>
        <w:rPr>
          <w:rFonts w:hint="eastAsia"/>
          <w:color w:val="auto"/>
          <w:lang w:val="en-US" w:eastAsia="zh-CN"/>
        </w:rPr>
        <w:t>2</w:t>
      </w:r>
      <w:r>
        <w:rPr>
          <w:rFonts w:hint="eastAsia"/>
          <w:color w:val="auto"/>
        </w:rPr>
        <w:t>.1的规定。</w:t>
      </w:r>
    </w:p>
    <w:p w14:paraId="2057A323">
      <w:pPr>
        <w:pStyle w:val="26"/>
        <w:spacing w:line="240" w:lineRule="auto"/>
        <w:ind w:firstLine="0" w:firstLineChars="0"/>
        <w:rPr>
          <w:color w:val="auto"/>
        </w:rPr>
      </w:pPr>
      <w:r>
        <w:rPr>
          <w:rFonts w:hint="eastAsia" w:ascii="黑体" w:hAnsi="黑体" w:eastAsia="黑体" w:cs="黑体"/>
          <w:color w:val="auto"/>
        </w:rPr>
        <w:t>5.</w:t>
      </w:r>
      <w:r>
        <w:rPr>
          <w:rFonts w:hint="eastAsia" w:ascii="黑体" w:hAnsi="黑体" w:eastAsia="黑体" w:cs="黑体"/>
          <w:color w:val="auto"/>
          <w:lang w:val="en-US" w:eastAsia="zh-CN"/>
        </w:rPr>
        <w:t>2</w:t>
      </w:r>
      <w:r>
        <w:rPr>
          <w:rFonts w:hint="eastAsia" w:ascii="黑体" w:hAnsi="黑体" w:eastAsia="黑体" w:cs="黑体"/>
          <w:color w:val="auto"/>
        </w:rPr>
        <w:t>.1.3</w:t>
      </w:r>
      <w:r>
        <w:rPr>
          <w:rFonts w:hint="eastAsia" w:ascii="黑体" w:hAnsi="黑体" w:eastAsia="黑体" w:cs="黑体"/>
          <w:color w:val="auto"/>
          <w:lang w:val="en-US" w:eastAsia="zh-CN"/>
        </w:rPr>
        <w:t xml:space="preserve"> </w:t>
      </w:r>
      <w:r>
        <w:rPr>
          <w:rFonts w:hint="eastAsia" w:ascii="黑体" w:hAnsi="黑体" w:eastAsia="黑体" w:cs="黑体"/>
          <w:color w:val="auto"/>
        </w:rPr>
        <w:t>湿态微球和保存液体积</w:t>
      </w:r>
    </w:p>
    <w:p w14:paraId="34CECDA1">
      <w:pPr>
        <w:pStyle w:val="26"/>
        <w:rPr>
          <w:color w:val="auto"/>
        </w:rPr>
      </w:pPr>
      <w:r>
        <w:rPr>
          <w:rFonts w:hint="eastAsia"/>
          <w:color w:val="auto"/>
        </w:rPr>
        <w:t>取适量样品，开启瓶盖后将微球倒入校准量筒内，静置至微球完全沉底，分别读取微球和保存液的体积和总体积。</w:t>
      </w:r>
    </w:p>
    <w:p w14:paraId="41EE50E8">
      <w:pPr>
        <w:pStyle w:val="57"/>
        <w:numPr>
          <w:ilvl w:val="0"/>
          <w:numId w:val="0"/>
        </w:numPr>
        <w:spacing w:before="156" w:after="156" w:line="240" w:lineRule="auto"/>
        <w:rPr>
          <w:rFonts w:hint="eastAsia" w:hAnsi="黑体"/>
          <w:color w:val="auto"/>
        </w:rPr>
      </w:pPr>
      <w:r>
        <w:rPr>
          <w:rFonts w:hint="eastAsia" w:hAnsi="黑体"/>
          <w:color w:val="auto"/>
        </w:rPr>
        <w:t>5</w:t>
      </w:r>
      <w:r>
        <w:rPr>
          <w:rFonts w:hAnsi="黑体"/>
          <w:color w:val="auto"/>
        </w:rPr>
        <w:t>.</w:t>
      </w:r>
      <w:r>
        <w:rPr>
          <w:rFonts w:hint="eastAsia" w:hAnsi="黑体"/>
          <w:color w:val="auto"/>
          <w:lang w:val="en-US" w:eastAsia="zh-CN"/>
        </w:rPr>
        <w:t>2</w:t>
      </w:r>
      <w:r>
        <w:rPr>
          <w:rFonts w:hint="eastAsia" w:hAnsi="黑体"/>
          <w:color w:val="auto"/>
        </w:rPr>
        <w:t>.2</w:t>
      </w:r>
      <w:r>
        <w:rPr>
          <w:rFonts w:hAnsi="黑体"/>
          <w:color w:val="auto"/>
        </w:rPr>
        <w:t xml:space="preserve"> </w:t>
      </w:r>
      <w:r>
        <w:rPr>
          <w:rFonts w:hint="eastAsia" w:hAnsi="黑体"/>
          <w:color w:val="auto"/>
        </w:rPr>
        <w:t>尺寸</w:t>
      </w:r>
    </w:p>
    <w:p w14:paraId="6EA29AF0">
      <w:pPr>
        <w:pStyle w:val="26"/>
        <w:rPr>
          <w:color w:val="auto"/>
        </w:rPr>
      </w:pPr>
      <w:r>
        <w:rPr>
          <w:color w:val="auto"/>
        </w:rPr>
        <w:t>取</w:t>
      </w:r>
      <w:r>
        <w:rPr>
          <w:rFonts w:hint="eastAsia"/>
          <w:color w:val="auto"/>
        </w:rPr>
        <w:t>适量</w:t>
      </w:r>
      <w:r>
        <w:rPr>
          <w:color w:val="auto"/>
        </w:rPr>
        <w:t>样品</w:t>
      </w:r>
      <w:r>
        <w:rPr>
          <w:rFonts w:hint="eastAsia"/>
          <w:color w:val="auto"/>
        </w:rPr>
        <w:t>，干粉微球在</w:t>
      </w:r>
      <w:r>
        <w:rPr>
          <w:color w:val="auto"/>
        </w:rPr>
        <w:t>显微镜</w:t>
      </w:r>
      <w:r>
        <w:rPr>
          <w:rFonts w:hint="eastAsia"/>
          <w:color w:val="auto"/>
        </w:rPr>
        <w:t>下，</w:t>
      </w:r>
      <w:r>
        <w:rPr>
          <w:rFonts w:hint="eastAsia"/>
          <w:color w:val="auto"/>
        </w:rPr>
        <w:t>按最大内切圆</w:t>
      </w:r>
      <w:r>
        <w:rPr>
          <w:color w:val="auto"/>
        </w:rPr>
        <w:t>测量截图中的微球</w:t>
      </w:r>
      <w:r>
        <w:rPr>
          <w:rFonts w:hint="eastAsia"/>
          <w:color w:val="auto"/>
        </w:rPr>
        <w:t>尺寸，并测试溶胀平衡后的尺寸。湿态微球直接取适量样品于显微镜下测量微球的尺寸</w:t>
      </w:r>
      <w:r>
        <w:rPr>
          <w:rFonts w:hint="eastAsia"/>
          <w:color w:val="auto"/>
        </w:rPr>
        <w:t>。</w:t>
      </w:r>
      <w:r>
        <w:rPr>
          <w:color w:val="auto"/>
        </w:rPr>
        <w:t>结果应符合</w:t>
      </w:r>
      <w:r>
        <w:rPr>
          <w:rFonts w:hint="eastAsia"/>
          <w:color w:val="auto"/>
        </w:rPr>
        <w:t>4.</w:t>
      </w:r>
      <w:r>
        <w:rPr>
          <w:rFonts w:hint="eastAsia"/>
          <w:color w:val="auto"/>
          <w:lang w:val="en-US" w:eastAsia="zh-CN"/>
        </w:rPr>
        <w:t>2</w:t>
      </w:r>
      <w:r>
        <w:rPr>
          <w:color w:val="auto"/>
        </w:rPr>
        <w:t>.2的要求。</w:t>
      </w:r>
    </w:p>
    <w:p w14:paraId="6F1ECE0A">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Ansi="黑体"/>
          <w:color w:val="auto"/>
        </w:rPr>
        <w:t xml:space="preserve">.3 </w:t>
      </w:r>
      <w:r>
        <w:rPr>
          <w:rFonts w:hint="eastAsia" w:hAnsi="黑体"/>
          <w:color w:val="auto"/>
        </w:rPr>
        <w:t>不溶性微粒</w:t>
      </w:r>
    </w:p>
    <w:p w14:paraId="277FAEF3">
      <w:pPr>
        <w:pStyle w:val="26"/>
        <w:rPr>
          <w:color w:val="auto"/>
        </w:rPr>
      </w:pPr>
      <w:r>
        <w:rPr>
          <w:rFonts w:hint="eastAsia"/>
          <w:color w:val="auto"/>
        </w:rPr>
        <w:t>取适量样品，在洁净工作台上用水将容器外壁洗净，小心开启外盖，加入规定量的溶液并在规定温度下完成复溶后（干态微球），将湿态微球用适宜孔径的细胞过滤网过滤，收集滤液，并按照《中国药典》2025年版四部通则0903不溶性微粒检查法进行测试，结果应符合4.</w:t>
      </w:r>
      <w:r>
        <w:rPr>
          <w:rFonts w:hint="eastAsia"/>
          <w:color w:val="auto"/>
          <w:lang w:val="en-US" w:eastAsia="zh-CN"/>
        </w:rPr>
        <w:t>2</w:t>
      </w:r>
      <w:r>
        <w:rPr>
          <w:rFonts w:hint="eastAsia"/>
          <w:color w:val="auto"/>
        </w:rPr>
        <w:t>.3的规定。</w:t>
      </w:r>
    </w:p>
    <w:p w14:paraId="42A5661D">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Ansi="黑体"/>
          <w:color w:val="auto"/>
        </w:rPr>
        <w:t>.4含水率</w:t>
      </w:r>
    </w:p>
    <w:p w14:paraId="2C2FE90B">
      <w:pPr>
        <w:pStyle w:val="26"/>
        <w:rPr>
          <w:color w:val="auto"/>
        </w:rPr>
      </w:pPr>
      <w:r>
        <w:rPr>
          <w:color w:val="auto"/>
        </w:rPr>
        <w:t>按</w:t>
      </w:r>
      <w:r>
        <w:rPr>
          <w:rFonts w:hint="eastAsia"/>
          <w:color w:val="auto"/>
        </w:rPr>
        <w:t>《中国药典》2025版四部通则0832水分测定法第一法容量滴定法进行检测</w:t>
      </w:r>
      <w:r>
        <w:rPr>
          <w:color w:val="auto"/>
        </w:rPr>
        <w:t>，结果应符合</w:t>
      </w:r>
      <w:r>
        <w:rPr>
          <w:rFonts w:hint="eastAsia"/>
          <w:color w:val="auto"/>
        </w:rPr>
        <w:t>4.</w:t>
      </w:r>
      <w:r>
        <w:rPr>
          <w:rFonts w:hint="eastAsia"/>
          <w:color w:val="auto"/>
          <w:lang w:val="en-US" w:eastAsia="zh-CN"/>
        </w:rPr>
        <w:t>2</w:t>
      </w:r>
      <w:r>
        <w:rPr>
          <w:rFonts w:hint="eastAsia"/>
          <w:color w:val="auto"/>
        </w:rPr>
        <w:t>.4</w:t>
      </w:r>
      <w:r>
        <w:rPr>
          <w:color w:val="auto"/>
        </w:rPr>
        <w:t>的规定。</w:t>
      </w:r>
    </w:p>
    <w:p w14:paraId="47EA5133">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int="eastAsia" w:hAnsi="黑体"/>
          <w:color w:val="auto"/>
        </w:rPr>
        <w:t>.5悬浮性能</w:t>
      </w:r>
    </w:p>
    <w:p w14:paraId="051874A5">
      <w:pPr>
        <w:pStyle w:val="26"/>
        <w:rPr>
          <w:color w:val="auto"/>
        </w:rPr>
      </w:pPr>
      <w:r>
        <w:rPr>
          <w:rFonts w:hint="eastAsia"/>
          <w:color w:val="auto"/>
        </w:rPr>
        <w:t>微球达到悬浮状态时间的定义：微球与造影剂通过三通阀混合在注射器中后，在垂直静置放置情况下，微球达到悬浮状态且维持1min，即为达到悬浮状态的时间，微球与造影剂混合。</w:t>
      </w:r>
    </w:p>
    <w:p w14:paraId="589D76CB">
      <w:pPr>
        <w:pStyle w:val="26"/>
        <w:rPr>
          <w:color w:val="auto"/>
        </w:rPr>
      </w:pPr>
      <w:r>
        <w:rPr>
          <w:rFonts w:hint="eastAsia"/>
          <w:color w:val="auto"/>
        </w:rPr>
        <w:t>微球悬浮状态定义为微球与造影剂通过三通阀混合在注射器中后，在垂直静置放置情况下，混悬液中至少2/3的体积均含有微球的状态。</w:t>
      </w:r>
    </w:p>
    <w:p w14:paraId="2BE3283B">
      <w:pPr>
        <w:pStyle w:val="26"/>
        <w:rPr>
          <w:color w:val="auto"/>
        </w:rPr>
      </w:pPr>
      <w:r>
        <w:rPr>
          <w:rFonts w:hint="eastAsia"/>
          <w:color w:val="auto"/>
        </w:rPr>
        <w:t>室温环境下，轻微摇晃西林瓶，然后将瓶中微球和保存液一起抽到20mL注射器中。另取一20mL注射器吸取适宜比例的造影剂，通过三通阀连接2支注射器并排出空气，将2支注射器来回推拉至少5次，使微球与造影剂充分混合。取1个计时器，用于记录达到悬浮状态的时间和维持悬浮状态的时间。</w:t>
      </w:r>
    </w:p>
    <w:p w14:paraId="43AB4D55">
      <w:pPr>
        <w:pStyle w:val="26"/>
        <w:rPr>
          <w:color w:val="auto"/>
        </w:rPr>
      </w:pPr>
      <w:r>
        <w:rPr>
          <w:rFonts w:hint="eastAsia"/>
          <w:color w:val="auto"/>
        </w:rPr>
        <w:t>上下颠倒注射器至少10次后，将注射器垂直固定于桌面上，同时启动计时器，观察和记录微球达到悬浮状态的时间和维持悬浮状态的时间。记录此时计时器的时间T</w:t>
      </w:r>
      <w:r>
        <w:rPr>
          <w:rFonts w:hint="eastAsia"/>
          <w:color w:val="auto"/>
          <w:vertAlign w:val="subscript"/>
        </w:rPr>
        <w:t>1</w:t>
      </w:r>
      <w:r>
        <w:rPr>
          <w:rFonts w:hint="eastAsia"/>
          <w:color w:val="auto"/>
        </w:rPr>
        <w:t>（min），继续观察至微球结束悬浮状态的时间T</w:t>
      </w:r>
      <w:r>
        <w:rPr>
          <w:rFonts w:hint="eastAsia"/>
          <w:color w:val="auto"/>
          <w:vertAlign w:val="subscript"/>
        </w:rPr>
        <w:t>2</w:t>
      </w:r>
      <w:r>
        <w:rPr>
          <w:rFonts w:hint="eastAsia"/>
          <w:color w:val="auto"/>
        </w:rPr>
        <w:t>（min）。则该样品达到悬浮状态所需的时间T=T</w:t>
      </w:r>
      <w:r>
        <w:rPr>
          <w:rFonts w:hint="eastAsia"/>
          <w:color w:val="auto"/>
          <w:vertAlign w:val="subscript"/>
        </w:rPr>
        <w:t>1</w:t>
      </w:r>
      <w:r>
        <w:rPr>
          <w:rFonts w:hint="eastAsia"/>
          <w:color w:val="auto"/>
        </w:rPr>
        <w:t>-1（min），微球维持悬浮状态的时间为T</w:t>
      </w:r>
      <w:r>
        <w:rPr>
          <w:rFonts w:hint="eastAsia"/>
          <w:color w:val="auto"/>
          <w:vertAlign w:val="subscript"/>
        </w:rPr>
        <w:t>2</w:t>
      </w:r>
      <w:r>
        <w:rPr>
          <w:rFonts w:hint="eastAsia"/>
          <w:color w:val="auto"/>
        </w:rPr>
        <w:t>-T</w:t>
      </w:r>
      <w:r>
        <w:rPr>
          <w:rFonts w:hint="eastAsia"/>
          <w:color w:val="auto"/>
          <w:vertAlign w:val="subscript"/>
        </w:rPr>
        <w:t>1</w:t>
      </w:r>
      <w:r>
        <w:rPr>
          <w:rFonts w:hint="eastAsia"/>
          <w:color w:val="auto"/>
        </w:rPr>
        <w:t>+1（min）。测试结果应符合4.</w:t>
      </w:r>
      <w:r>
        <w:rPr>
          <w:rFonts w:hint="eastAsia"/>
          <w:color w:val="auto"/>
          <w:lang w:val="en-US" w:eastAsia="zh-CN"/>
        </w:rPr>
        <w:t>2</w:t>
      </w:r>
      <w:r>
        <w:rPr>
          <w:rFonts w:hint="eastAsia"/>
          <w:color w:val="auto"/>
        </w:rPr>
        <w:t>.5的要求。</w:t>
      </w:r>
    </w:p>
    <w:p w14:paraId="43D1D479">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int="eastAsia" w:hAnsi="黑体"/>
          <w:color w:val="auto"/>
        </w:rPr>
        <w:t>.6导管通过性</w:t>
      </w:r>
    </w:p>
    <w:p w14:paraId="09963F24">
      <w:pPr>
        <w:pStyle w:val="26"/>
        <w:rPr>
          <w:color w:val="auto"/>
        </w:rPr>
      </w:pPr>
      <w:r>
        <w:rPr>
          <w:rFonts w:hint="eastAsia"/>
          <w:color w:val="auto"/>
        </w:rPr>
        <w:t>取适量样品与适宜比例的造影剂混合并达到悬浮状态后，参考推荐的导管，使用前用氯化钠（0.9%）注射液润湿导管内腔。通过三通阀将装有微球与造影剂混悬液的注射器与1mL注射器连接，将装有混悬液的注射器上下颠倒摇晃至少10次，然后将混悬液吸取到1mL注射器中，再调节三通阀旋钮使1mL注射器和导管相连通。以约1mL/min的速度缓慢推送混悬液，使其通过导管。待1mL注射器中溶液推送完之后，调整三通阀旋钮，将装有混悬液的注射器上下颠倒摇晃至少10次，使微球悬浮良好，再次抽取至1mL注射器中，重复该过程，直至全部混悬液输送完毕。期间观察微球从导管口的流出情况。结果应符合4.</w:t>
      </w:r>
      <w:r>
        <w:rPr>
          <w:rFonts w:hint="eastAsia"/>
          <w:color w:val="auto"/>
          <w:lang w:val="en-US" w:eastAsia="zh-CN"/>
        </w:rPr>
        <w:t>2</w:t>
      </w:r>
      <w:r>
        <w:rPr>
          <w:rFonts w:hint="eastAsia"/>
          <w:color w:val="auto"/>
        </w:rPr>
        <w:t>.6的要求。</w:t>
      </w:r>
    </w:p>
    <w:p w14:paraId="433B0AAB">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Ansi="黑体"/>
          <w:color w:val="auto"/>
        </w:rPr>
        <w:t>.</w:t>
      </w:r>
      <w:r>
        <w:rPr>
          <w:rFonts w:hint="eastAsia" w:hAnsi="黑体"/>
          <w:color w:val="auto"/>
        </w:rPr>
        <w:t>7</w:t>
      </w:r>
      <w:r>
        <w:rPr>
          <w:rFonts w:hAnsi="黑体"/>
          <w:color w:val="auto"/>
        </w:rPr>
        <w:t xml:space="preserve"> </w:t>
      </w:r>
      <w:r>
        <w:rPr>
          <w:rFonts w:hint="eastAsia" w:hAnsi="黑体"/>
          <w:color w:val="auto"/>
        </w:rPr>
        <w:t>压缩弹性</w:t>
      </w:r>
    </w:p>
    <w:p w14:paraId="437210D9">
      <w:pPr>
        <w:ind w:firstLine="420" w:firstLineChars="200"/>
        <w:rPr>
          <w:rFonts w:hint="default"/>
          <w:color w:val="auto"/>
          <w:lang w:val="en-US" w:eastAsia="zh-CN"/>
        </w:rPr>
      </w:pPr>
      <w:r>
        <w:rPr>
          <w:rFonts w:hint="eastAsia"/>
          <w:color w:val="auto"/>
          <w:lang w:val="en-US" w:eastAsia="zh-CN"/>
        </w:rPr>
        <w:t>方法一：抗形变性能测试</w:t>
      </w:r>
    </w:p>
    <w:p w14:paraId="2604BF26">
      <w:pPr>
        <w:ind w:firstLine="480"/>
        <w:rPr>
          <w:rFonts w:hint="default"/>
          <w:color w:val="auto"/>
          <w:lang w:val="en-US" w:eastAsia="zh-CN"/>
        </w:rPr>
      </w:pPr>
      <w:r>
        <w:rPr>
          <w:rFonts w:hint="eastAsia"/>
          <w:color w:val="auto"/>
          <w:lang w:val="en-US" w:eastAsia="zh-CN"/>
        </w:rPr>
        <w:t>将湿态</w:t>
      </w:r>
      <w:r>
        <w:rPr>
          <w:color w:val="auto"/>
        </w:rPr>
        <w:t>微球</w:t>
      </w:r>
      <w:r>
        <w:rPr>
          <w:rFonts w:hint="eastAsia"/>
          <w:color w:val="auto"/>
          <w:lang w:val="en-US" w:eastAsia="zh-CN"/>
        </w:rPr>
        <w:t>或溶胀平衡后微球分散</w:t>
      </w:r>
      <w:r>
        <w:rPr>
          <w:color w:val="auto"/>
        </w:rPr>
        <w:t>于</w:t>
      </w:r>
      <w:r>
        <w:rPr>
          <w:rFonts w:hint="eastAsia"/>
          <w:color w:val="auto"/>
          <w:lang w:val="en-US" w:eastAsia="zh-CN"/>
        </w:rPr>
        <w:t>测试平台</w:t>
      </w:r>
      <w:r>
        <w:rPr>
          <w:color w:val="auto"/>
        </w:rPr>
        <w:t>上，</w:t>
      </w:r>
      <w:r>
        <w:rPr>
          <w:rFonts w:hint="eastAsia"/>
          <w:color w:val="auto"/>
        </w:rPr>
        <w:t>滴加适量生理盐水保证微球处于湿润状态，</w:t>
      </w:r>
      <w:r>
        <w:rPr>
          <w:rFonts w:hint="eastAsia"/>
          <w:color w:val="auto"/>
          <w:lang w:val="en-US" w:eastAsia="zh-CN"/>
        </w:rPr>
        <w:t>调节显微镜和测试平台位置使压缩探针头和待测试微球在视野中同时清晰成像。先</w:t>
      </w:r>
      <w:r>
        <w:rPr>
          <w:color w:val="auto"/>
        </w:rPr>
        <w:t>测量微球直径（</w:t>
      </w:r>
      <w:r>
        <w:rPr>
          <w:rFonts w:hint="eastAsia"/>
          <w:color w:val="auto"/>
          <w:lang w:val="en-US" w:eastAsia="zh-CN"/>
        </w:rPr>
        <w:t>D</w:t>
      </w:r>
      <w:r>
        <w:rPr>
          <w:rFonts w:hint="eastAsia"/>
          <w:color w:val="auto"/>
          <w:vertAlign w:val="subscript"/>
          <w:lang w:val="en-US" w:eastAsia="zh-CN"/>
        </w:rPr>
        <w:t>0</w:t>
      </w:r>
      <w:r>
        <w:rPr>
          <w:color w:val="auto"/>
        </w:rPr>
        <w:t>）；然后向</w:t>
      </w:r>
      <w:r>
        <w:rPr>
          <w:rFonts w:hint="eastAsia"/>
          <w:color w:val="auto"/>
          <w:lang w:val="en-US" w:eastAsia="zh-CN"/>
        </w:rPr>
        <w:t>下移动探针压缩微球，</w:t>
      </w:r>
      <w:r>
        <w:rPr>
          <w:color w:val="auto"/>
        </w:rPr>
        <w:t>直至微球的</w:t>
      </w:r>
      <w:r>
        <w:rPr>
          <w:rFonts w:hint="eastAsia"/>
          <w:color w:val="auto"/>
        </w:rPr>
        <w:t>形变量</w:t>
      </w:r>
      <w:r>
        <w:rPr>
          <w:color w:val="auto"/>
        </w:rPr>
        <w:t>＞30%</w:t>
      </w:r>
      <w:r>
        <w:rPr>
          <w:rFonts w:hint="eastAsia"/>
          <w:color w:val="auto"/>
        </w:rPr>
        <w:t>，测量</w:t>
      </w:r>
      <w:r>
        <w:rPr>
          <w:color w:val="auto"/>
        </w:rPr>
        <w:t>压缩</w:t>
      </w:r>
      <w:r>
        <w:rPr>
          <w:rFonts w:hint="eastAsia"/>
          <w:color w:val="auto"/>
        </w:rPr>
        <w:t>中</w:t>
      </w:r>
      <w:r>
        <w:rPr>
          <w:rFonts w:hint="eastAsia"/>
          <w:color w:val="auto"/>
          <w:lang w:val="en-US" w:eastAsia="zh-CN"/>
        </w:rPr>
        <w:t>竖直方向上</w:t>
      </w:r>
      <w:r>
        <w:rPr>
          <w:rFonts w:hint="eastAsia"/>
          <w:color w:val="auto"/>
        </w:rPr>
        <w:t>的</w:t>
      </w:r>
      <w:r>
        <w:rPr>
          <w:color w:val="auto"/>
        </w:rPr>
        <w:t>微球直径（</w:t>
      </w:r>
      <w:r>
        <w:rPr>
          <w:rFonts w:hint="eastAsia"/>
          <w:color w:val="auto"/>
          <w:lang w:val="en-US" w:eastAsia="zh-CN"/>
        </w:rPr>
        <w:t>D</w:t>
      </w:r>
      <w:r>
        <w:rPr>
          <w:rFonts w:hint="eastAsia"/>
          <w:color w:val="auto"/>
          <w:vertAlign w:val="subscript"/>
          <w:lang w:val="en-US" w:eastAsia="zh-CN"/>
        </w:rPr>
        <w:t>c</w:t>
      </w:r>
      <w:r>
        <w:rPr>
          <w:color w:val="auto"/>
        </w:rPr>
        <w:t>）；</w:t>
      </w:r>
      <w:r>
        <w:rPr>
          <w:rFonts w:hint="eastAsia"/>
          <w:color w:val="auto"/>
          <w:lang w:val="en-US" w:eastAsia="zh-CN"/>
        </w:rPr>
        <w:t>解</w:t>
      </w:r>
      <w:r>
        <w:rPr>
          <w:color w:val="auto"/>
        </w:rPr>
        <w:t>除</w:t>
      </w:r>
      <w:r>
        <w:rPr>
          <w:rFonts w:hint="eastAsia"/>
          <w:color w:val="auto"/>
          <w:lang w:val="en-US" w:eastAsia="zh-CN"/>
        </w:rPr>
        <w:t>压缩</w:t>
      </w:r>
      <w:r>
        <w:rPr>
          <w:color w:val="auto"/>
        </w:rPr>
        <w:t>，</w:t>
      </w:r>
      <w:r>
        <w:rPr>
          <w:rFonts w:hint="eastAsia"/>
          <w:color w:val="auto"/>
        </w:rPr>
        <w:t>观察微球</w:t>
      </w:r>
      <w:r>
        <w:rPr>
          <w:rFonts w:hint="eastAsia"/>
          <w:color w:val="auto"/>
          <w:lang w:eastAsia="zh-CN"/>
        </w:rPr>
        <w:t>，</w:t>
      </w:r>
      <w:r>
        <w:rPr>
          <w:rFonts w:hint="eastAsia"/>
          <w:color w:val="auto"/>
        </w:rPr>
        <w:t>平行测试3颗微球</w:t>
      </w:r>
      <w:r>
        <w:rPr>
          <w:rFonts w:hint="eastAsia"/>
          <w:color w:val="auto"/>
          <w:lang w:eastAsia="zh-CN"/>
        </w:rPr>
        <w:t>。</w:t>
      </w:r>
      <w:r>
        <w:rPr>
          <w:rFonts w:hint="eastAsia"/>
          <w:color w:val="auto"/>
        </w:rPr>
        <w:t>测试和计算结果应符</w:t>
      </w:r>
      <w:r>
        <w:rPr>
          <w:rFonts w:hint="eastAsia" w:ascii="宋体" w:hAnsi="宋体" w:cs="宋体"/>
          <w:color w:val="auto"/>
        </w:rPr>
        <w:t>合4.</w:t>
      </w:r>
      <w:r>
        <w:rPr>
          <w:rFonts w:hint="eastAsia" w:ascii="宋体" w:hAnsi="宋体" w:cs="宋体"/>
          <w:color w:val="auto"/>
          <w:lang w:val="en-US" w:eastAsia="zh-CN"/>
        </w:rPr>
        <w:t>2</w:t>
      </w:r>
      <w:r>
        <w:rPr>
          <w:rFonts w:hint="eastAsia" w:ascii="宋体" w:hAnsi="宋体" w:cs="宋体"/>
          <w:color w:val="auto"/>
        </w:rPr>
        <w:t>.7的规</w:t>
      </w:r>
      <w:r>
        <w:rPr>
          <w:rFonts w:hint="eastAsia"/>
          <w:color w:val="auto"/>
        </w:rPr>
        <w:t>定。</w:t>
      </w:r>
      <w:r>
        <w:rPr>
          <w:rFonts w:hint="eastAsia"/>
          <w:color w:val="auto"/>
          <w:lang w:val="en-US" w:eastAsia="zh-CN"/>
        </w:rPr>
        <w:t>公式如下：</w:t>
      </w:r>
    </w:p>
    <w:p w14:paraId="11958B18">
      <w:pPr>
        <w:ind w:firstLine="480"/>
        <w:rPr>
          <w:rFonts w:hint="eastAsia" w:ascii="宋体" w:hAnsi="宋体" w:cs="宋体"/>
          <w:color w:val="auto"/>
        </w:rPr>
      </w:pPr>
      <m:oMathPara>
        <m:oMath>
          <m:r>
            <m:rPr>
              <m:sty m:val="p"/>
            </m:rPr>
            <w:rPr>
              <w:rFonts w:hint="eastAsia" w:ascii="Cambria Math" w:hAnsi="Cambria Math" w:cs="宋体"/>
              <w:color w:val="auto"/>
            </w:rPr>
            <m:t>形变量=</m:t>
          </m:r>
          <m:d>
            <m:dPr>
              <m:begChr m:val="（"/>
              <m:endChr m:val="）"/>
              <m:ctrlPr>
                <w:rPr>
                  <w:rFonts w:hint="eastAsia" w:ascii="Cambria Math" w:hAnsi="Cambria Math" w:cs="宋体"/>
                  <w:iCs/>
                  <w:color w:val="auto"/>
                </w:rPr>
              </m:ctrlPr>
            </m:dPr>
            <m:e>
              <m:r>
                <m:rPr>
                  <m:sty m:val="p"/>
                </m:rPr>
                <w:rPr>
                  <w:rFonts w:hint="eastAsia" w:ascii="Cambria Math" w:hAnsi="Cambria Math" w:cs="宋体"/>
                  <w:color w:val="auto"/>
                </w:rPr>
                <m:t>1−</m:t>
              </m:r>
              <m:f>
                <m:fPr>
                  <m:ctrlPr>
                    <w:rPr>
                      <w:rFonts w:hint="eastAsia" w:ascii="Cambria Math" w:hAnsi="Cambria Math" w:cs="宋体"/>
                      <w:iCs/>
                      <w:color w:val="auto"/>
                    </w:rPr>
                  </m:ctrlPr>
                </m:fPr>
                <m:num>
                  <m:sSub>
                    <m:sSubPr>
                      <m:ctrlPr>
                        <w:rPr>
                          <w:rFonts w:hint="eastAsia" w:ascii="Cambria Math" w:hAnsi="Cambria Math" w:cs="宋体"/>
                          <w:iCs/>
                          <w:color w:val="auto"/>
                        </w:rPr>
                      </m:ctrlPr>
                    </m:sSubPr>
                    <m:e>
                      <m:r>
                        <m:rPr>
                          <m:sty m:val="p"/>
                        </m:rPr>
                        <w:rPr>
                          <w:rFonts w:hint="eastAsia" w:ascii="Cambria Math" w:hAnsi="Cambria Math" w:cs="宋体"/>
                          <w:color w:val="auto"/>
                          <w:lang w:val="en-US" w:eastAsia="zh-CN"/>
                        </w:rPr>
                        <m:t>D</m:t>
                      </m:r>
                      <m:ctrlPr>
                        <w:rPr>
                          <w:rFonts w:hint="eastAsia" w:ascii="Cambria Math" w:hAnsi="Cambria Math" w:cs="宋体"/>
                          <w:iCs/>
                          <w:color w:val="auto"/>
                        </w:rPr>
                      </m:ctrlPr>
                    </m:e>
                    <m:sub>
                      <m:r>
                        <m:rPr>
                          <m:sty m:val="p"/>
                        </m:rPr>
                        <w:rPr>
                          <w:rFonts w:hint="eastAsia" w:ascii="Cambria Math" w:hAnsi="Cambria Math" w:cs="宋体"/>
                          <w:color w:val="auto"/>
                          <w:lang w:val="en-US" w:eastAsia="zh-CN"/>
                        </w:rPr>
                        <m:t>0</m:t>
                      </m:r>
                      <m:ctrlPr>
                        <w:rPr>
                          <w:rFonts w:hint="eastAsia" w:ascii="Cambria Math" w:hAnsi="Cambria Math" w:cs="宋体"/>
                          <w:iCs/>
                          <w:color w:val="auto"/>
                        </w:rPr>
                      </m:ctrlPr>
                    </m:sub>
                  </m:sSub>
                  <m:ctrlPr>
                    <w:rPr>
                      <w:rFonts w:hint="eastAsia" w:ascii="Cambria Math" w:hAnsi="Cambria Math" w:cs="宋体"/>
                      <w:iCs/>
                      <w:color w:val="auto"/>
                    </w:rPr>
                  </m:ctrlPr>
                </m:num>
                <m:den>
                  <m:sSub>
                    <m:sSubPr>
                      <m:ctrlPr>
                        <w:rPr>
                          <w:rFonts w:hint="eastAsia" w:ascii="Cambria Math" w:hAnsi="Cambria Math" w:cs="宋体"/>
                          <w:b w:val="0"/>
                          <w:i w:val="0"/>
                          <w:color w:val="auto"/>
                          <w:lang w:val="en-US" w:eastAsia="zh-CN"/>
                        </w:rPr>
                      </m:ctrlPr>
                    </m:sSubPr>
                    <m:e>
                      <m:r>
                        <m:rPr>
                          <m:sty m:val="p"/>
                        </m:rPr>
                        <w:rPr>
                          <w:rFonts w:hint="eastAsia" w:ascii="Cambria Math" w:hAnsi="Cambria Math" w:cs="宋体"/>
                          <w:color w:val="auto"/>
                          <w:lang w:val="en-US" w:eastAsia="zh-CN"/>
                        </w:rPr>
                        <m:t>D</m:t>
                      </m:r>
                      <m:ctrlPr>
                        <w:rPr>
                          <w:rFonts w:hint="eastAsia" w:ascii="Cambria Math" w:hAnsi="Cambria Math" w:cs="宋体"/>
                          <w:b w:val="0"/>
                          <w:i w:val="0"/>
                          <w:color w:val="auto"/>
                          <w:lang w:val="en-US" w:eastAsia="zh-CN"/>
                        </w:rPr>
                      </m:ctrlPr>
                    </m:e>
                    <m:sub>
                      <m:r>
                        <m:rPr>
                          <m:sty m:val="p"/>
                        </m:rPr>
                        <w:rPr>
                          <w:rFonts w:hint="eastAsia" w:ascii="Cambria Math" w:hAnsi="Cambria Math" w:cs="宋体"/>
                          <w:color w:val="auto"/>
                          <w:lang w:val="en-US" w:eastAsia="zh-CN"/>
                        </w:rPr>
                        <m:t>C</m:t>
                      </m:r>
                      <m:ctrlPr>
                        <w:rPr>
                          <w:rFonts w:hint="eastAsia" w:ascii="Cambria Math" w:hAnsi="Cambria Math" w:cs="宋体"/>
                          <w:b w:val="0"/>
                          <w:i w:val="0"/>
                          <w:color w:val="auto"/>
                          <w:lang w:val="en-US" w:eastAsia="zh-CN"/>
                        </w:rPr>
                      </m:ctrlPr>
                    </m:sub>
                  </m:sSub>
                  <m:ctrlPr>
                    <w:rPr>
                      <w:rFonts w:hint="eastAsia" w:ascii="Cambria Math" w:hAnsi="Cambria Math" w:cs="宋体"/>
                      <w:iCs/>
                      <w:color w:val="auto"/>
                    </w:rPr>
                  </m:ctrlPr>
                </m:den>
              </m:f>
              <m:ctrlPr>
                <w:rPr>
                  <w:rFonts w:hint="eastAsia" w:ascii="Cambria Math" w:hAnsi="Cambria Math" w:cs="宋体"/>
                  <w:iCs/>
                  <w:color w:val="auto"/>
                </w:rPr>
              </m:ctrlPr>
            </m:e>
          </m:d>
          <m:r>
            <m:rPr>
              <m:sty m:val="p"/>
            </m:rPr>
            <w:rPr>
              <w:rFonts w:hint="eastAsia" w:ascii="Cambria Math" w:hAnsi="Cambria Math" w:cs="宋体"/>
              <w:color w:val="auto"/>
            </w:rPr>
            <m:t>×100%</m:t>
          </m:r>
        </m:oMath>
      </m:oMathPara>
    </w:p>
    <w:p w14:paraId="058C8D36">
      <w:pPr>
        <w:ind w:firstLine="480"/>
        <w:rPr>
          <w:rFonts w:hAnsi="Cambria Math"/>
          <w:color w:val="auto"/>
        </w:rPr>
      </w:pPr>
      <w:r>
        <w:rPr>
          <w:rFonts w:hint="eastAsia" w:hAnsi="Cambria Math"/>
          <w:color w:val="auto"/>
        </w:rPr>
        <w:t>式中：</w:t>
      </w:r>
    </w:p>
    <w:p w14:paraId="7C120AE8">
      <w:pPr>
        <w:ind w:firstLine="420" w:firstLineChars="200"/>
        <w:rPr>
          <w:rFonts w:hint="eastAsia" w:ascii="宋体" w:hAnsi="宋体" w:cs="宋体"/>
          <w:color w:val="auto"/>
        </w:rPr>
      </w:pPr>
      <w:r>
        <w:rPr>
          <w:rFonts w:hint="eastAsia" w:ascii="宋体" w:hAnsi="宋体" w:cs="宋体"/>
          <w:color w:val="auto"/>
        </w:rPr>
        <w:t>D</w:t>
      </w:r>
      <w:r>
        <w:rPr>
          <w:rFonts w:hint="eastAsia" w:ascii="宋体" w:hAnsi="宋体" w:cs="宋体"/>
          <w:color w:val="auto"/>
          <w:vertAlign w:val="subscript"/>
          <w:lang w:val="en-US" w:eastAsia="zh-CN"/>
        </w:rPr>
        <w:t>0</w:t>
      </w:r>
      <w:r>
        <w:rPr>
          <w:rFonts w:hint="eastAsia" w:ascii="宋体" w:hAnsi="宋体" w:cs="宋体"/>
          <w:color w:val="auto"/>
        </w:rPr>
        <w:t>：微球直径，单位为微米（</w:t>
      </w:r>
      <w:r>
        <w:rPr>
          <w:rFonts w:hint="eastAsia"/>
          <w:color w:val="auto"/>
        </w:rPr>
        <w:sym w:font="Symbol" w:char="F06D"/>
      </w:r>
      <w:r>
        <w:rPr>
          <w:rFonts w:hint="eastAsia" w:ascii="宋体" w:hAnsi="宋体" w:cs="宋体"/>
          <w:color w:val="auto"/>
          <w:kern w:val="0"/>
          <w:sz w:val="21"/>
          <w:szCs w:val="21"/>
        </w:rPr>
        <w:t>m</w:t>
      </w:r>
      <w:r>
        <w:rPr>
          <w:rFonts w:hint="eastAsia" w:ascii="宋体" w:hAnsi="宋体" w:cs="宋体"/>
          <w:color w:val="auto"/>
        </w:rPr>
        <w:t>）；</w:t>
      </w:r>
    </w:p>
    <w:p w14:paraId="42A6E0A1">
      <w:pPr>
        <w:pStyle w:val="26"/>
        <w:rPr>
          <w:rFonts w:hint="eastAsia" w:hAnsi="宋体" w:eastAsia="宋体" w:cs="宋体"/>
          <w:color w:val="auto"/>
          <w:lang w:eastAsia="zh-CN"/>
        </w:rPr>
      </w:pPr>
      <w:r>
        <w:rPr>
          <w:rFonts w:hint="eastAsia" w:ascii="宋体" w:hAnsi="宋体" w:cs="宋体"/>
          <w:color w:val="auto"/>
        </w:rPr>
        <w:t>D</w:t>
      </w:r>
      <w:r>
        <w:rPr>
          <w:rFonts w:hint="eastAsia" w:ascii="宋体" w:hAnsi="宋体" w:cs="宋体"/>
          <w:color w:val="auto"/>
          <w:vertAlign w:val="subscript"/>
          <w:lang w:val="en-US" w:eastAsia="zh-CN"/>
        </w:rPr>
        <w:t>C</w:t>
      </w:r>
      <w:r>
        <w:rPr>
          <w:rFonts w:hint="eastAsia" w:ascii="宋体" w:hAnsi="宋体" w:cs="宋体"/>
          <w:color w:val="auto"/>
        </w:rPr>
        <w:t>：压缩</w:t>
      </w:r>
      <w:r>
        <w:rPr>
          <w:rFonts w:hint="eastAsia" w:hAnsi="宋体" w:cs="宋体"/>
          <w:color w:val="auto"/>
        </w:rPr>
        <w:t>中</w:t>
      </w:r>
      <w:r>
        <w:rPr>
          <w:rFonts w:hint="eastAsia" w:hAnsi="宋体" w:cs="宋体"/>
          <w:color w:val="auto"/>
          <w:lang w:val="en-US" w:eastAsia="zh-CN"/>
        </w:rPr>
        <w:t>竖直方向上</w:t>
      </w:r>
      <w:r>
        <w:rPr>
          <w:rFonts w:hint="eastAsia" w:hAnsi="宋体" w:cs="宋体"/>
          <w:color w:val="auto"/>
        </w:rPr>
        <w:t>微球直径，单位为微米（</w:t>
      </w:r>
      <w:r>
        <w:rPr>
          <w:rFonts w:hint="eastAsia"/>
          <w:color w:val="auto"/>
        </w:rPr>
        <w:sym w:font="Symbol" w:char="F06D"/>
      </w:r>
      <w:r>
        <w:rPr>
          <w:rFonts w:hint="eastAsia" w:hAnsi="宋体" w:cs="宋体"/>
          <w:color w:val="auto"/>
          <w:kern w:val="0"/>
          <w:sz w:val="21"/>
          <w:szCs w:val="21"/>
        </w:rPr>
        <w:t>m</w:t>
      </w:r>
      <w:r>
        <w:rPr>
          <w:rFonts w:hint="eastAsia" w:hAnsi="宋体" w:cs="宋体"/>
          <w:color w:val="auto"/>
        </w:rPr>
        <w:t>）</w:t>
      </w:r>
    </w:p>
    <w:p w14:paraId="7F51D4ED">
      <w:pPr>
        <w:pStyle w:val="26"/>
        <w:rPr>
          <w:rFonts w:hint="eastAsia" w:hAnsi="宋体" w:cs="宋体"/>
          <w:color w:val="auto"/>
          <w:lang w:val="en-US" w:eastAsia="zh-CN"/>
        </w:rPr>
      </w:pPr>
      <w:r>
        <w:rPr>
          <w:rFonts w:hint="eastAsia" w:hAnsi="宋体" w:cs="宋体"/>
          <w:color w:val="auto"/>
          <w:lang w:val="en-US" w:eastAsia="zh-CN"/>
        </w:rPr>
        <w:t>方法二：</w:t>
      </w:r>
    </w:p>
    <w:p w14:paraId="08840DF4">
      <w:pPr>
        <w:pStyle w:val="26"/>
        <w:rPr>
          <w:rFonts w:hint="eastAsia"/>
          <w:color w:val="auto"/>
        </w:rPr>
      </w:pPr>
      <w:r>
        <w:rPr>
          <w:rFonts w:hint="eastAsia" w:hAnsi="宋体" w:cs="宋体"/>
          <w:color w:val="auto"/>
        </w:rPr>
        <w:t>分别选择</w:t>
      </w:r>
      <w:r>
        <w:rPr>
          <w:rFonts w:hint="eastAsia"/>
          <w:color w:val="auto"/>
        </w:rPr>
        <w:t>湿球状态下以及适宜比例的造影剂混合并达到悬浮状态后的单颗微球放置于载玻片上，将其放于显微镜视野下，测量微球的直径</w:t>
      </w:r>
      <w:r>
        <w:rPr>
          <w:color w:val="auto"/>
        </w:rPr>
        <w:t>D</w:t>
      </w:r>
      <w:r>
        <w:rPr>
          <w:color w:val="auto"/>
          <w:vertAlign w:val="subscript"/>
        </w:rPr>
        <w:t>0</w:t>
      </w:r>
      <w:r>
        <w:rPr>
          <w:rFonts w:hint="eastAsia"/>
          <w:color w:val="auto"/>
        </w:rPr>
        <w:t>，并放置载玻片进行挤压，测量压缩后微球的截面直径</w:t>
      </w:r>
      <w:r>
        <w:rPr>
          <w:color w:val="auto"/>
        </w:rPr>
        <w:t>D</w:t>
      </w:r>
      <w:r>
        <w:rPr>
          <w:color w:val="auto"/>
          <w:vertAlign w:val="subscript"/>
        </w:rPr>
        <w:t>c</w:t>
      </w:r>
      <w:r>
        <w:rPr>
          <w:rFonts w:hint="eastAsia"/>
          <w:color w:val="auto"/>
        </w:rPr>
        <w:t>。测试和计算结果应符合4.</w:t>
      </w:r>
      <w:r>
        <w:rPr>
          <w:rFonts w:hint="eastAsia"/>
          <w:color w:val="auto"/>
          <w:lang w:val="en-US" w:eastAsia="zh-CN"/>
        </w:rPr>
        <w:t>2</w:t>
      </w:r>
      <w:r>
        <w:rPr>
          <w:rFonts w:hint="eastAsia"/>
          <w:color w:val="auto"/>
        </w:rPr>
        <w:t>.7的规定。</w:t>
      </w:r>
      <w:r>
        <w:rPr>
          <w:rFonts w:hint="eastAsia"/>
          <w:color w:val="auto"/>
          <w:lang w:val="en-US" w:eastAsia="zh-CN"/>
        </w:rPr>
        <w:t>公式如下：</w:t>
      </w:r>
    </w:p>
    <w:p w14:paraId="49495FB9">
      <w:pPr>
        <w:ind w:firstLine="480"/>
        <w:rPr>
          <w:rFonts w:hint="eastAsia" w:ascii="宋体" w:hAnsi="宋体" w:cs="宋体"/>
          <w:color w:val="auto"/>
        </w:rPr>
      </w:pPr>
      <m:oMathPara>
        <m:oMath>
          <m:r>
            <m:rPr>
              <m:sty m:val="p"/>
            </m:rPr>
            <w:rPr>
              <w:rFonts w:hint="eastAsia" w:ascii="Cambria Math" w:hAnsi="Cambria Math" w:cs="宋体"/>
              <w:color w:val="auto"/>
            </w:rPr>
            <m:t>形变量=</m:t>
          </m:r>
          <m:d>
            <m:dPr>
              <m:begChr m:val="（"/>
              <m:endChr m:val="）"/>
              <m:ctrlPr>
                <w:rPr>
                  <w:rFonts w:hint="eastAsia" w:ascii="Cambria Math" w:hAnsi="Cambria Math" w:cs="宋体"/>
                  <w:iCs/>
                  <w:color w:val="auto"/>
                </w:rPr>
              </m:ctrlPr>
            </m:dPr>
            <m:e>
              <m:r>
                <m:rPr>
                  <m:sty m:val="p"/>
                </m:rPr>
                <w:rPr>
                  <w:rFonts w:hint="eastAsia" w:ascii="Cambria Math" w:hAnsi="Cambria Math" w:cs="宋体"/>
                  <w:color w:val="auto"/>
                </w:rPr>
                <m:t>1−</m:t>
              </m:r>
              <m:f>
                <m:fPr>
                  <m:ctrlPr>
                    <w:rPr>
                      <w:rFonts w:hint="eastAsia" w:ascii="Cambria Math" w:hAnsi="Cambria Math" w:cs="宋体"/>
                      <w:iCs/>
                      <w:color w:val="auto"/>
                    </w:rPr>
                  </m:ctrlPr>
                </m:fPr>
                <m:num>
                  <m:sSup>
                    <m:sSupPr>
                      <m:ctrlPr>
                        <w:rPr>
                          <w:rFonts w:hint="eastAsia" w:ascii="Cambria Math" w:hAnsi="Cambria Math" w:cs="宋体"/>
                          <w:iCs/>
                          <w:color w:val="auto"/>
                        </w:rPr>
                      </m:ctrlPr>
                    </m:sSupPr>
                    <m:e>
                      <m:sSub>
                        <m:sSubPr>
                          <m:ctrlPr>
                            <w:rPr>
                              <w:rFonts w:hint="eastAsia" w:ascii="Cambria Math" w:hAnsi="Cambria Math" w:cs="宋体"/>
                              <w:iCs/>
                              <w:color w:val="auto"/>
                            </w:rPr>
                          </m:ctrlPr>
                        </m:sSubPr>
                        <m:e>
                          <m:r>
                            <m:rPr>
                              <m:sty m:val="p"/>
                            </m:rPr>
                            <w:rPr>
                              <w:rFonts w:hint="eastAsia" w:ascii="Cambria Math" w:hAnsi="Cambria Math" w:cs="宋体"/>
                              <w:color w:val="auto"/>
                            </w:rPr>
                            <m:t>D</m:t>
                          </m:r>
                          <m:ctrlPr>
                            <w:rPr>
                              <w:rFonts w:hint="eastAsia" w:ascii="Cambria Math" w:hAnsi="Cambria Math" w:cs="宋体"/>
                              <w:iCs/>
                              <w:color w:val="auto"/>
                            </w:rPr>
                          </m:ctrlPr>
                        </m:e>
                        <m:sub>
                          <m:r>
                            <m:rPr>
                              <m:sty m:val="p"/>
                            </m:rPr>
                            <w:rPr>
                              <w:rFonts w:hint="eastAsia" w:ascii="Cambria Math" w:hAnsi="Cambria Math" w:cs="宋体"/>
                              <w:color w:val="auto"/>
                            </w:rPr>
                            <m:t>0</m:t>
                          </m:r>
                          <m:ctrlPr>
                            <w:rPr>
                              <w:rFonts w:hint="eastAsia" w:ascii="Cambria Math" w:hAnsi="Cambria Math" w:cs="宋体"/>
                              <w:iCs/>
                              <w:color w:val="auto"/>
                            </w:rPr>
                          </m:ctrlPr>
                        </m:sub>
                      </m:sSub>
                      <m:ctrlPr>
                        <w:rPr>
                          <w:rFonts w:hint="eastAsia" w:ascii="Cambria Math" w:hAnsi="Cambria Math" w:cs="宋体"/>
                          <w:iCs/>
                          <w:color w:val="auto"/>
                        </w:rPr>
                      </m:ctrlPr>
                    </m:e>
                    <m:sup>
                      <m:r>
                        <m:rPr>
                          <m:sty m:val="p"/>
                        </m:rPr>
                        <w:rPr>
                          <w:rFonts w:hint="eastAsia" w:ascii="Cambria Math" w:hAnsi="Cambria Math" w:cs="宋体"/>
                          <w:color w:val="auto"/>
                        </w:rPr>
                        <m:t>2</m:t>
                      </m:r>
                      <m:ctrlPr>
                        <w:rPr>
                          <w:rFonts w:hint="eastAsia" w:ascii="Cambria Math" w:hAnsi="Cambria Math" w:cs="宋体"/>
                          <w:iCs/>
                          <w:color w:val="auto"/>
                        </w:rPr>
                      </m:ctrlPr>
                    </m:sup>
                  </m:sSup>
                  <m:ctrlPr>
                    <w:rPr>
                      <w:rFonts w:hint="eastAsia" w:ascii="Cambria Math" w:hAnsi="Cambria Math" w:cs="宋体"/>
                      <w:iCs/>
                      <w:color w:val="auto"/>
                    </w:rPr>
                  </m:ctrlPr>
                </m:num>
                <m:den>
                  <m:sSup>
                    <m:sSupPr>
                      <m:ctrlPr>
                        <w:rPr>
                          <w:rFonts w:hint="eastAsia" w:ascii="Cambria Math" w:hAnsi="Cambria Math" w:cs="宋体"/>
                          <w:iCs/>
                          <w:color w:val="auto"/>
                        </w:rPr>
                      </m:ctrlPr>
                    </m:sSupPr>
                    <m:e>
                      <m:sSub>
                        <m:sSubPr>
                          <m:ctrlPr>
                            <w:rPr>
                              <w:rFonts w:hint="eastAsia" w:ascii="Cambria Math" w:hAnsi="Cambria Math" w:cs="宋体"/>
                              <w:iCs/>
                              <w:color w:val="auto"/>
                            </w:rPr>
                          </m:ctrlPr>
                        </m:sSubPr>
                        <m:e>
                          <m:r>
                            <m:rPr>
                              <m:sty m:val="p"/>
                            </m:rPr>
                            <w:rPr>
                              <w:rFonts w:hint="eastAsia" w:ascii="Cambria Math" w:hAnsi="Cambria Math" w:cs="宋体"/>
                              <w:color w:val="auto"/>
                            </w:rPr>
                            <m:t>D</m:t>
                          </m:r>
                          <m:ctrlPr>
                            <w:rPr>
                              <w:rFonts w:hint="eastAsia" w:ascii="Cambria Math" w:hAnsi="Cambria Math" w:cs="宋体"/>
                              <w:iCs/>
                              <w:color w:val="auto"/>
                            </w:rPr>
                          </m:ctrlPr>
                        </m:e>
                        <m:sub>
                          <m:r>
                            <m:rPr>
                              <m:sty m:val="p"/>
                            </m:rPr>
                            <w:rPr>
                              <w:rFonts w:hint="eastAsia" w:ascii="Cambria Math" w:hAnsi="Cambria Math" w:cs="宋体"/>
                              <w:color w:val="auto"/>
                            </w:rPr>
                            <m:t>c</m:t>
                          </m:r>
                          <m:ctrlPr>
                            <w:rPr>
                              <w:rFonts w:hint="eastAsia" w:ascii="Cambria Math" w:hAnsi="Cambria Math" w:cs="宋体"/>
                              <w:iCs/>
                              <w:color w:val="auto"/>
                            </w:rPr>
                          </m:ctrlPr>
                        </m:sub>
                      </m:sSub>
                      <m:ctrlPr>
                        <w:rPr>
                          <w:rFonts w:hint="eastAsia" w:ascii="Cambria Math" w:hAnsi="Cambria Math" w:cs="宋体"/>
                          <w:iCs/>
                          <w:color w:val="auto"/>
                        </w:rPr>
                      </m:ctrlPr>
                    </m:e>
                    <m:sup>
                      <m:r>
                        <m:rPr>
                          <m:sty m:val="p"/>
                        </m:rPr>
                        <w:rPr>
                          <w:rFonts w:hint="eastAsia" w:ascii="Cambria Math" w:hAnsi="Cambria Math" w:cs="宋体"/>
                          <w:color w:val="auto"/>
                        </w:rPr>
                        <m:t>2</m:t>
                      </m:r>
                      <m:ctrlPr>
                        <w:rPr>
                          <w:rFonts w:hint="eastAsia" w:ascii="Cambria Math" w:hAnsi="Cambria Math" w:cs="宋体"/>
                          <w:iCs/>
                          <w:color w:val="auto"/>
                        </w:rPr>
                      </m:ctrlPr>
                    </m:sup>
                  </m:sSup>
                  <m:ctrlPr>
                    <w:rPr>
                      <w:rFonts w:hint="eastAsia" w:ascii="Cambria Math" w:hAnsi="Cambria Math" w:cs="宋体"/>
                      <w:iCs/>
                      <w:color w:val="auto"/>
                    </w:rPr>
                  </m:ctrlPr>
                </m:den>
              </m:f>
              <m:ctrlPr>
                <w:rPr>
                  <w:rFonts w:hint="eastAsia" w:ascii="Cambria Math" w:hAnsi="Cambria Math" w:cs="宋体"/>
                  <w:iCs/>
                  <w:color w:val="auto"/>
                </w:rPr>
              </m:ctrlPr>
            </m:e>
          </m:d>
          <m:r>
            <m:rPr>
              <m:sty m:val="p"/>
            </m:rPr>
            <w:rPr>
              <w:rFonts w:hint="eastAsia" w:ascii="Cambria Math" w:hAnsi="Cambria Math" w:cs="宋体"/>
              <w:color w:val="auto"/>
            </w:rPr>
            <m:t>×100%</m:t>
          </m:r>
        </m:oMath>
      </m:oMathPara>
    </w:p>
    <w:p w14:paraId="1EEA2688">
      <w:pPr>
        <w:ind w:firstLine="480"/>
        <w:rPr>
          <w:rFonts w:hAnsi="Cambria Math"/>
          <w:color w:val="auto"/>
        </w:rPr>
      </w:pPr>
      <w:r>
        <w:rPr>
          <w:rFonts w:hint="eastAsia" w:hAnsi="Cambria Math"/>
          <w:color w:val="auto"/>
        </w:rPr>
        <w:t>式中：</w:t>
      </w:r>
    </w:p>
    <w:p w14:paraId="17D4FF95">
      <w:pPr>
        <w:ind w:firstLine="420" w:firstLineChars="200"/>
        <w:rPr>
          <w:rFonts w:hint="eastAsia" w:ascii="宋体" w:hAnsi="宋体" w:cs="宋体"/>
          <w:color w:val="auto"/>
          <w:szCs w:val="21"/>
        </w:rPr>
      </w:pPr>
      <w:r>
        <w:rPr>
          <w:rFonts w:hint="eastAsia" w:ascii="宋体" w:hAnsi="宋体" w:cs="宋体"/>
          <w:color w:val="auto"/>
          <w:szCs w:val="21"/>
        </w:rPr>
        <w:t>D</w:t>
      </w:r>
      <w:r>
        <w:rPr>
          <w:rFonts w:hint="eastAsia" w:ascii="宋体" w:hAnsi="宋体" w:cs="宋体"/>
          <w:color w:val="auto"/>
          <w:szCs w:val="21"/>
          <w:vertAlign w:val="subscript"/>
        </w:rPr>
        <w:t>0</w:t>
      </w:r>
      <w:r>
        <w:rPr>
          <w:rFonts w:hint="eastAsia" w:ascii="宋体" w:hAnsi="宋体" w:cs="宋体"/>
          <w:color w:val="auto"/>
          <w:szCs w:val="21"/>
        </w:rPr>
        <w:t>：微球直径，单位为微米（</w:t>
      </w:r>
      <w:r>
        <w:rPr>
          <w:rFonts w:hint="eastAsia"/>
          <w:color w:val="auto"/>
        </w:rPr>
        <w:sym w:font="Symbol" w:char="F06D"/>
      </w:r>
      <w:r>
        <w:rPr>
          <w:rFonts w:hint="eastAsia" w:ascii="宋体" w:hAnsi="宋体" w:cs="宋体"/>
          <w:color w:val="auto"/>
          <w:kern w:val="0"/>
          <w:sz w:val="21"/>
          <w:szCs w:val="21"/>
        </w:rPr>
        <w:t>m</w:t>
      </w:r>
      <w:r>
        <w:rPr>
          <w:rFonts w:hint="eastAsia" w:ascii="宋体" w:hAnsi="宋体" w:cs="宋体"/>
          <w:color w:val="auto"/>
          <w:szCs w:val="21"/>
        </w:rPr>
        <w:t>）；</w:t>
      </w:r>
    </w:p>
    <w:p w14:paraId="470CA31D">
      <w:pPr>
        <w:pStyle w:val="26"/>
        <w:autoSpaceDE/>
        <w:autoSpaceDN/>
        <w:ind w:firstLine="420" w:firstLineChars="200"/>
        <w:rPr>
          <w:rFonts w:hint="eastAsia" w:hAnsi="Cambria Math"/>
          <w:color w:val="auto"/>
        </w:rPr>
      </w:pPr>
      <w:r>
        <w:rPr>
          <w:rFonts w:hint="eastAsia" w:ascii="宋体" w:hAnsi="宋体" w:cs="宋体"/>
          <w:color w:val="auto"/>
          <w:szCs w:val="21"/>
        </w:rPr>
        <w:t>D</w:t>
      </w:r>
      <w:r>
        <w:rPr>
          <w:rFonts w:hint="eastAsia" w:ascii="宋体" w:hAnsi="宋体" w:cs="宋体"/>
          <w:color w:val="auto"/>
          <w:szCs w:val="21"/>
          <w:vertAlign w:val="subscript"/>
        </w:rPr>
        <w:t>c</w:t>
      </w:r>
      <w:r>
        <w:rPr>
          <w:rFonts w:hint="eastAsia" w:ascii="宋体" w:hAnsi="宋体" w:cs="宋体"/>
          <w:color w:val="auto"/>
          <w:szCs w:val="21"/>
        </w:rPr>
        <w:t>：</w:t>
      </w:r>
      <w:r>
        <w:rPr>
          <w:rFonts w:hint="eastAsia" w:hAnsi="宋体" w:cs="宋体"/>
          <w:color w:val="auto"/>
          <w:szCs w:val="21"/>
        </w:rPr>
        <w:t>压缩中微球直径，单位为微米（</w:t>
      </w:r>
      <w:r>
        <w:rPr>
          <w:rFonts w:hint="eastAsia"/>
          <w:color w:val="auto"/>
        </w:rPr>
        <w:sym w:font="Symbol" w:char="F06D"/>
      </w:r>
      <w:r>
        <w:rPr>
          <w:rFonts w:hint="eastAsia" w:hAnsi="宋体" w:cs="宋体"/>
          <w:color w:val="auto"/>
          <w:kern w:val="0"/>
          <w:sz w:val="21"/>
          <w:szCs w:val="21"/>
        </w:rPr>
        <w:t>m</w:t>
      </w:r>
      <w:r>
        <w:rPr>
          <w:rFonts w:hint="eastAsia" w:hAnsi="宋体" w:cs="宋体"/>
          <w:color w:val="auto"/>
          <w:szCs w:val="21"/>
        </w:rPr>
        <w:t>）</w:t>
      </w:r>
      <w:r>
        <w:rPr>
          <w:rFonts w:hint="eastAsia" w:hAnsi="Cambria Math"/>
          <w:color w:val="auto"/>
        </w:rPr>
        <w:t>。</w:t>
      </w:r>
    </w:p>
    <w:p w14:paraId="2F4477D1">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int="eastAsia" w:hAnsi="黑体"/>
          <w:color w:val="auto"/>
        </w:rPr>
        <w:t>.8</w:t>
      </w:r>
      <w:r>
        <w:rPr>
          <w:rFonts w:hAnsi="黑体"/>
          <w:color w:val="auto"/>
        </w:rPr>
        <w:t xml:space="preserve"> </w:t>
      </w:r>
      <w:r>
        <w:rPr>
          <w:rFonts w:hint="eastAsia" w:hAnsi="黑体"/>
          <w:color w:val="auto"/>
        </w:rPr>
        <w:t>溶胀时间</w:t>
      </w:r>
    </w:p>
    <w:p w14:paraId="70B564E4">
      <w:pPr>
        <w:pStyle w:val="26"/>
        <w:rPr>
          <w:color w:val="auto"/>
        </w:rPr>
      </w:pPr>
      <w:r>
        <w:rPr>
          <w:rFonts w:hint="eastAsia"/>
          <w:color w:val="auto"/>
        </w:rPr>
        <w:t>应结合临床实际使用方式和需求，取适量干态微球置于载玻片上，于显微镜下观测至少125颗干态微球的尺寸，然后向容器内的干态微球中加入规定量的溶液，并放置在规定温度下进行溶胀，间隔5min取样于载玻片上并在显微镜下观测至少125颗微球的尺寸，若连续两次观测的微球的平均尺寸误差小于5%，则第一次的时间记为溶胀时间。</w:t>
      </w:r>
      <w:r>
        <w:rPr>
          <w:color w:val="auto"/>
        </w:rPr>
        <w:t>结果应符合</w:t>
      </w:r>
      <w:r>
        <w:rPr>
          <w:rFonts w:hint="eastAsia"/>
          <w:color w:val="auto"/>
        </w:rPr>
        <w:t>4.3.8</w:t>
      </w:r>
      <w:r>
        <w:rPr>
          <w:color w:val="auto"/>
        </w:rPr>
        <w:t>的规定。</w:t>
      </w:r>
    </w:p>
    <w:p w14:paraId="2589683C">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2</w:t>
      </w:r>
      <w:r>
        <w:rPr>
          <w:rFonts w:hint="eastAsia" w:hAnsi="黑体"/>
          <w:color w:val="auto"/>
        </w:rPr>
        <w:t>.9 溶胀率</w:t>
      </w:r>
    </w:p>
    <w:p w14:paraId="19435B33">
      <w:pPr>
        <w:pStyle w:val="26"/>
        <w:rPr>
          <w:color w:val="auto"/>
        </w:rPr>
      </w:pPr>
      <w:r>
        <w:rPr>
          <w:rFonts w:hint="eastAsia"/>
          <w:color w:val="auto"/>
        </w:rPr>
        <w:t>按照YY/T 0962-2021中附录B进行试验。</w:t>
      </w:r>
    </w:p>
    <w:p w14:paraId="438458F3">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int="eastAsia" w:hAnsi="黑体"/>
          <w:color w:val="auto"/>
        </w:rPr>
        <w:t>化学性能检测</w:t>
      </w:r>
    </w:p>
    <w:p w14:paraId="47553BAB">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int="eastAsia" w:hAnsi="黑体"/>
          <w:color w:val="auto"/>
        </w:rPr>
        <w:t>.1 pH值</w:t>
      </w:r>
    </w:p>
    <w:p w14:paraId="7EC0F480">
      <w:pPr>
        <w:pStyle w:val="26"/>
        <w:rPr>
          <w:color w:val="auto"/>
        </w:rPr>
      </w:pPr>
      <w:r>
        <w:rPr>
          <w:rFonts w:hint="eastAsia"/>
          <w:color w:val="auto"/>
        </w:rPr>
        <w:t>取适量样品，测量规定量的保存液（湿球状态）或规定量及规定温度下溶胀平衡（干态）的上清液的pH值。结果应符合4.</w:t>
      </w:r>
      <w:r>
        <w:rPr>
          <w:rFonts w:hint="eastAsia"/>
          <w:color w:val="auto"/>
          <w:lang w:val="en-US" w:eastAsia="zh-CN"/>
        </w:rPr>
        <w:t>3</w:t>
      </w:r>
      <w:r>
        <w:rPr>
          <w:rFonts w:hint="eastAsia"/>
          <w:color w:val="auto"/>
        </w:rPr>
        <w:t>.1。</w:t>
      </w:r>
    </w:p>
    <w:p w14:paraId="79EC621B">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Ansi="黑体"/>
          <w:color w:val="auto"/>
        </w:rPr>
        <w:t>.</w:t>
      </w:r>
      <w:r>
        <w:rPr>
          <w:rFonts w:hint="eastAsia" w:hAnsi="黑体"/>
          <w:color w:val="auto"/>
        </w:rPr>
        <w:t>2</w:t>
      </w:r>
      <w:r>
        <w:rPr>
          <w:rFonts w:hAnsi="黑体"/>
          <w:color w:val="auto"/>
        </w:rPr>
        <w:t xml:space="preserve"> </w:t>
      </w:r>
      <w:r>
        <w:rPr>
          <w:rFonts w:hint="eastAsia" w:hAnsi="黑体"/>
          <w:color w:val="auto"/>
        </w:rPr>
        <w:t>重金属</w:t>
      </w:r>
    </w:p>
    <w:p w14:paraId="7C7C9992">
      <w:pPr>
        <w:pStyle w:val="26"/>
        <w:rPr>
          <w:color w:val="auto"/>
        </w:rPr>
      </w:pPr>
      <w:r>
        <w:rPr>
          <w:rFonts w:hint="eastAsia"/>
          <w:color w:val="auto"/>
        </w:rPr>
        <w:t>5.</w:t>
      </w:r>
      <w:r>
        <w:rPr>
          <w:rFonts w:hint="eastAsia"/>
          <w:color w:val="auto"/>
          <w:lang w:val="en-US" w:eastAsia="zh-CN"/>
        </w:rPr>
        <w:t>3</w:t>
      </w:r>
      <w:r>
        <w:rPr>
          <w:rFonts w:hint="eastAsia"/>
          <w:color w:val="auto"/>
        </w:rPr>
        <w:t>.2.1重金属</w:t>
      </w:r>
    </w:p>
    <w:p w14:paraId="662D414A">
      <w:pPr>
        <w:pStyle w:val="26"/>
        <w:rPr>
          <w:color w:val="auto"/>
        </w:rPr>
      </w:pPr>
      <w:r>
        <w:rPr>
          <w:rFonts w:hint="eastAsia"/>
          <w:color w:val="auto"/>
        </w:rPr>
        <w:t>取适量样品，按照《中国药典》（2025年版）四部通则 0821 重金属检查法第二法进行测试，结果应符合4.</w:t>
      </w:r>
      <w:r>
        <w:rPr>
          <w:rFonts w:hint="eastAsia"/>
          <w:color w:val="auto"/>
          <w:lang w:val="en-US" w:eastAsia="zh-CN"/>
        </w:rPr>
        <w:t>3</w:t>
      </w:r>
      <w:r>
        <w:rPr>
          <w:rFonts w:hint="eastAsia"/>
          <w:color w:val="auto"/>
        </w:rPr>
        <w:t>.2的规定。</w:t>
      </w:r>
    </w:p>
    <w:p w14:paraId="4DFE4C33">
      <w:pPr>
        <w:pStyle w:val="26"/>
        <w:rPr>
          <w:color w:val="auto"/>
        </w:rPr>
      </w:pPr>
      <w:r>
        <w:rPr>
          <w:rFonts w:hint="eastAsia"/>
          <w:color w:val="auto"/>
        </w:rPr>
        <w:t>5.</w:t>
      </w:r>
      <w:r>
        <w:rPr>
          <w:rFonts w:hint="eastAsia"/>
          <w:color w:val="auto"/>
          <w:lang w:val="en-US" w:eastAsia="zh-CN"/>
        </w:rPr>
        <w:t>3</w:t>
      </w:r>
      <w:r>
        <w:rPr>
          <w:rFonts w:hint="eastAsia"/>
          <w:color w:val="auto"/>
        </w:rPr>
        <w:t>.2.2镉含量</w:t>
      </w:r>
    </w:p>
    <w:p w14:paraId="780E1D70">
      <w:pPr>
        <w:pStyle w:val="26"/>
        <w:rPr>
          <w:color w:val="auto"/>
        </w:rPr>
      </w:pPr>
      <w:r>
        <w:rPr>
          <w:rFonts w:hint="eastAsia"/>
          <w:color w:val="auto"/>
        </w:rPr>
        <w:t>取适量样品，按GB/T 14233.1‐2022 医用输液、输血、注射器具检验方法 第1部分：化学分析方法 7.2电感耦合等离子体质谱法进行试验，结果应符合4.</w:t>
      </w:r>
      <w:r>
        <w:rPr>
          <w:rFonts w:hint="eastAsia"/>
          <w:color w:val="auto"/>
          <w:lang w:val="en-US" w:eastAsia="zh-CN"/>
        </w:rPr>
        <w:t>3</w:t>
      </w:r>
      <w:r>
        <w:rPr>
          <w:rFonts w:hint="eastAsia"/>
          <w:color w:val="auto"/>
        </w:rPr>
        <w:t>.2的规定。</w:t>
      </w:r>
    </w:p>
    <w:p w14:paraId="531C684E">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Ansi="黑体"/>
          <w:color w:val="auto"/>
        </w:rPr>
        <w:t>.</w:t>
      </w:r>
      <w:r>
        <w:rPr>
          <w:rFonts w:hint="eastAsia" w:hAnsi="黑体"/>
          <w:color w:val="auto"/>
        </w:rPr>
        <w:t>3</w:t>
      </w:r>
      <w:r>
        <w:rPr>
          <w:rFonts w:hAnsi="黑体"/>
          <w:color w:val="auto"/>
        </w:rPr>
        <w:t xml:space="preserve"> </w:t>
      </w:r>
      <w:r>
        <w:rPr>
          <w:rFonts w:hint="eastAsia" w:hAnsi="黑体"/>
          <w:color w:val="auto"/>
        </w:rPr>
        <w:t>工艺残留</w:t>
      </w:r>
    </w:p>
    <w:p w14:paraId="03DA5254">
      <w:pPr>
        <w:pStyle w:val="26"/>
        <w:rPr>
          <w:color w:val="auto"/>
        </w:rPr>
      </w:pPr>
      <w:r>
        <w:rPr>
          <w:rFonts w:hint="eastAsia"/>
          <w:color w:val="auto"/>
        </w:rPr>
        <w:t>应采用适宜的方法对工艺残留量进行测定</w:t>
      </w:r>
      <w:r>
        <w:rPr>
          <w:color w:val="auto"/>
        </w:rPr>
        <w:t>，结果应符合</w:t>
      </w:r>
      <w:r>
        <w:rPr>
          <w:rFonts w:hint="eastAsia"/>
          <w:color w:val="auto"/>
        </w:rPr>
        <w:t>4.</w:t>
      </w:r>
      <w:r>
        <w:rPr>
          <w:rFonts w:hint="eastAsia"/>
          <w:color w:val="auto"/>
          <w:lang w:val="en-US" w:eastAsia="zh-CN"/>
        </w:rPr>
        <w:t>3</w:t>
      </w:r>
      <w:r>
        <w:rPr>
          <w:rFonts w:hint="eastAsia"/>
          <w:color w:val="auto"/>
        </w:rPr>
        <w:t>.3</w:t>
      </w:r>
      <w:r>
        <w:rPr>
          <w:color w:val="auto"/>
        </w:rPr>
        <w:t>的规定。</w:t>
      </w:r>
    </w:p>
    <w:p w14:paraId="26FA19B8">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int="eastAsia" w:hAnsi="黑体"/>
          <w:color w:val="auto"/>
        </w:rPr>
        <w:t>.4</w:t>
      </w:r>
      <w:r>
        <w:rPr>
          <w:rFonts w:hAnsi="黑体"/>
          <w:color w:val="auto"/>
        </w:rPr>
        <w:t xml:space="preserve"> </w:t>
      </w:r>
      <w:r>
        <w:rPr>
          <w:rFonts w:hint="eastAsia" w:hAnsi="黑体"/>
          <w:color w:val="auto"/>
        </w:rPr>
        <w:t>交联度</w:t>
      </w:r>
    </w:p>
    <w:p w14:paraId="141FE753">
      <w:pPr>
        <w:pStyle w:val="26"/>
        <w:rPr>
          <w:color w:val="auto"/>
        </w:rPr>
      </w:pPr>
      <w:r>
        <w:rPr>
          <w:color w:val="auto"/>
        </w:rPr>
        <w:t>取</w:t>
      </w:r>
      <w:r>
        <w:rPr>
          <w:rFonts w:hint="eastAsia"/>
          <w:color w:val="auto"/>
        </w:rPr>
        <w:t>适量</w:t>
      </w:r>
      <w:r>
        <w:rPr>
          <w:color w:val="auto"/>
        </w:rPr>
        <w:t>样品，</w:t>
      </w:r>
      <w:r>
        <w:rPr>
          <w:rFonts w:hint="eastAsia"/>
          <w:color w:val="auto"/>
        </w:rPr>
        <w:t>按附录A进行</w:t>
      </w:r>
      <w:r>
        <w:rPr>
          <w:color w:val="auto"/>
        </w:rPr>
        <w:t>，结果应符合</w:t>
      </w:r>
      <w:r>
        <w:rPr>
          <w:rFonts w:hint="eastAsia"/>
          <w:color w:val="auto"/>
        </w:rPr>
        <w:t>4.</w:t>
      </w:r>
      <w:r>
        <w:rPr>
          <w:rFonts w:hint="eastAsia"/>
          <w:color w:val="auto"/>
          <w:lang w:val="en-US" w:eastAsia="zh-CN"/>
        </w:rPr>
        <w:t>3</w:t>
      </w:r>
      <w:r>
        <w:rPr>
          <w:rFonts w:hint="eastAsia"/>
          <w:color w:val="auto"/>
        </w:rPr>
        <w:t>.4</w:t>
      </w:r>
      <w:r>
        <w:rPr>
          <w:color w:val="auto"/>
        </w:rPr>
        <w:t>的规定。</w:t>
      </w:r>
    </w:p>
    <w:p w14:paraId="61FE2EA5">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3</w:t>
      </w:r>
      <w:r>
        <w:rPr>
          <w:rFonts w:hint="eastAsia" w:hAnsi="黑体"/>
          <w:color w:val="auto"/>
        </w:rPr>
        <w:t>.5</w:t>
      </w:r>
      <w:r>
        <w:rPr>
          <w:rFonts w:hAnsi="黑体"/>
          <w:color w:val="auto"/>
        </w:rPr>
        <w:t xml:space="preserve"> </w:t>
      </w:r>
      <w:r>
        <w:rPr>
          <w:rFonts w:hint="eastAsia" w:hAnsi="黑体"/>
          <w:color w:val="auto"/>
        </w:rPr>
        <w:t>降解速率</w:t>
      </w:r>
    </w:p>
    <w:p w14:paraId="6F5047FB">
      <w:pPr>
        <w:pStyle w:val="26"/>
        <w:rPr>
          <w:color w:val="auto"/>
        </w:rPr>
      </w:pPr>
      <w:r>
        <w:rPr>
          <w:color w:val="auto"/>
        </w:rPr>
        <w:t>取</w:t>
      </w:r>
      <w:r>
        <w:rPr>
          <w:rFonts w:hint="eastAsia"/>
          <w:color w:val="auto"/>
        </w:rPr>
        <w:t>适量</w:t>
      </w:r>
      <w:r>
        <w:rPr>
          <w:color w:val="auto"/>
        </w:rPr>
        <w:t>样品，</w:t>
      </w:r>
      <w:r>
        <w:rPr>
          <w:rFonts w:hint="eastAsia"/>
          <w:color w:val="auto"/>
        </w:rPr>
        <w:t>按附录B进行</w:t>
      </w:r>
      <w:r>
        <w:rPr>
          <w:color w:val="auto"/>
        </w:rPr>
        <w:t>，结果应符合</w:t>
      </w:r>
      <w:r>
        <w:rPr>
          <w:rFonts w:hint="eastAsia"/>
          <w:color w:val="auto"/>
        </w:rPr>
        <w:t>4.</w:t>
      </w:r>
      <w:r>
        <w:rPr>
          <w:rFonts w:hint="eastAsia"/>
          <w:color w:val="auto"/>
          <w:lang w:val="en-US" w:eastAsia="zh-CN"/>
        </w:rPr>
        <w:t>3</w:t>
      </w:r>
      <w:r>
        <w:rPr>
          <w:rFonts w:hint="eastAsia"/>
          <w:color w:val="auto"/>
        </w:rPr>
        <w:t>.5</w:t>
      </w:r>
      <w:r>
        <w:rPr>
          <w:color w:val="auto"/>
        </w:rPr>
        <w:t>的规定。</w:t>
      </w:r>
    </w:p>
    <w:p w14:paraId="376C650C">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4</w:t>
      </w:r>
      <w:r>
        <w:rPr>
          <w:rFonts w:hint="eastAsia" w:hAnsi="黑体"/>
          <w:color w:val="auto"/>
        </w:rPr>
        <w:t xml:space="preserve"> 微生物检测</w:t>
      </w:r>
    </w:p>
    <w:p w14:paraId="57539EE2">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4</w:t>
      </w:r>
      <w:r>
        <w:rPr>
          <w:rFonts w:hint="eastAsia" w:hAnsi="黑体"/>
          <w:color w:val="auto"/>
        </w:rPr>
        <w:t>.1</w:t>
      </w:r>
      <w:r>
        <w:rPr>
          <w:rFonts w:hint="eastAsia" w:hAnsi="黑体"/>
          <w:color w:val="auto"/>
          <w:lang w:val="en-US" w:eastAsia="zh-CN"/>
        </w:rPr>
        <w:t xml:space="preserve"> </w:t>
      </w:r>
      <w:r>
        <w:rPr>
          <w:rFonts w:hAnsi="黑体"/>
          <w:color w:val="auto"/>
        </w:rPr>
        <w:t>细菌内毒素试验</w:t>
      </w:r>
    </w:p>
    <w:p w14:paraId="3E032F2D">
      <w:pPr>
        <w:pStyle w:val="26"/>
        <w:rPr>
          <w:color w:val="auto"/>
        </w:rPr>
      </w:pPr>
      <w:r>
        <w:rPr>
          <w:color w:val="auto"/>
        </w:rPr>
        <w:t>按照《中国药典》（202</w:t>
      </w:r>
      <w:r>
        <w:rPr>
          <w:rFonts w:hint="eastAsia"/>
          <w:color w:val="auto"/>
        </w:rPr>
        <w:t>5</w:t>
      </w:r>
      <w:r>
        <w:rPr>
          <w:color w:val="auto"/>
        </w:rPr>
        <w:t>年版）四部通则 1143 细菌内毒素检查法进行测定，结果应符合</w:t>
      </w:r>
      <w:r>
        <w:rPr>
          <w:rFonts w:hint="eastAsia"/>
          <w:color w:val="auto"/>
        </w:rPr>
        <w:t>4.</w:t>
      </w:r>
      <w:r>
        <w:rPr>
          <w:rFonts w:hint="eastAsia"/>
          <w:color w:val="auto"/>
          <w:lang w:val="en-US" w:eastAsia="zh-CN"/>
        </w:rPr>
        <w:t>4</w:t>
      </w:r>
      <w:r>
        <w:rPr>
          <w:rFonts w:hint="eastAsia"/>
          <w:color w:val="auto"/>
        </w:rPr>
        <w:t>.1</w:t>
      </w:r>
      <w:r>
        <w:rPr>
          <w:color w:val="auto"/>
        </w:rPr>
        <w:t>的规定。</w:t>
      </w:r>
    </w:p>
    <w:p w14:paraId="1B359A7B">
      <w:pPr>
        <w:pStyle w:val="57"/>
        <w:numPr>
          <w:ilvl w:val="0"/>
          <w:numId w:val="0"/>
        </w:numPr>
        <w:spacing w:before="156" w:after="156"/>
        <w:rPr>
          <w:rFonts w:hint="eastAsia" w:hAnsi="黑体"/>
          <w:color w:val="auto"/>
        </w:rPr>
      </w:pPr>
      <w:r>
        <w:rPr>
          <w:rFonts w:hint="eastAsia" w:hAnsi="黑体"/>
          <w:color w:val="auto"/>
        </w:rPr>
        <w:t>5.</w:t>
      </w:r>
      <w:r>
        <w:rPr>
          <w:rFonts w:hint="eastAsia" w:hAnsi="黑体"/>
          <w:color w:val="auto"/>
          <w:lang w:val="en-US" w:eastAsia="zh-CN"/>
        </w:rPr>
        <w:t>4</w:t>
      </w:r>
      <w:r>
        <w:rPr>
          <w:rFonts w:hint="eastAsia" w:hAnsi="黑体"/>
          <w:color w:val="auto"/>
        </w:rPr>
        <w:t>.2</w:t>
      </w:r>
      <w:r>
        <w:rPr>
          <w:rFonts w:hAnsi="黑体"/>
          <w:color w:val="auto"/>
        </w:rPr>
        <w:t xml:space="preserve"> 无菌</w:t>
      </w:r>
    </w:p>
    <w:p w14:paraId="72741EF2">
      <w:pPr>
        <w:pStyle w:val="26"/>
        <w:rPr>
          <w:color w:val="auto"/>
        </w:rPr>
      </w:pPr>
      <w:r>
        <w:rPr>
          <w:color w:val="auto"/>
        </w:rPr>
        <w:t>按照《中国药典》（202</w:t>
      </w:r>
      <w:r>
        <w:rPr>
          <w:rFonts w:hint="eastAsia"/>
          <w:color w:val="auto"/>
        </w:rPr>
        <w:t>5</w:t>
      </w:r>
      <w:r>
        <w:rPr>
          <w:color w:val="auto"/>
        </w:rPr>
        <w:t xml:space="preserve">年版）四部通则 </w:t>
      </w:r>
      <w:r>
        <w:rPr>
          <w:color w:val="auto"/>
          <w:highlight w:val="none"/>
        </w:rPr>
        <w:t>1</w:t>
      </w:r>
      <w:r>
        <w:rPr>
          <w:rFonts w:hint="eastAsia"/>
          <w:color w:val="auto"/>
          <w:highlight w:val="none"/>
        </w:rPr>
        <w:t>101</w:t>
      </w:r>
      <w:r>
        <w:rPr>
          <w:rFonts w:hint="eastAsia"/>
          <w:color w:val="auto"/>
          <w:highlight w:val="none"/>
          <w:lang w:val="en-US" w:eastAsia="zh-CN"/>
        </w:rPr>
        <w:t>无菌检查法</w:t>
      </w:r>
      <w:r>
        <w:rPr>
          <w:color w:val="auto"/>
          <w:highlight w:val="none"/>
        </w:rPr>
        <w:t>进行测定</w:t>
      </w:r>
      <w:r>
        <w:rPr>
          <w:color w:val="auto"/>
        </w:rPr>
        <w:t>，结果应符合</w:t>
      </w:r>
      <w:r>
        <w:rPr>
          <w:rFonts w:hint="eastAsia"/>
          <w:color w:val="auto"/>
        </w:rPr>
        <w:t>4.</w:t>
      </w:r>
      <w:r>
        <w:rPr>
          <w:rFonts w:hint="eastAsia"/>
          <w:color w:val="auto"/>
          <w:lang w:val="en-US" w:eastAsia="zh-CN"/>
        </w:rPr>
        <w:t>4</w:t>
      </w:r>
      <w:r>
        <w:rPr>
          <w:rFonts w:hint="eastAsia"/>
          <w:color w:val="auto"/>
        </w:rPr>
        <w:t>.2</w:t>
      </w:r>
      <w:r>
        <w:rPr>
          <w:color w:val="auto"/>
        </w:rPr>
        <w:t>的规定。</w:t>
      </w:r>
    </w:p>
    <w:p w14:paraId="1EC3A662">
      <w:pPr>
        <w:pStyle w:val="57"/>
        <w:numPr>
          <w:ilvl w:val="0"/>
          <w:numId w:val="0"/>
        </w:numPr>
        <w:spacing w:before="156" w:after="156"/>
        <w:rPr>
          <w:rFonts w:hint="eastAsia" w:hAnsi="黑体"/>
          <w:color w:val="auto"/>
        </w:rPr>
      </w:pPr>
      <w:r>
        <w:rPr>
          <w:rFonts w:hint="eastAsia" w:hAnsi="黑体"/>
          <w:color w:val="auto"/>
          <w:lang w:val="en-US" w:eastAsia="zh-CN"/>
        </w:rPr>
        <w:t>5</w:t>
      </w:r>
      <w:r>
        <w:rPr>
          <w:rFonts w:hint="eastAsia" w:hAnsi="黑体"/>
          <w:color w:val="auto"/>
        </w:rPr>
        <w:t>.</w:t>
      </w:r>
      <w:r>
        <w:rPr>
          <w:rFonts w:hint="eastAsia" w:hAnsi="黑体"/>
          <w:color w:val="auto"/>
          <w:lang w:val="en-US" w:eastAsia="zh-CN"/>
        </w:rPr>
        <w:t>5</w:t>
      </w:r>
      <w:r>
        <w:rPr>
          <w:rFonts w:hAnsi="黑体"/>
          <w:color w:val="auto"/>
        </w:rPr>
        <w:t xml:space="preserve"> </w:t>
      </w:r>
      <w:r>
        <w:rPr>
          <w:rFonts w:hint="eastAsia" w:hAnsi="黑体"/>
          <w:color w:val="auto"/>
        </w:rPr>
        <w:t>生物相容性</w:t>
      </w:r>
    </w:p>
    <w:p w14:paraId="6E431DAD">
      <w:pPr>
        <w:pStyle w:val="26"/>
        <w:rPr>
          <w:rFonts w:hint="default" w:eastAsia="宋体"/>
          <w:color w:val="auto"/>
          <w:lang w:val="en-US" w:eastAsia="zh-CN"/>
        </w:rPr>
      </w:pPr>
      <w:r>
        <w:rPr>
          <w:rFonts w:hint="eastAsia"/>
          <w:color w:val="auto"/>
          <w:lang w:val="en-US" w:eastAsia="zh-CN"/>
        </w:rPr>
        <w:t>明胶海绵栓塞微球的生物评价及研究应按照</w:t>
      </w:r>
      <w:r>
        <w:rPr>
          <w:rFonts w:hint="eastAsia"/>
          <w:color w:val="auto"/>
        </w:rPr>
        <w:t>GB/T 16886.1</w:t>
      </w:r>
      <w:r>
        <w:rPr>
          <w:rFonts w:hint="eastAsia"/>
          <w:color w:val="auto"/>
          <w:lang w:val="en-US" w:eastAsia="zh-CN"/>
        </w:rPr>
        <w:t>的原则并结合产品特性。</w:t>
      </w:r>
    </w:p>
    <w:p w14:paraId="49595D0D">
      <w:pPr>
        <w:pStyle w:val="26"/>
        <w:rPr>
          <w:rFonts w:hint="eastAsia" w:cs="Times New Roman"/>
          <w:color w:val="auto"/>
          <w:sz w:val="21"/>
          <w:szCs w:val="20"/>
          <w:lang w:eastAsia="zh-CN"/>
        </w:rPr>
      </w:pPr>
      <w:r>
        <w:rPr>
          <w:rFonts w:ascii="宋体" w:hAnsi="Times New Roman" w:eastAsia="宋体" w:cs="Times New Roman"/>
          <w:color w:val="auto"/>
          <w:sz w:val="21"/>
          <w:szCs w:val="20"/>
        </w:rPr>
        <w:t>栓塞</w:t>
      </w:r>
      <w:r>
        <w:rPr>
          <w:rFonts w:hint="default" w:ascii="宋体" w:hAnsi="Times New Roman" w:eastAsia="宋体" w:cs="Times New Roman"/>
          <w:color w:val="auto"/>
          <w:sz w:val="21"/>
          <w:szCs w:val="20"/>
        </w:rPr>
        <w:t>颗粒</w:t>
      </w:r>
      <w:r>
        <w:rPr>
          <w:rFonts w:ascii="宋体" w:hAnsi="Times New Roman" w:eastAsia="宋体" w:cs="Times New Roman"/>
          <w:color w:val="auto"/>
          <w:sz w:val="21"/>
          <w:szCs w:val="20"/>
        </w:rPr>
        <w:t>需考虑的生物</w:t>
      </w:r>
      <w:r>
        <w:rPr>
          <w:rFonts w:hint="default" w:ascii="宋体" w:hAnsi="Times New Roman" w:eastAsia="宋体" w:cs="Times New Roman"/>
          <w:color w:val="auto"/>
          <w:sz w:val="21"/>
          <w:szCs w:val="20"/>
        </w:rPr>
        <w:t>相容性</w:t>
      </w:r>
      <w:r>
        <w:rPr>
          <w:rFonts w:ascii="宋体" w:hAnsi="Times New Roman" w:eastAsia="宋体" w:cs="Times New Roman"/>
          <w:color w:val="auto"/>
          <w:sz w:val="21"/>
          <w:szCs w:val="20"/>
        </w:rPr>
        <w:t>风险包括但不限于：细胞毒性、致敏反应、刺激或皮内反应、材料介导的致热性、急性全身毒性、亚急性全身毒性、亚慢性全身毒性、慢性毒性、植入反应、遗传毒性、致癌性、溶血、血栓形成</w:t>
      </w:r>
      <w:r>
        <w:rPr>
          <w:rFonts w:hint="eastAsia" w:cs="Times New Roman"/>
          <w:color w:val="auto"/>
          <w:sz w:val="21"/>
          <w:szCs w:val="20"/>
          <w:lang w:eastAsia="zh-CN"/>
        </w:rPr>
        <w:t>。</w:t>
      </w:r>
    </w:p>
    <w:p w14:paraId="2BD5863B">
      <w:pPr>
        <w:pStyle w:val="26"/>
        <w:spacing w:before="157" w:beforeLines="50" w:after="157" w:afterLines="50"/>
        <w:ind w:firstLine="0" w:firstLineChars="0"/>
        <w:rPr>
          <w:rFonts w:hint="default" w:ascii="黑体" w:hAnsi="黑体" w:eastAsia="黑体"/>
          <w:color w:val="auto"/>
          <w:szCs w:val="21"/>
        </w:rPr>
      </w:pPr>
      <w:r>
        <w:rPr>
          <w:rFonts w:hint="eastAsia" w:ascii="黑体" w:hAnsi="黑体" w:eastAsia="黑体" w:cs="Times New Roman"/>
          <w:color w:val="auto"/>
          <w:sz w:val="21"/>
          <w:szCs w:val="21"/>
          <w:lang w:val="en-US" w:eastAsia="zh-CN"/>
        </w:rPr>
        <w:t>5.6 生物安全性</w:t>
      </w:r>
    </w:p>
    <w:p w14:paraId="2603D340">
      <w:pPr>
        <w:pStyle w:val="26"/>
        <w:rPr>
          <w:rFonts w:hint="eastAsia" w:eastAsia="宋体"/>
          <w:color w:val="auto"/>
          <w:lang w:eastAsia="zh-CN"/>
        </w:rPr>
      </w:pPr>
      <w:r>
        <w:rPr>
          <w:rFonts w:hint="default" w:ascii="宋体" w:hAnsi="Times New Roman" w:eastAsia="宋体" w:cs="Times New Roman"/>
          <w:color w:val="auto"/>
          <w:sz w:val="21"/>
          <w:szCs w:val="20"/>
        </w:rPr>
        <w:t>对于含有动物源性材料成分的产品，需参照《动物源性医疗器械注册技术审查指导原则》提供产品生物安全性研究资料，主要涉及原材料来源控制的安全性资料，病毒和/或传染性病原体的风险分析、相应控制措施的描述及验证性资料，涉及产品免疫原性（免疫学风险）的风险分析、控制工艺描述及验证性资料</w:t>
      </w:r>
      <w:r>
        <w:rPr>
          <w:rFonts w:hint="eastAsia" w:cs="Times New Roman"/>
          <w:color w:val="auto"/>
          <w:sz w:val="21"/>
          <w:szCs w:val="20"/>
          <w:lang w:eastAsia="zh-CN"/>
        </w:rPr>
        <w:t>。</w:t>
      </w:r>
    </w:p>
    <w:p w14:paraId="4EDE014B">
      <w:pPr>
        <w:pStyle w:val="57"/>
        <w:numPr>
          <w:ilvl w:val="0"/>
          <w:numId w:val="0"/>
        </w:numPr>
        <w:spacing w:before="156" w:after="156"/>
        <w:rPr>
          <w:rFonts w:hint="eastAsia" w:hAnsi="黑体"/>
          <w:color w:val="auto"/>
        </w:rPr>
      </w:pPr>
      <w:r>
        <w:rPr>
          <w:rFonts w:hint="eastAsia" w:hAnsi="黑体"/>
          <w:color w:val="auto"/>
        </w:rPr>
        <w:t>6.包装</w:t>
      </w:r>
    </w:p>
    <w:p w14:paraId="788590FA">
      <w:pPr>
        <w:pStyle w:val="26"/>
        <w:rPr>
          <w:color w:val="auto"/>
        </w:rPr>
      </w:pPr>
      <w:r>
        <w:rPr>
          <w:rFonts w:hint="eastAsia"/>
          <w:color w:val="auto"/>
        </w:rPr>
        <w:t>应符合YY/T0640-2016中第10章的规定。</w:t>
      </w:r>
    </w:p>
    <w:p w14:paraId="467E2406">
      <w:pPr>
        <w:pStyle w:val="57"/>
        <w:numPr>
          <w:ilvl w:val="0"/>
          <w:numId w:val="0"/>
        </w:numPr>
        <w:spacing w:before="156" w:after="156"/>
        <w:rPr>
          <w:color w:val="auto"/>
        </w:rPr>
      </w:pPr>
      <w:r>
        <w:rPr>
          <w:rFonts w:hint="eastAsia" w:hAnsi="黑体"/>
          <w:color w:val="auto"/>
        </w:rPr>
        <w:t>7.制造商提供的信息</w:t>
      </w:r>
    </w:p>
    <w:p w14:paraId="5ACFE8DD">
      <w:pPr>
        <w:pStyle w:val="57"/>
        <w:numPr>
          <w:ilvl w:val="0"/>
          <w:numId w:val="0"/>
        </w:numPr>
        <w:spacing w:before="156" w:after="156"/>
        <w:rPr>
          <w:rFonts w:hint="eastAsia" w:hAnsi="黑体"/>
          <w:color w:val="auto"/>
        </w:rPr>
      </w:pPr>
      <w:r>
        <w:rPr>
          <w:rFonts w:hint="eastAsia" w:hAnsi="黑体"/>
          <w:color w:val="auto"/>
        </w:rPr>
        <w:t>7.1标签</w:t>
      </w:r>
    </w:p>
    <w:p w14:paraId="34848E27">
      <w:pPr>
        <w:pStyle w:val="26"/>
        <w:rPr>
          <w:color w:val="auto"/>
        </w:rPr>
      </w:pPr>
      <w:r>
        <w:rPr>
          <w:rFonts w:hint="eastAsia"/>
          <w:color w:val="auto"/>
        </w:rPr>
        <w:t>应符合YY/T0640-2016中第11.2章的规定。</w:t>
      </w:r>
    </w:p>
    <w:p w14:paraId="7C1BE49A">
      <w:pPr>
        <w:pStyle w:val="57"/>
        <w:numPr>
          <w:ilvl w:val="0"/>
          <w:numId w:val="0"/>
        </w:numPr>
        <w:spacing w:before="156" w:after="156"/>
        <w:rPr>
          <w:rFonts w:hint="eastAsia" w:hAnsi="黑体"/>
          <w:color w:val="auto"/>
        </w:rPr>
      </w:pPr>
      <w:r>
        <w:rPr>
          <w:rFonts w:hint="eastAsia" w:hAnsi="黑体"/>
          <w:color w:val="auto"/>
        </w:rPr>
        <w:t>7.2使用说明书</w:t>
      </w:r>
    </w:p>
    <w:p w14:paraId="3C00B000">
      <w:pPr>
        <w:pStyle w:val="26"/>
        <w:rPr>
          <w:color w:val="auto"/>
        </w:rPr>
      </w:pPr>
      <w:r>
        <w:rPr>
          <w:rFonts w:hint="eastAsia"/>
          <w:color w:val="auto"/>
        </w:rPr>
        <w:t>应符合YY/T0640-2016中第11.3章的规定。</w:t>
      </w:r>
    </w:p>
    <w:p w14:paraId="044F43CE">
      <w:pPr>
        <w:pStyle w:val="57"/>
        <w:numPr>
          <w:ilvl w:val="0"/>
          <w:numId w:val="0"/>
        </w:numPr>
        <w:spacing w:before="156" w:after="156"/>
        <w:rPr>
          <w:rFonts w:hint="eastAsia" w:hAnsi="黑体"/>
          <w:color w:val="auto"/>
        </w:rPr>
      </w:pPr>
      <w:r>
        <w:rPr>
          <w:rFonts w:hint="eastAsia" w:hAnsi="黑体"/>
          <w:color w:val="auto"/>
        </w:rPr>
        <w:t>7.3标记</w:t>
      </w:r>
    </w:p>
    <w:p w14:paraId="34A2A5B1">
      <w:pPr>
        <w:pStyle w:val="26"/>
        <w:rPr>
          <w:color w:val="auto"/>
        </w:rPr>
      </w:pPr>
      <w:r>
        <w:rPr>
          <w:rFonts w:hint="eastAsia"/>
          <w:color w:val="auto"/>
        </w:rPr>
        <w:t>应符合YY/T0640-2016中第11.5和11.6章的规定。</w:t>
      </w:r>
    </w:p>
    <w:p w14:paraId="3C176A3F">
      <w:pPr>
        <w:pStyle w:val="26"/>
        <w:tabs>
          <w:tab w:val="right" w:leader="dot" w:pos="9214"/>
        </w:tabs>
        <w:ind w:firstLine="1050" w:firstLineChars="500"/>
        <w:jc w:val="left"/>
        <w:rPr>
          <w:rFonts w:ascii="Times New Roman"/>
          <w:color w:val="auto"/>
          <w:szCs w:val="21"/>
        </w:rPr>
      </w:pPr>
      <w:bookmarkStart w:id="92" w:name="_Toc493003014"/>
      <w:bookmarkStart w:id="93" w:name="_Toc459974471"/>
      <w:bookmarkStart w:id="94" w:name="_Toc493081248"/>
      <w:bookmarkStart w:id="95" w:name="_Toc399706888"/>
      <w:bookmarkStart w:id="96" w:name="_Toc14816825"/>
      <w:bookmarkStart w:id="97" w:name="BKCKWX"/>
      <w:r>
        <w:rPr>
          <w:rFonts w:ascii="Times New Roman"/>
          <w:color w:val="auto"/>
          <w:szCs w:val="21"/>
        </w:rPr>
        <w:br w:type="page"/>
      </w:r>
    </w:p>
    <w:p w14:paraId="444CDC15">
      <w:pPr>
        <w:pStyle w:val="56"/>
        <w:spacing w:before="79" w:beforeLines="25" w:after="79" w:afterLines="25" w:line="240" w:lineRule="auto"/>
        <w:rPr>
          <w:color w:val="auto"/>
          <w:sz w:val="21"/>
        </w:rPr>
      </w:pPr>
      <w:bookmarkStart w:id="98" w:name="_Toc60732103"/>
      <w:r>
        <w:rPr>
          <w:rFonts w:hint="eastAsia"/>
          <w:color w:val="auto"/>
          <w:sz w:val="21"/>
        </w:rPr>
        <w:t>附 录A</w:t>
      </w:r>
    </w:p>
    <w:p w14:paraId="53A3FBCD">
      <w:pPr>
        <w:pStyle w:val="26"/>
        <w:ind w:firstLine="0" w:firstLineChars="0"/>
        <w:jc w:val="center"/>
        <w:rPr>
          <w:rFonts w:hint="eastAsia" w:ascii="黑体" w:hAnsi="黑体" w:eastAsia="黑体"/>
          <w:color w:val="auto"/>
        </w:rPr>
      </w:pPr>
      <w:r>
        <w:rPr>
          <w:rFonts w:hint="eastAsia" w:ascii="黑体" w:hAnsi="黑体" w:eastAsia="黑体"/>
          <w:color w:val="auto"/>
        </w:rPr>
        <w:t>（规范性）</w:t>
      </w:r>
    </w:p>
    <w:p w14:paraId="54FFD012">
      <w:pPr>
        <w:pStyle w:val="26"/>
        <w:autoSpaceDE/>
        <w:autoSpaceDN/>
        <w:spacing w:before="79" w:beforeLines="25" w:after="313" w:afterLines="100"/>
        <w:ind w:firstLine="0" w:firstLineChars="0"/>
        <w:jc w:val="center"/>
        <w:rPr>
          <w:rFonts w:hint="eastAsia" w:ascii="黑体" w:hAnsi="黑体" w:eastAsia="黑体"/>
          <w:color w:val="auto"/>
        </w:rPr>
      </w:pPr>
      <w:r>
        <w:rPr>
          <w:rFonts w:hint="eastAsia" w:ascii="黑体" w:hAnsi="黑体" w:eastAsia="黑体"/>
          <w:color w:val="auto"/>
        </w:rPr>
        <w:t>交联度检测方法</w:t>
      </w:r>
    </w:p>
    <w:p w14:paraId="0B3AE127">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w:t>
      </w:r>
      <w:r>
        <w:rPr>
          <w:rFonts w:ascii="黑体" w:hAnsi="黑体" w:eastAsia="黑体" w:cs="黑体"/>
          <w:color w:val="auto"/>
          <w:szCs w:val="22"/>
        </w:rPr>
        <w:t xml:space="preserve">.1 </w:t>
      </w:r>
      <w:r>
        <w:rPr>
          <w:rFonts w:hint="eastAsia" w:ascii="黑体" w:hAnsi="黑体" w:eastAsia="黑体" w:cs="黑体"/>
          <w:color w:val="auto"/>
          <w:szCs w:val="22"/>
        </w:rPr>
        <w:t>试剂配制</w:t>
      </w:r>
    </w:p>
    <w:p w14:paraId="76766F27">
      <w:pPr>
        <w:pStyle w:val="26"/>
        <w:tabs>
          <w:tab w:val="right" w:leader="dot" w:pos="9214"/>
        </w:tabs>
        <w:jc w:val="left"/>
        <w:rPr>
          <w:rFonts w:hint="eastAsia" w:ascii="黑体" w:hAnsi="黑体" w:eastAsia="黑体" w:cs="黑体"/>
          <w:color w:val="auto"/>
          <w:szCs w:val="22"/>
        </w:rPr>
      </w:pPr>
      <w:r>
        <w:rPr>
          <w:rFonts w:hint="eastAsia" w:ascii="黑体" w:hAnsi="黑体" w:eastAsia="黑体" w:cs="黑体"/>
          <w:color w:val="auto"/>
          <w:szCs w:val="22"/>
        </w:rPr>
        <w:t>A.1.1 NaHCO3溶液（4%（w/v））</w:t>
      </w:r>
    </w:p>
    <w:p w14:paraId="3F514ADB">
      <w:pPr>
        <w:pStyle w:val="26"/>
        <w:tabs>
          <w:tab w:val="right" w:leader="dot" w:pos="9214"/>
          <w:tab w:val="clear" w:pos="9298"/>
        </w:tabs>
        <w:jc w:val="left"/>
        <w:rPr>
          <w:rFonts w:hint="eastAsia" w:ascii="宋体" w:hAnsi="宋体" w:cs="宋体"/>
          <w:color w:val="auto"/>
          <w:szCs w:val="21"/>
        </w:rPr>
      </w:pPr>
      <w:r>
        <w:rPr>
          <w:rFonts w:hint="eastAsia" w:ascii="宋体" w:hAnsi="宋体" w:cs="宋体"/>
          <w:color w:val="auto"/>
          <w:szCs w:val="21"/>
        </w:rPr>
        <w:t>称量4 g NaHCO</w:t>
      </w:r>
      <w:r>
        <w:rPr>
          <w:rFonts w:hint="eastAsia" w:ascii="宋体" w:hAnsi="宋体" w:cs="宋体"/>
          <w:color w:val="auto"/>
          <w:szCs w:val="21"/>
          <w:vertAlign w:val="subscript"/>
        </w:rPr>
        <w:t>3</w:t>
      </w:r>
      <w:r>
        <w:rPr>
          <w:rFonts w:hint="eastAsia" w:ascii="宋体" w:hAnsi="宋体" w:cs="宋体"/>
          <w:color w:val="auto"/>
          <w:szCs w:val="21"/>
        </w:rPr>
        <w:t>加入100 mL去离子水，并使NaHCO</w:t>
      </w:r>
      <w:r>
        <w:rPr>
          <w:rFonts w:hint="eastAsia" w:ascii="宋体" w:hAnsi="宋体" w:cs="宋体"/>
          <w:color w:val="auto"/>
          <w:szCs w:val="21"/>
          <w:vertAlign w:val="subscript"/>
        </w:rPr>
        <w:t>3</w:t>
      </w:r>
      <w:r>
        <w:rPr>
          <w:rFonts w:hint="eastAsia" w:ascii="宋体" w:hAnsi="宋体" w:cs="宋体"/>
          <w:color w:val="auto"/>
          <w:szCs w:val="21"/>
        </w:rPr>
        <w:t>完全溶解，此NaHCO</w:t>
      </w:r>
      <w:r>
        <w:rPr>
          <w:rFonts w:hint="eastAsia" w:ascii="宋体" w:hAnsi="宋体" w:cs="宋体"/>
          <w:color w:val="auto"/>
          <w:szCs w:val="21"/>
          <w:vertAlign w:val="subscript"/>
        </w:rPr>
        <w:t>3</w:t>
      </w:r>
      <w:r>
        <w:rPr>
          <w:rFonts w:hint="eastAsia" w:ascii="宋体" w:hAnsi="宋体" w:cs="宋体"/>
          <w:color w:val="auto"/>
          <w:szCs w:val="21"/>
        </w:rPr>
        <w:t>溶液的浓度是：4%（w/v）。</w:t>
      </w:r>
    </w:p>
    <w:p w14:paraId="5F085865">
      <w:pPr>
        <w:pStyle w:val="26"/>
        <w:tabs>
          <w:tab w:val="right" w:leader="dot" w:pos="9214"/>
        </w:tabs>
        <w:jc w:val="left"/>
        <w:rPr>
          <w:rFonts w:hint="eastAsia" w:ascii="黑体" w:hAnsi="黑体" w:eastAsia="黑体" w:cs="黑体"/>
          <w:color w:val="auto"/>
          <w:szCs w:val="22"/>
        </w:rPr>
      </w:pPr>
      <w:r>
        <w:rPr>
          <w:rFonts w:hint="eastAsia" w:ascii="黑体" w:hAnsi="黑体" w:eastAsia="黑体" w:cs="黑体"/>
          <w:color w:val="auto"/>
          <w:szCs w:val="22"/>
        </w:rPr>
        <w:t>A.1.2 TNBS 溶液（0.05%（w/v））</w:t>
      </w:r>
    </w:p>
    <w:p w14:paraId="2CB1909F">
      <w:pPr>
        <w:pStyle w:val="26"/>
        <w:tabs>
          <w:tab w:val="right" w:leader="dot" w:pos="9214"/>
          <w:tab w:val="clear" w:pos="9298"/>
        </w:tabs>
        <w:jc w:val="left"/>
        <w:rPr>
          <w:rFonts w:ascii="Times New Roman"/>
          <w:color w:val="auto"/>
          <w:szCs w:val="21"/>
        </w:rPr>
      </w:pPr>
      <w:r>
        <w:rPr>
          <w:rFonts w:hint="eastAsia" w:ascii="Times New Roman"/>
          <w:color w:val="auto"/>
          <w:szCs w:val="21"/>
        </w:rPr>
        <w:t>量取1 mL 5%（w/v）TNBS 溶液于100 mL容量瓶中，加水稀释并定容至刻线，混匀，此TNBS 溶液浓度是：0.05%（w/v）。</w:t>
      </w:r>
    </w:p>
    <w:p w14:paraId="355D93F4">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A.1.3 盐酸溶液（HCl溶液）</w:t>
      </w:r>
    </w:p>
    <w:p w14:paraId="3305EE2B">
      <w:pPr>
        <w:pStyle w:val="26"/>
        <w:tabs>
          <w:tab w:val="right" w:leader="dot" w:pos="9214"/>
          <w:tab w:val="clear" w:pos="9298"/>
        </w:tabs>
        <w:jc w:val="left"/>
        <w:rPr>
          <w:rFonts w:ascii="Times New Roman"/>
          <w:color w:val="auto"/>
          <w:szCs w:val="21"/>
        </w:rPr>
      </w:pPr>
      <w:r>
        <w:rPr>
          <w:rFonts w:hint="eastAsia" w:ascii="Times New Roman"/>
          <w:color w:val="auto"/>
          <w:szCs w:val="21"/>
        </w:rPr>
        <w:t>先向250 mL容量瓶中加入适量水，再量取125 mL 12M 浓盐酸于250 mL容量瓶中，加水稀释，待温度冷却至室温后定容至刻线，混匀。</w:t>
      </w:r>
    </w:p>
    <w:p w14:paraId="058EA943">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A.2 仪器与设备</w:t>
      </w:r>
    </w:p>
    <w:p w14:paraId="4D002750">
      <w:pPr>
        <w:pStyle w:val="26"/>
        <w:tabs>
          <w:tab w:val="right" w:leader="dot" w:pos="9214"/>
          <w:tab w:val="clear" w:pos="9298"/>
        </w:tabs>
        <w:jc w:val="left"/>
        <w:rPr>
          <w:rFonts w:ascii="Times New Roman"/>
          <w:color w:val="auto"/>
          <w:szCs w:val="21"/>
        </w:rPr>
      </w:pPr>
      <w:r>
        <w:rPr>
          <w:rFonts w:hint="eastAsia" w:ascii="Times New Roman"/>
          <w:color w:val="auto"/>
          <w:szCs w:val="21"/>
        </w:rPr>
        <w:t>（1）紫外分光光度计。</w:t>
      </w:r>
    </w:p>
    <w:p w14:paraId="19F0F5D7">
      <w:pPr>
        <w:pStyle w:val="26"/>
        <w:tabs>
          <w:tab w:val="right" w:leader="dot" w:pos="9214"/>
          <w:tab w:val="clear" w:pos="9298"/>
        </w:tabs>
        <w:jc w:val="left"/>
        <w:rPr>
          <w:rFonts w:ascii="Times New Roman"/>
          <w:color w:val="auto"/>
          <w:szCs w:val="21"/>
        </w:rPr>
      </w:pPr>
      <w:r>
        <w:rPr>
          <w:rFonts w:hint="eastAsia" w:ascii="Times New Roman"/>
          <w:color w:val="auto"/>
          <w:szCs w:val="21"/>
        </w:rPr>
        <w:t>（2）电子天平，精度0.1 mg。</w:t>
      </w:r>
    </w:p>
    <w:p w14:paraId="1A75C921">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A.3 样品前处理</w:t>
      </w:r>
    </w:p>
    <w:p w14:paraId="674AC69F">
      <w:pPr>
        <w:widowControl/>
        <w:ind w:firstLine="480"/>
        <w:jc w:val="left"/>
        <w:rPr>
          <w:color w:val="auto"/>
          <w:shd w:val="clear" w:color="auto" w:fill="FFFFFF"/>
        </w:rPr>
      </w:pPr>
      <w:r>
        <w:rPr>
          <w:rFonts w:hint="eastAsia"/>
          <w:color w:val="auto"/>
          <w:shd w:val="clear" w:color="auto" w:fill="FFFFFF"/>
        </w:rPr>
        <w:t>若样品为湿球，取样品适量，采用40</w:t>
      </w:r>
      <w:r>
        <w:rPr>
          <w:color w:val="auto"/>
          <w:shd w:val="clear" w:color="auto" w:fill="FFFFFF"/>
        </w:rPr>
        <w:t>μ</w:t>
      </w:r>
      <w:r>
        <w:rPr>
          <w:rFonts w:hint="eastAsia"/>
          <w:color w:val="auto"/>
          <w:shd w:val="clear" w:color="auto" w:fill="FFFFFF"/>
        </w:rPr>
        <w:t>m的细胞滤网滤掉保存液，然后</w:t>
      </w:r>
      <w:r>
        <w:rPr>
          <w:color w:val="auto"/>
          <w:shd w:val="clear" w:color="auto" w:fill="FFFFFF"/>
        </w:rPr>
        <w:t>取约1g</w:t>
      </w:r>
      <w:r>
        <w:rPr>
          <w:rFonts w:hint="eastAsia"/>
          <w:color w:val="auto"/>
          <w:shd w:val="clear" w:color="auto" w:fill="FFFFFF"/>
        </w:rPr>
        <w:t>微球</w:t>
      </w:r>
      <w:r>
        <w:rPr>
          <w:color w:val="auto"/>
          <w:shd w:val="clear" w:color="auto" w:fill="FFFFFF"/>
        </w:rPr>
        <w:t>平铺在扁形称量瓶中（扁形称量瓶的大小为40</w:t>
      </w:r>
      <w:r>
        <w:rPr>
          <w:rFonts w:hint="eastAsia"/>
          <w:color w:val="auto"/>
          <w:shd w:val="clear" w:color="auto" w:fill="FFFFFF"/>
        </w:rPr>
        <w:t>m</w:t>
      </w:r>
      <w:r>
        <w:rPr>
          <w:color w:val="auto"/>
          <w:shd w:val="clear" w:color="auto" w:fill="FFFFFF"/>
        </w:rPr>
        <w:t>m*25</w:t>
      </w:r>
      <w:r>
        <w:rPr>
          <w:rFonts w:hint="eastAsia"/>
          <w:color w:val="auto"/>
          <w:shd w:val="clear" w:color="auto" w:fill="FFFFFF"/>
        </w:rPr>
        <w:t>m</w:t>
      </w:r>
      <w:r>
        <w:rPr>
          <w:color w:val="auto"/>
          <w:shd w:val="clear" w:color="auto" w:fill="FFFFFF"/>
        </w:rPr>
        <w:t>m），厚度不可超过5 mm。放入真空干燥箱进行干燥，干燥时应将瓶盖取下，置称量瓶旁，</w:t>
      </w:r>
      <w:r>
        <w:rPr>
          <w:rFonts w:hint="eastAsia"/>
          <w:color w:val="auto"/>
          <w:shd w:val="clear" w:color="auto" w:fill="FFFFFF"/>
        </w:rPr>
        <w:t>设置真空</w:t>
      </w:r>
      <w:r>
        <w:rPr>
          <w:color w:val="auto"/>
          <w:shd w:val="clear" w:color="auto" w:fill="FFFFFF"/>
        </w:rPr>
        <w:t>干燥箱温度</w:t>
      </w:r>
      <w:r>
        <w:rPr>
          <w:rFonts w:hint="eastAsia"/>
          <w:color w:val="auto"/>
          <w:shd w:val="clear" w:color="auto" w:fill="FFFFFF"/>
        </w:rPr>
        <w:t>为</w:t>
      </w:r>
      <w:r>
        <w:rPr>
          <w:color w:val="auto"/>
          <w:shd w:val="clear" w:color="auto" w:fill="FFFFFF"/>
        </w:rPr>
        <w:t>25℃，抽真空度至</w:t>
      </w:r>
      <w:r>
        <w:rPr>
          <w:rFonts w:hint="eastAsia"/>
          <w:color w:val="auto"/>
          <w:shd w:val="clear" w:color="auto" w:fill="FFFFFF"/>
        </w:rPr>
        <w:t>-0.09</w:t>
      </w:r>
      <w:r>
        <w:rPr>
          <w:color w:val="auto"/>
          <w:shd w:val="clear" w:color="auto" w:fill="FFFFFF"/>
        </w:rPr>
        <w:t>MPa</w:t>
      </w:r>
      <w:r>
        <w:rPr>
          <w:rFonts w:hint="eastAsia"/>
          <w:color w:val="auto"/>
          <w:shd w:val="clear" w:color="auto" w:fill="FFFFFF"/>
        </w:rPr>
        <w:t xml:space="preserve"> ~ </w:t>
      </w:r>
      <w:r>
        <w:rPr>
          <w:color w:val="auto"/>
          <w:shd w:val="clear" w:color="auto" w:fill="FFFFFF"/>
        </w:rPr>
        <w:t>-0.1MPa</w:t>
      </w:r>
      <w:r>
        <w:rPr>
          <w:rFonts w:hint="eastAsia"/>
          <w:color w:val="auto"/>
          <w:shd w:val="clear" w:color="auto" w:fill="FFFFFF"/>
        </w:rPr>
        <w:t>之间</w:t>
      </w:r>
      <w:r>
        <w:rPr>
          <w:color w:val="auto"/>
          <w:shd w:val="clear" w:color="auto" w:fill="FFFFFF"/>
        </w:rPr>
        <w:t>，</w:t>
      </w:r>
      <w:r>
        <w:rPr>
          <w:rFonts w:hint="eastAsia"/>
          <w:color w:val="auto"/>
          <w:shd w:val="clear" w:color="auto" w:fill="FFFFFF"/>
        </w:rPr>
        <w:t>持续抽真空6小时后取出样品并及时盖住瓶盖，备用。</w:t>
      </w:r>
    </w:p>
    <w:p w14:paraId="4C140169">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A.4 样品测定</w:t>
      </w:r>
    </w:p>
    <w:p w14:paraId="73C54C77">
      <w:pPr>
        <w:pStyle w:val="26"/>
        <w:tabs>
          <w:tab w:val="right" w:leader="dot" w:pos="9214"/>
          <w:tab w:val="clear" w:pos="9298"/>
        </w:tabs>
        <w:jc w:val="left"/>
        <w:rPr>
          <w:rFonts w:ascii="Times New Roman"/>
          <w:color w:val="auto"/>
          <w:szCs w:val="21"/>
        </w:rPr>
      </w:pPr>
      <w:r>
        <w:rPr>
          <w:rFonts w:hint="eastAsia" w:ascii="Times New Roman"/>
          <w:color w:val="auto"/>
          <w:szCs w:val="21"/>
        </w:rPr>
        <w:t>取1瓶样品及1份明胶，分别称量3份20 mg明胶海绵栓塞微球及3份20 mg明胶原材料并分别装于具塞管中。向装有明胶海绵栓塞微球和明胶原材料的具塞管中分别加入10 mL NaHCO3溶液（4%（w/v））和10 mL TNBS 溶液（0.05%（w/v）），混匀。</w:t>
      </w:r>
    </w:p>
    <w:p w14:paraId="5CF9638C">
      <w:pPr>
        <w:pStyle w:val="26"/>
        <w:tabs>
          <w:tab w:val="right" w:leader="dot" w:pos="9214"/>
          <w:tab w:val="clear" w:pos="9298"/>
        </w:tabs>
        <w:jc w:val="left"/>
        <w:rPr>
          <w:rFonts w:ascii="Times New Roman"/>
          <w:color w:val="auto"/>
          <w:szCs w:val="21"/>
        </w:rPr>
      </w:pPr>
      <w:r>
        <w:rPr>
          <w:rFonts w:hint="eastAsia" w:ascii="Times New Roman"/>
          <w:color w:val="auto"/>
          <w:szCs w:val="21"/>
        </w:rPr>
        <w:t>空白对照：取空白具塞管，加入10 mL NaHCO3溶液（4%（w/v））和10 mL TNBS 溶液（0.05%（w/v）），混匀。将上述具塞管管口塞紧后放置于40 ℃水浴中孵化2 h，并在1h和1.5h时摇晃具塞管使样品与溶液混合均匀。孵化完成后，向具塞管中分别加入30 mL HCl溶液，将管口塞紧，并摇晃混匀溶液。然后将水浴温度调至60 ℃，保温90 min，每隔30min摇晃具塞管使样品与溶液混合均匀。将具塞管冷却至室温，分别加入50 mL水。</w:t>
      </w:r>
    </w:p>
    <w:p w14:paraId="666CD0F1">
      <w:pPr>
        <w:pStyle w:val="26"/>
        <w:tabs>
          <w:tab w:val="right" w:leader="dot" w:pos="9214"/>
          <w:tab w:val="clear" w:pos="9298"/>
        </w:tabs>
        <w:jc w:val="left"/>
        <w:rPr>
          <w:rFonts w:ascii="Times New Roman"/>
          <w:color w:val="auto"/>
          <w:szCs w:val="21"/>
        </w:rPr>
      </w:pPr>
      <w:r>
        <w:rPr>
          <w:rFonts w:hint="eastAsia" w:ascii="Times New Roman"/>
          <w:color w:val="auto"/>
          <w:szCs w:val="21"/>
        </w:rPr>
        <w:t>采用紫外分光光度计在332 nm处扣除空白对照吸光度后，分别测量明胶海绵栓塞微球和明胶原材料吸光度。</w:t>
      </w:r>
    </w:p>
    <w:p w14:paraId="77989AA5">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A.5 结果计算</w:t>
      </w:r>
    </w:p>
    <w:p w14:paraId="347197C4">
      <w:pPr>
        <w:pStyle w:val="26"/>
        <w:tabs>
          <w:tab w:val="right" w:leader="dot" w:pos="9214"/>
          <w:tab w:val="clear" w:pos="9298"/>
        </w:tabs>
        <w:jc w:val="left"/>
        <w:rPr>
          <w:rFonts w:ascii="Times New Roman"/>
          <w:color w:val="auto"/>
          <w:szCs w:val="21"/>
        </w:rPr>
      </w:pPr>
      <w:r>
        <w:rPr>
          <w:rFonts w:hint="eastAsia" w:ascii="Times New Roman"/>
          <w:color w:val="auto"/>
          <w:szCs w:val="21"/>
        </w:rPr>
        <w:t>采用下式计算明胶海绵栓塞微球交联度（%）：</w:t>
      </w:r>
    </w:p>
    <w:p w14:paraId="6800E1FF">
      <w:pPr>
        <w:rPr>
          <w:color w:val="auto"/>
        </w:rPr>
      </w:pPr>
      <m:oMathPara>
        <m:oMath>
          <m:r>
            <m:rPr>
              <m:sty m:val="p"/>
            </m:rPr>
            <w:rPr>
              <w:rFonts w:ascii="Cambria Math" w:hAnsi="Cambria Math"/>
              <w:color w:val="auto"/>
            </w:rPr>
            <m:t>交联度</m:t>
          </m:r>
          <m:d>
            <m:dPr>
              <m:begChr m:val="（"/>
              <m:endChr m:val="）"/>
              <m:ctrlPr>
                <w:rPr>
                  <w:rFonts w:ascii="Cambria Math" w:hAnsi="Cambria Math"/>
                  <w:color w:val="auto"/>
                </w:rPr>
              </m:ctrlPr>
            </m:dPr>
            <m:e>
              <m:r>
                <m:rPr>
                  <m:sty m:val="p"/>
                </m:rPr>
                <w:rPr>
                  <w:rFonts w:ascii="Cambria Math" w:hAnsi="Cambria Math"/>
                  <w:color w:val="auto"/>
                </w:rPr>
                <m:t>%</m:t>
              </m:r>
              <m:ctrlPr>
                <w:rPr>
                  <w:rFonts w:ascii="Cambria Math" w:hAnsi="Cambria Math"/>
                  <w:color w:val="auto"/>
                </w:rPr>
              </m:ctrlPr>
            </m:e>
          </m:d>
          <m:r>
            <m:rPr>
              <m:sty m:val="p"/>
            </m:rPr>
            <w:rPr>
              <w:rFonts w:ascii="Cambria Math" w:hAnsi="Cambria Math"/>
              <w:color w:val="auto"/>
            </w:rPr>
            <m:t>=</m:t>
          </m:r>
          <m:f>
            <m:fPr>
              <m:ctrlPr>
                <w:rPr>
                  <w:rFonts w:ascii="Cambria Math" w:hAnsi="Cambria Math"/>
                  <w:color w:val="auto"/>
                </w:rPr>
              </m:ctrlPr>
            </m:fPr>
            <m:num>
              <m:f>
                <m:fPr>
                  <m:type m:val="skw"/>
                  <m:ctrlPr>
                    <w:rPr>
                      <w:rFonts w:ascii="Cambria Math" w:hAnsi="Cambria Math"/>
                      <w:color w:val="auto"/>
                    </w:rPr>
                  </m:ctrlPr>
                </m:fPr>
                <m:num>
                  <m:sSub>
                    <m:sSubPr>
                      <m:ctrlPr>
                        <w:rPr>
                          <w:rFonts w:ascii="Cambria Math" w:hAnsi="Cambria Math"/>
                          <w:color w:val="auto"/>
                        </w:rPr>
                      </m:ctrlPr>
                    </m:sSubPr>
                    <m:e>
                      <m:r>
                        <m:rPr/>
                        <w:rPr>
                          <w:rFonts w:ascii="Cambria Math" w:hAnsi="Cambria Math"/>
                          <w:color w:val="auto"/>
                        </w:rPr>
                        <m:t>A</m:t>
                      </m:r>
                      <m:ctrlPr>
                        <w:rPr>
                          <w:rFonts w:ascii="Cambria Math" w:hAnsi="Cambria Math"/>
                          <w:color w:val="auto"/>
                        </w:rPr>
                      </m:ctrlPr>
                    </m:e>
                    <m:sub>
                      <m:r>
                        <m:rPr>
                          <m:sty m:val="p"/>
                        </m:rPr>
                        <w:rPr>
                          <w:rFonts w:ascii="Cambria Math" w:hAnsi="Cambria Math"/>
                          <w:color w:val="auto"/>
                        </w:rPr>
                        <m:t>0</m:t>
                      </m:r>
                      <m:ctrlPr>
                        <w:rPr>
                          <w:rFonts w:ascii="Cambria Math" w:hAnsi="Cambria Math"/>
                          <w:color w:val="auto"/>
                        </w:rPr>
                      </m:ctrlPr>
                    </m:sub>
                  </m:sSub>
                  <m:ctrlPr>
                    <w:rPr>
                      <w:rFonts w:ascii="Cambria Math" w:hAnsi="Cambria Math"/>
                      <w:color w:val="auto"/>
                    </w:rPr>
                  </m:ctrlPr>
                </m:num>
                <m:den>
                  <m:sSub>
                    <m:sSubPr>
                      <m:ctrlPr>
                        <w:rPr>
                          <w:rFonts w:ascii="Cambria Math" w:hAnsi="Cambria Math"/>
                          <w:i/>
                          <w:color w:val="auto"/>
                        </w:rPr>
                      </m:ctrlPr>
                    </m:sSubPr>
                    <m:e>
                      <m:r>
                        <m:rPr/>
                        <w:rPr>
                          <w:rFonts w:ascii="Cambria Math" w:hAnsi="Cambria Math"/>
                          <w:color w:val="auto"/>
                        </w:rPr>
                        <m:t>m</m:t>
                      </m:r>
                      <m:ctrlPr>
                        <w:rPr>
                          <w:rFonts w:ascii="Cambria Math" w:hAnsi="Cambria Math"/>
                          <w:i/>
                          <w:color w:val="auto"/>
                        </w:rPr>
                      </m:ctrlPr>
                    </m:e>
                    <m:sub>
                      <m:r>
                        <m:rPr/>
                        <w:rPr>
                          <w:rFonts w:ascii="Cambria Math" w:hAnsi="Cambria Math"/>
                          <w:color w:val="auto"/>
                        </w:rPr>
                        <m:t>0</m:t>
                      </m:r>
                      <m:ctrlPr>
                        <w:rPr>
                          <w:rFonts w:ascii="Cambria Math" w:hAnsi="Cambria Math"/>
                          <w:i/>
                          <w:color w:val="auto"/>
                        </w:rPr>
                      </m:ctrlPr>
                    </m:sub>
                  </m:sSub>
                  <m:ctrlPr>
                    <w:rPr>
                      <w:rFonts w:ascii="Cambria Math" w:hAnsi="Cambria Math"/>
                      <w:color w:val="auto"/>
                    </w:rPr>
                  </m:ctrlPr>
                </m:den>
              </m:f>
              <m:r>
                <m:rPr>
                  <m:sty m:val="p"/>
                </m:rPr>
                <w:rPr>
                  <w:rFonts w:ascii="Cambria Math" w:hAnsi="Cambria Math"/>
                  <w:color w:val="auto"/>
                </w:rPr>
                <m:t>−</m:t>
              </m:r>
              <m:f>
                <m:fPr>
                  <m:type m:val="skw"/>
                  <m:ctrlPr>
                    <w:rPr>
                      <w:rFonts w:ascii="Cambria Math" w:hAnsi="Cambria Math"/>
                      <w:color w:val="auto"/>
                    </w:rPr>
                  </m:ctrlPr>
                </m:fPr>
                <m:num>
                  <m:sSub>
                    <m:sSubPr>
                      <m:ctrlPr>
                        <w:rPr>
                          <w:rFonts w:ascii="Cambria Math" w:hAnsi="Cambria Math"/>
                          <w:color w:val="auto"/>
                        </w:rPr>
                      </m:ctrlPr>
                    </m:sSubPr>
                    <m:e>
                      <m:r>
                        <m:rPr/>
                        <w:rPr>
                          <w:rFonts w:ascii="Cambria Math" w:hAnsi="Cambria Math"/>
                          <w:color w:val="auto"/>
                        </w:rPr>
                        <m:t>A</m:t>
                      </m:r>
                      <m:ctrlPr>
                        <w:rPr>
                          <w:rFonts w:ascii="Cambria Math" w:hAnsi="Cambria Math"/>
                          <w:color w:val="auto"/>
                        </w:rPr>
                      </m:ctrlPr>
                    </m:e>
                    <m:sub>
                      <m:r>
                        <m:rPr/>
                        <w:rPr>
                          <w:rFonts w:ascii="Cambria Math" w:hAnsi="Cambria Math"/>
                          <w:color w:val="auto"/>
                        </w:rPr>
                        <m:t>c</m:t>
                      </m:r>
                      <m:ctrlPr>
                        <w:rPr>
                          <w:rFonts w:ascii="Cambria Math" w:hAnsi="Cambria Math"/>
                          <w:color w:val="auto"/>
                        </w:rPr>
                      </m:ctrlPr>
                    </m:sub>
                  </m:sSub>
                  <m:ctrlPr>
                    <w:rPr>
                      <w:rFonts w:ascii="Cambria Math" w:hAnsi="Cambria Math"/>
                      <w:color w:val="auto"/>
                    </w:rPr>
                  </m:ctrlPr>
                </m:num>
                <m:den>
                  <m:sSub>
                    <m:sSubPr>
                      <m:ctrlPr>
                        <w:rPr>
                          <w:rFonts w:ascii="Cambria Math" w:hAnsi="Cambria Math"/>
                          <w:i/>
                          <w:color w:val="auto"/>
                        </w:rPr>
                      </m:ctrlPr>
                    </m:sSubPr>
                    <m:e>
                      <m:r>
                        <m:rPr/>
                        <w:rPr>
                          <w:rFonts w:ascii="Cambria Math" w:hAnsi="Cambria Math"/>
                          <w:color w:val="auto"/>
                        </w:rPr>
                        <m:t>m</m:t>
                      </m:r>
                      <m:ctrlPr>
                        <w:rPr>
                          <w:rFonts w:ascii="Cambria Math" w:hAnsi="Cambria Math"/>
                          <w:i/>
                          <w:color w:val="auto"/>
                        </w:rPr>
                      </m:ctrlPr>
                    </m:e>
                    <m:sub>
                      <m:r>
                        <m:rPr/>
                        <w:rPr>
                          <w:rFonts w:ascii="Cambria Math" w:hAnsi="Cambria Math"/>
                          <w:color w:val="auto"/>
                        </w:rPr>
                        <m:t>c</m:t>
                      </m:r>
                      <m:ctrlPr>
                        <w:rPr>
                          <w:rFonts w:ascii="Cambria Math" w:hAnsi="Cambria Math"/>
                          <w:i/>
                          <w:color w:val="auto"/>
                        </w:rPr>
                      </m:ctrlPr>
                    </m:sub>
                  </m:sSub>
                  <m:ctrlPr>
                    <w:rPr>
                      <w:rFonts w:ascii="Cambria Math" w:hAnsi="Cambria Math"/>
                      <w:color w:val="auto"/>
                    </w:rPr>
                  </m:ctrlPr>
                </m:den>
              </m:f>
              <m:ctrlPr>
                <w:rPr>
                  <w:rFonts w:ascii="Cambria Math" w:hAnsi="Cambria Math"/>
                  <w:color w:val="auto"/>
                </w:rPr>
              </m:ctrlPr>
            </m:num>
            <m:den>
              <m:f>
                <m:fPr>
                  <m:type m:val="skw"/>
                  <m:ctrlPr>
                    <w:rPr>
                      <w:rFonts w:ascii="Cambria Math" w:hAnsi="Cambria Math"/>
                      <w:color w:val="auto"/>
                    </w:rPr>
                  </m:ctrlPr>
                </m:fPr>
                <m:num>
                  <m:sSub>
                    <m:sSubPr>
                      <m:ctrlPr>
                        <w:rPr>
                          <w:rFonts w:ascii="Cambria Math" w:hAnsi="Cambria Math"/>
                          <w:color w:val="auto"/>
                        </w:rPr>
                      </m:ctrlPr>
                    </m:sSubPr>
                    <m:e>
                      <m:r>
                        <m:rPr/>
                        <w:rPr>
                          <w:rFonts w:ascii="Cambria Math" w:hAnsi="Cambria Math"/>
                          <w:color w:val="auto"/>
                        </w:rPr>
                        <m:t>A</m:t>
                      </m:r>
                      <m:ctrlPr>
                        <w:rPr>
                          <w:rFonts w:ascii="Cambria Math" w:hAnsi="Cambria Math"/>
                          <w:color w:val="auto"/>
                        </w:rPr>
                      </m:ctrlPr>
                    </m:e>
                    <m:sub>
                      <m:r>
                        <m:rPr>
                          <m:sty m:val="p"/>
                        </m:rPr>
                        <w:rPr>
                          <w:rFonts w:ascii="Cambria Math" w:hAnsi="Cambria Math"/>
                          <w:color w:val="auto"/>
                        </w:rPr>
                        <m:t>0</m:t>
                      </m:r>
                      <m:ctrlPr>
                        <w:rPr>
                          <w:rFonts w:ascii="Cambria Math" w:hAnsi="Cambria Math"/>
                          <w:color w:val="auto"/>
                        </w:rPr>
                      </m:ctrlPr>
                    </m:sub>
                  </m:sSub>
                  <m:ctrlPr>
                    <w:rPr>
                      <w:rFonts w:ascii="Cambria Math" w:hAnsi="Cambria Math"/>
                      <w:color w:val="auto"/>
                    </w:rPr>
                  </m:ctrlPr>
                </m:num>
                <m:den>
                  <m:sSub>
                    <m:sSubPr>
                      <m:ctrlPr>
                        <w:rPr>
                          <w:rFonts w:ascii="Cambria Math" w:hAnsi="Cambria Math"/>
                          <w:i/>
                          <w:color w:val="auto"/>
                        </w:rPr>
                      </m:ctrlPr>
                    </m:sSubPr>
                    <m:e>
                      <m:r>
                        <m:rPr/>
                        <w:rPr>
                          <w:rFonts w:ascii="Cambria Math" w:hAnsi="Cambria Math"/>
                          <w:color w:val="auto"/>
                        </w:rPr>
                        <m:t>m</m:t>
                      </m:r>
                      <m:ctrlPr>
                        <w:rPr>
                          <w:rFonts w:ascii="Cambria Math" w:hAnsi="Cambria Math"/>
                          <w:i/>
                          <w:color w:val="auto"/>
                        </w:rPr>
                      </m:ctrlPr>
                    </m:e>
                    <m:sub>
                      <m:r>
                        <m:rPr/>
                        <w:rPr>
                          <w:rFonts w:ascii="Cambria Math" w:hAnsi="Cambria Math"/>
                          <w:color w:val="auto"/>
                        </w:rPr>
                        <m:t>0</m:t>
                      </m:r>
                      <m:ctrlPr>
                        <w:rPr>
                          <w:rFonts w:ascii="Cambria Math" w:hAnsi="Cambria Math"/>
                          <w:i/>
                          <w:color w:val="auto"/>
                        </w:rPr>
                      </m:ctrlPr>
                    </m:sub>
                  </m:sSub>
                  <m:ctrlPr>
                    <w:rPr>
                      <w:rFonts w:ascii="Cambria Math" w:hAnsi="Cambria Math"/>
                      <w:color w:val="auto"/>
                    </w:rPr>
                  </m:ctrlPr>
                </m:den>
              </m:f>
              <m:ctrlPr>
                <w:rPr>
                  <w:rFonts w:ascii="Cambria Math" w:hAnsi="Cambria Math"/>
                  <w:color w:val="auto"/>
                </w:rPr>
              </m:ctrlPr>
            </m:den>
          </m:f>
          <m:r>
            <m:rPr>
              <m:sty m:val="p"/>
            </m:rPr>
            <w:rPr>
              <w:rFonts w:ascii="Cambria Math" w:hAnsi="Cambria Math"/>
              <w:color w:val="auto"/>
            </w:rPr>
            <m:t>×100%</m:t>
          </m:r>
        </m:oMath>
      </m:oMathPara>
    </w:p>
    <w:p w14:paraId="04D7FC5E">
      <w:pPr>
        <w:pStyle w:val="26"/>
        <w:tabs>
          <w:tab w:val="right" w:leader="dot" w:pos="9214"/>
          <w:tab w:val="clear" w:pos="9298"/>
        </w:tabs>
        <w:ind w:firstLine="0" w:firstLineChars="0"/>
        <w:jc w:val="center"/>
        <w:rPr>
          <w:rFonts w:ascii="Times New Roman"/>
          <w:color w:val="auto"/>
          <w:szCs w:val="21"/>
        </w:rPr>
      </w:pPr>
    </w:p>
    <w:p w14:paraId="6CF96488">
      <w:pPr>
        <w:pStyle w:val="26"/>
        <w:tabs>
          <w:tab w:val="right" w:leader="dot" w:pos="9214"/>
          <w:tab w:val="clear" w:pos="9298"/>
        </w:tabs>
        <w:jc w:val="left"/>
        <w:rPr>
          <w:rFonts w:ascii="Times New Roman"/>
          <w:color w:val="auto"/>
          <w:szCs w:val="21"/>
        </w:rPr>
      </w:pPr>
      <w:r>
        <w:rPr>
          <w:rFonts w:hint="eastAsia" w:ascii="Times New Roman"/>
          <w:color w:val="auto"/>
          <w:szCs w:val="21"/>
        </w:rPr>
        <w:t>式中  A0——明胶原材料的平均吸光度；</w:t>
      </w:r>
    </w:p>
    <w:p w14:paraId="3692B310">
      <w:pPr>
        <w:pStyle w:val="26"/>
        <w:tabs>
          <w:tab w:val="right" w:leader="dot" w:pos="9214"/>
          <w:tab w:val="clear" w:pos="9298"/>
        </w:tabs>
        <w:ind w:firstLine="1050" w:firstLineChars="500"/>
        <w:jc w:val="left"/>
        <w:rPr>
          <w:rFonts w:ascii="Times New Roman"/>
          <w:color w:val="auto"/>
          <w:szCs w:val="21"/>
        </w:rPr>
      </w:pPr>
      <w:r>
        <w:rPr>
          <w:rFonts w:hint="eastAsia" w:ascii="Times New Roman"/>
          <w:color w:val="auto"/>
          <w:szCs w:val="21"/>
        </w:rPr>
        <w:t>Ac——明胶海绵栓塞微球的平均吸光度；</w:t>
      </w:r>
    </w:p>
    <w:p w14:paraId="34EC37D1">
      <w:pPr>
        <w:pStyle w:val="26"/>
        <w:tabs>
          <w:tab w:val="right" w:leader="dot" w:pos="9214"/>
          <w:tab w:val="clear" w:pos="9298"/>
        </w:tabs>
        <w:ind w:firstLine="1050" w:firstLineChars="500"/>
        <w:jc w:val="left"/>
        <w:rPr>
          <w:rFonts w:ascii="Times New Roman"/>
          <w:color w:val="auto"/>
          <w:szCs w:val="21"/>
        </w:rPr>
      </w:pPr>
      <w:r>
        <w:rPr>
          <w:rFonts w:hint="eastAsia" w:ascii="Times New Roman"/>
          <w:color w:val="auto"/>
          <w:szCs w:val="21"/>
        </w:rPr>
        <w:t>m0——明胶原材料的平均质量（mg）；</w:t>
      </w:r>
    </w:p>
    <w:p w14:paraId="57B3CC71">
      <w:pPr>
        <w:pStyle w:val="26"/>
        <w:tabs>
          <w:tab w:val="right" w:leader="dot" w:pos="9214"/>
          <w:tab w:val="clear" w:pos="9298"/>
        </w:tabs>
        <w:ind w:firstLine="1050" w:firstLineChars="500"/>
        <w:jc w:val="left"/>
        <w:rPr>
          <w:rFonts w:ascii="Times New Roman"/>
          <w:color w:val="auto"/>
          <w:szCs w:val="21"/>
        </w:rPr>
      </w:pPr>
      <w:r>
        <w:rPr>
          <w:rFonts w:hint="eastAsia" w:ascii="Times New Roman"/>
          <w:color w:val="auto"/>
          <w:szCs w:val="21"/>
        </w:rPr>
        <w:t>mc——明胶海绵栓塞微球的平均质量（mg）。</w:t>
      </w:r>
    </w:p>
    <w:p w14:paraId="22AA06C1">
      <w:pPr>
        <w:pStyle w:val="26"/>
        <w:tabs>
          <w:tab w:val="right" w:leader="dot" w:pos="9214"/>
          <w:tab w:val="clear" w:pos="9298"/>
        </w:tabs>
        <w:ind w:firstLine="1050" w:firstLineChars="500"/>
        <w:jc w:val="left"/>
        <w:rPr>
          <w:rFonts w:ascii="Times New Roman"/>
          <w:color w:val="auto"/>
          <w:szCs w:val="21"/>
        </w:rPr>
        <w:sectPr>
          <w:footerReference r:id="rId9" w:type="default"/>
          <w:pgSz w:w="11906" w:h="16838"/>
          <w:pgMar w:top="1797" w:right="1274" w:bottom="1797" w:left="1440" w:header="1418" w:footer="1134" w:gutter="0"/>
          <w:pgNumType w:start="1"/>
          <w:cols w:space="425" w:num="1"/>
          <w:formProt w:val="0"/>
          <w:docGrid w:type="lines" w:linePitch="312" w:charSpace="0"/>
        </w:sectPr>
      </w:pPr>
    </w:p>
    <w:p w14:paraId="663BEB08">
      <w:pPr>
        <w:pStyle w:val="56"/>
        <w:spacing w:before="79" w:beforeLines="25" w:after="79" w:afterLines="25" w:line="240" w:lineRule="auto"/>
        <w:rPr>
          <w:color w:val="auto"/>
          <w:sz w:val="21"/>
        </w:rPr>
      </w:pPr>
      <w:r>
        <w:rPr>
          <w:rFonts w:hint="eastAsia"/>
          <w:color w:val="auto"/>
          <w:sz w:val="21"/>
        </w:rPr>
        <w:t>附 录B</w:t>
      </w:r>
    </w:p>
    <w:p w14:paraId="23B47124">
      <w:pPr>
        <w:pStyle w:val="26"/>
        <w:ind w:firstLine="0" w:firstLineChars="0"/>
        <w:jc w:val="center"/>
        <w:rPr>
          <w:rFonts w:hint="eastAsia" w:ascii="黑体" w:hAnsi="黑体" w:eastAsia="黑体"/>
          <w:color w:val="auto"/>
        </w:rPr>
      </w:pPr>
      <w:r>
        <w:rPr>
          <w:rFonts w:hint="eastAsia" w:ascii="黑体" w:hAnsi="黑体" w:eastAsia="黑体"/>
          <w:color w:val="auto"/>
        </w:rPr>
        <w:t>（规范性）</w:t>
      </w:r>
    </w:p>
    <w:p w14:paraId="5C6546BF">
      <w:pPr>
        <w:pStyle w:val="26"/>
        <w:spacing w:before="79" w:beforeLines="25" w:after="313" w:afterLines="100"/>
        <w:ind w:firstLine="0" w:firstLineChars="0"/>
        <w:jc w:val="center"/>
        <w:rPr>
          <w:rFonts w:hint="eastAsia" w:ascii="黑体" w:hAnsi="黑体" w:eastAsia="黑体"/>
          <w:color w:val="auto"/>
        </w:rPr>
      </w:pPr>
      <w:r>
        <w:rPr>
          <w:rFonts w:hint="eastAsia" w:ascii="黑体" w:hAnsi="黑体" w:eastAsia="黑体"/>
          <w:color w:val="auto"/>
        </w:rPr>
        <w:t>降解时间检测方法</w:t>
      </w:r>
    </w:p>
    <w:p w14:paraId="7730B559">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B.1 酶降解液配制</w:t>
      </w:r>
    </w:p>
    <w:p w14:paraId="5EEBAF33">
      <w:pPr>
        <w:pStyle w:val="26"/>
        <w:tabs>
          <w:tab w:val="right" w:leader="dot" w:pos="9214"/>
          <w:tab w:val="clear" w:pos="9298"/>
        </w:tabs>
        <w:rPr>
          <w:rFonts w:hint="eastAsia" w:ascii="宋体" w:hAnsi="宋体" w:cs="宋体"/>
          <w:color w:val="auto"/>
          <w:szCs w:val="21"/>
        </w:rPr>
      </w:pPr>
      <w:r>
        <w:rPr>
          <w:rFonts w:hint="eastAsia" w:ascii="宋体" w:hAnsi="宋体" w:cs="宋体"/>
          <w:color w:val="auto"/>
          <w:szCs w:val="21"/>
        </w:rPr>
        <w:t>在磷酸缓冲液（PBS）中添加胰蛋白酶，使得胰蛋白酶活性浓度为8.4U/mL，然后采用0.1mol/L NaOH溶液调节酶降解液的pH值为7.4±0.2，即得酶降解液（或直接使用pH值为7.4±0.2的磷酸缓冲液），保存于2~8℃冰箱中备用。</w:t>
      </w:r>
    </w:p>
    <w:p w14:paraId="2A1E53DD">
      <w:pPr>
        <w:pStyle w:val="26"/>
        <w:tabs>
          <w:tab w:val="right" w:leader="dot" w:pos="9214"/>
        </w:tabs>
        <w:spacing w:before="157" w:beforeLines="50" w:after="157" w:afterLines="50"/>
        <w:rPr>
          <w:rFonts w:hint="eastAsia" w:ascii="黑体" w:hAnsi="黑体" w:eastAsia="黑体" w:cs="黑体"/>
          <w:color w:val="auto"/>
          <w:szCs w:val="22"/>
        </w:rPr>
      </w:pPr>
      <w:r>
        <w:rPr>
          <w:rFonts w:hint="eastAsia" w:ascii="黑体" w:hAnsi="黑体" w:eastAsia="黑体" w:cs="黑体"/>
          <w:color w:val="auto"/>
          <w:szCs w:val="22"/>
        </w:rPr>
        <w:t>B.2 降解性能测试条件</w:t>
      </w:r>
    </w:p>
    <w:p w14:paraId="6876149B">
      <w:pPr>
        <w:pStyle w:val="26"/>
        <w:tabs>
          <w:tab w:val="right" w:leader="dot" w:pos="9214"/>
        </w:tabs>
        <w:rPr>
          <w:rFonts w:hint="eastAsia" w:ascii="宋体" w:hAnsi="宋体" w:cs="宋体"/>
          <w:color w:val="auto"/>
          <w:szCs w:val="21"/>
        </w:rPr>
      </w:pPr>
      <w:r>
        <w:rPr>
          <w:rFonts w:hint="eastAsia" w:ascii="宋体" w:hAnsi="宋体" w:cs="宋体"/>
          <w:color w:val="auto"/>
          <w:szCs w:val="21"/>
        </w:rPr>
        <w:t>在室温、真空下将降解前试样干燥至恒重（干态/湿态微球），每个样品每个时间点各取5瓶，每瓶微球质量为m0，加入10mL的8.4 U/mL胰酶降解液，放入恒温振荡培养器，在37±1℃温度下以150r/min转速震荡。</w:t>
      </w:r>
    </w:p>
    <w:p w14:paraId="73A394B6">
      <w:pPr>
        <w:pStyle w:val="26"/>
        <w:tabs>
          <w:tab w:val="right" w:leader="dot" w:pos="9214"/>
          <w:tab w:val="clear" w:pos="9298"/>
        </w:tabs>
        <w:rPr>
          <w:rFonts w:ascii="Times New Roman"/>
          <w:color w:val="auto"/>
          <w:szCs w:val="21"/>
        </w:rPr>
      </w:pPr>
      <w:r>
        <w:rPr>
          <w:rFonts w:hint="eastAsia" w:ascii="宋体" w:hAnsi="宋体" w:cs="宋体"/>
          <w:color w:val="auto"/>
          <w:szCs w:val="21"/>
        </w:rPr>
        <w:t>在0h、1d、2d、3d、4d、5d、6d、7d…直至微球完全降解（时间间隔可以视具体降解时间设定，至少需设定5个时间点），观察微球降解过程中的形貌变化，并测量pH值和质量损失，其中降解过程中pH值需采用0.1mol/L NaOH调节至7.4±0.2。</w:t>
      </w:r>
    </w:p>
    <w:p w14:paraId="32E876CF">
      <w:pPr>
        <w:pStyle w:val="26"/>
        <w:tabs>
          <w:tab w:val="right" w:leader="dot" w:pos="9214"/>
        </w:tabs>
        <w:spacing w:before="157" w:beforeLines="50" w:after="157" w:afterLines="50"/>
        <w:rPr>
          <w:rFonts w:hint="eastAsia" w:ascii="黑体" w:hAnsi="黑体" w:eastAsia="黑体" w:cs="黑体"/>
          <w:color w:val="auto"/>
          <w:szCs w:val="22"/>
        </w:rPr>
      </w:pPr>
      <w:r>
        <w:rPr>
          <w:rFonts w:hint="eastAsia" w:ascii="黑体" w:hAnsi="黑体" w:eastAsia="黑体" w:cs="黑体"/>
          <w:color w:val="auto"/>
          <w:szCs w:val="22"/>
        </w:rPr>
        <w:t>B.3 测试</w:t>
      </w:r>
    </w:p>
    <w:p w14:paraId="121DFDF3">
      <w:pPr>
        <w:pStyle w:val="26"/>
        <w:tabs>
          <w:tab w:val="right" w:leader="dot" w:pos="9214"/>
        </w:tabs>
        <w:jc w:val="left"/>
        <w:rPr>
          <w:rFonts w:hint="eastAsia" w:ascii="黑体" w:hAnsi="黑体" w:eastAsia="黑体" w:cs="黑体"/>
          <w:color w:val="auto"/>
          <w:szCs w:val="22"/>
        </w:rPr>
      </w:pPr>
      <w:r>
        <w:rPr>
          <w:rFonts w:hint="eastAsia" w:ascii="黑体" w:hAnsi="黑体" w:eastAsia="黑体" w:cs="黑体"/>
          <w:color w:val="auto"/>
          <w:szCs w:val="22"/>
        </w:rPr>
        <w:t>B3.1 干态微球样品</w:t>
      </w:r>
    </w:p>
    <w:p w14:paraId="75CE6CD4">
      <w:pPr>
        <w:pStyle w:val="26"/>
        <w:tabs>
          <w:tab w:val="right" w:leader="dot" w:pos="9214"/>
          <w:tab w:val="clear" w:pos="9298"/>
        </w:tabs>
        <w:rPr>
          <w:rFonts w:ascii="Times New Roman"/>
          <w:color w:val="auto"/>
          <w:szCs w:val="21"/>
        </w:rPr>
      </w:pPr>
      <w:r>
        <w:rPr>
          <w:rFonts w:hint="eastAsia" w:ascii="宋体" w:hAnsi="宋体" w:cs="宋体"/>
          <w:color w:val="auto"/>
          <w:szCs w:val="21"/>
        </w:rPr>
        <w:t>在室温、真空下将滤网干燥至恒重（m</w:t>
      </w:r>
      <w:r>
        <w:rPr>
          <w:rFonts w:hint="eastAsia" w:ascii="宋体" w:hAnsi="宋体" w:cs="宋体"/>
          <w:color w:val="auto"/>
          <w:szCs w:val="21"/>
          <w:vertAlign w:val="subscript"/>
        </w:rPr>
        <w:t>1</w:t>
      </w:r>
      <w:r>
        <w:rPr>
          <w:rFonts w:hint="eastAsia" w:ascii="宋体" w:hAnsi="宋体" w:cs="宋体"/>
          <w:color w:val="auto"/>
          <w:szCs w:val="21"/>
        </w:rPr>
        <w:t>），取不同时间点的样品，将容器内试样倒入滤网内，滤除降解液，并用适量纯化水冲洗滤出物3次。然后在室温、真空下将滤器与滤出物一同干燥至恒重，用精度至少为0.0001g的电子天平称量干燥后质量（m</w:t>
      </w:r>
      <w:r>
        <w:rPr>
          <w:rFonts w:hint="eastAsia" w:ascii="宋体" w:hAnsi="宋体" w:cs="宋体"/>
          <w:color w:val="auto"/>
          <w:szCs w:val="21"/>
          <w:vertAlign w:val="subscript"/>
        </w:rPr>
        <w:t>2</w:t>
      </w:r>
      <w:r>
        <w:rPr>
          <w:rFonts w:hint="eastAsia" w:ascii="宋体" w:hAnsi="宋体" w:cs="宋体"/>
          <w:color w:val="auto"/>
          <w:szCs w:val="21"/>
        </w:rPr>
        <w:t>）</w:t>
      </w:r>
      <w:r>
        <w:rPr>
          <w:rFonts w:hint="eastAsia" w:ascii="Times New Roman"/>
          <w:color w:val="auto"/>
          <w:szCs w:val="21"/>
        </w:rPr>
        <w:t>，</w:t>
      </w:r>
    </w:p>
    <w:p w14:paraId="18A1F04D">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B3.2 湿态微球样品</w:t>
      </w:r>
    </w:p>
    <w:p w14:paraId="058595F5">
      <w:pPr>
        <w:pStyle w:val="26"/>
        <w:tabs>
          <w:tab w:val="right" w:leader="dot" w:pos="9214"/>
          <w:tab w:val="clear" w:pos="9298"/>
        </w:tabs>
        <w:rPr>
          <w:rFonts w:ascii="Times New Roman"/>
          <w:color w:val="auto"/>
          <w:szCs w:val="21"/>
        </w:rPr>
      </w:pPr>
      <w:r>
        <w:rPr>
          <w:rFonts w:hint="eastAsia" w:ascii="宋体" w:hAnsi="宋体" w:cs="宋体"/>
          <w:color w:val="auto"/>
          <w:szCs w:val="21"/>
        </w:rPr>
        <w:t>在室温、真空下将滤网干燥至恒重（m</w:t>
      </w:r>
      <w:r>
        <w:rPr>
          <w:rFonts w:hint="eastAsia" w:ascii="宋体" w:hAnsi="宋体" w:cs="宋体"/>
          <w:color w:val="auto"/>
          <w:szCs w:val="21"/>
          <w:vertAlign w:val="subscript"/>
        </w:rPr>
        <w:t>1</w:t>
      </w:r>
      <w:r>
        <w:rPr>
          <w:rFonts w:hint="eastAsia" w:ascii="宋体" w:hAnsi="宋体" w:cs="宋体"/>
          <w:color w:val="auto"/>
          <w:szCs w:val="21"/>
        </w:rPr>
        <w:t>），取不同时间点的样品，将容器内试样倒入滤网内，滤除降解液，并用适量保存液冲洗滤出物3次。用精度至少为0.0001g的电子天平称量干燥后质量（m</w:t>
      </w:r>
      <w:r>
        <w:rPr>
          <w:rFonts w:hint="eastAsia" w:ascii="宋体" w:hAnsi="宋体" w:cs="宋体"/>
          <w:color w:val="auto"/>
          <w:szCs w:val="21"/>
          <w:vertAlign w:val="subscript"/>
        </w:rPr>
        <w:t>2</w:t>
      </w:r>
      <w:r>
        <w:rPr>
          <w:rFonts w:hint="eastAsia" w:ascii="宋体" w:hAnsi="宋体" w:cs="宋体"/>
          <w:color w:val="auto"/>
          <w:szCs w:val="21"/>
        </w:rPr>
        <w:t>）</w:t>
      </w:r>
      <w:r>
        <w:rPr>
          <w:rFonts w:hint="eastAsia" w:ascii="Times New Roman"/>
          <w:color w:val="auto"/>
          <w:szCs w:val="21"/>
        </w:rPr>
        <w:t>。</w:t>
      </w:r>
    </w:p>
    <w:p w14:paraId="6FFFB2E2">
      <w:pPr>
        <w:pStyle w:val="26"/>
        <w:tabs>
          <w:tab w:val="right" w:leader="dot" w:pos="9214"/>
        </w:tabs>
        <w:spacing w:before="157" w:beforeLines="50" w:after="157" w:afterLines="50"/>
        <w:rPr>
          <w:rFonts w:hint="eastAsia" w:ascii="黑体" w:hAnsi="黑体" w:eastAsia="黑体" w:cs="黑体"/>
          <w:color w:val="auto"/>
          <w:szCs w:val="22"/>
        </w:rPr>
      </w:pPr>
      <w:r>
        <w:rPr>
          <w:rFonts w:hint="eastAsia" w:ascii="黑体" w:hAnsi="黑体" w:eastAsia="黑体" w:cs="黑体"/>
          <w:color w:val="auto"/>
          <w:szCs w:val="22"/>
        </w:rPr>
        <w:t>B.4 计算</w:t>
      </w:r>
    </w:p>
    <w:p w14:paraId="53703DE7">
      <w:pPr>
        <w:pStyle w:val="26"/>
        <w:tabs>
          <w:tab w:val="right" w:leader="dot" w:pos="9214"/>
        </w:tabs>
        <w:jc w:val="left"/>
        <w:rPr>
          <w:rFonts w:hint="eastAsia" w:ascii="黑体" w:hAnsi="黑体" w:eastAsia="黑体" w:cs="黑体"/>
          <w:color w:val="auto"/>
          <w:szCs w:val="22"/>
        </w:rPr>
      </w:pPr>
      <w:r>
        <w:rPr>
          <w:rFonts w:hint="eastAsia" w:ascii="黑体" w:hAnsi="黑体" w:eastAsia="黑体" w:cs="黑体"/>
          <w:color w:val="auto"/>
          <w:szCs w:val="22"/>
        </w:rPr>
        <w:t>B.4.1 降解速率</w:t>
      </w:r>
    </w:p>
    <w:p w14:paraId="1B22A583">
      <w:pPr>
        <w:pStyle w:val="26"/>
        <w:tabs>
          <w:tab w:val="right" w:leader="dot" w:pos="9214"/>
          <w:tab w:val="clear" w:pos="9298"/>
        </w:tabs>
        <w:rPr>
          <w:rFonts w:ascii="Times New Roman"/>
          <w:color w:val="auto"/>
          <w:szCs w:val="21"/>
        </w:rPr>
      </w:pPr>
      <w:r>
        <w:rPr>
          <w:rFonts w:hint="eastAsia" w:ascii="Times New Roman"/>
          <w:color w:val="auto"/>
          <w:szCs w:val="21"/>
        </w:rPr>
        <w:t>按下式计算试样降解前后的质量损失，即降解速率。</w:t>
      </w:r>
    </w:p>
    <w:p w14:paraId="1B3462EA">
      <w:pPr>
        <w:spacing w:line="360" w:lineRule="auto"/>
        <w:jc w:val="center"/>
        <w:rPr>
          <w:color w:val="auto"/>
          <w:sz w:val="24"/>
        </w:rPr>
      </w:pPr>
      <w:r>
        <w:rPr>
          <w:rFonts w:hint="eastAsia"/>
          <w:color w:val="auto"/>
          <w:szCs w:val="21"/>
        </w:rPr>
        <w:t>降解速率=</w:t>
      </w:r>
      <m:oMath>
        <m:f>
          <m:fPr>
            <m:ctrlPr>
              <w:rPr>
                <w:rFonts w:ascii="Cambria Math" w:hAnsi="Cambria Math"/>
                <w:i/>
                <w:color w:val="auto"/>
                <w:sz w:val="24"/>
              </w:rPr>
            </m:ctrlPr>
          </m:fPr>
          <m:num>
            <m:sSub>
              <m:sSubPr>
                <m:ctrlPr>
                  <w:rPr>
                    <w:rFonts w:ascii="Cambria Math" w:hAnsi="Cambria Math"/>
                    <w:i/>
                    <w:color w:val="auto"/>
                    <w:sz w:val="24"/>
                  </w:rPr>
                </m:ctrlPr>
              </m:sSubPr>
              <m:e>
                <m:r>
                  <m:rPr/>
                  <w:rPr>
                    <w:rFonts w:hint="eastAsia" w:ascii="Cambria Math" w:hAnsi="Cambria Math"/>
                    <w:color w:val="auto"/>
                    <w:sz w:val="24"/>
                  </w:rPr>
                  <m:t>m</m:t>
                </m:r>
                <m:ctrlPr>
                  <w:rPr>
                    <w:rFonts w:ascii="Cambria Math" w:hAnsi="Cambria Math"/>
                    <w:i/>
                    <w:color w:val="auto"/>
                    <w:sz w:val="24"/>
                  </w:rPr>
                </m:ctrlPr>
              </m:e>
              <m:sub>
                <m:r>
                  <m:rPr/>
                  <w:rPr>
                    <w:rFonts w:ascii="Cambria Math" w:hAnsi="Cambria Math"/>
                    <w:color w:val="auto"/>
                    <w:sz w:val="24"/>
                  </w:rPr>
                  <m:t>0</m:t>
                </m:r>
                <m:ctrlPr>
                  <w:rPr>
                    <w:rFonts w:ascii="Cambria Math" w:hAnsi="Cambria Math"/>
                    <w:i/>
                    <w:color w:val="auto"/>
                    <w:sz w:val="24"/>
                  </w:rPr>
                </m:ctrlPr>
              </m:sub>
            </m:sSub>
            <m:r>
              <m:rPr/>
              <w:rPr>
                <w:rFonts w:ascii="Cambria Math" w:hAnsi="Cambria Math"/>
                <w:color w:val="auto"/>
                <w:sz w:val="24"/>
              </w:rPr>
              <m:t>−</m:t>
            </m:r>
            <m:r>
              <m:rPr/>
              <w:rPr>
                <w:rFonts w:hint="eastAsia" w:ascii="Cambria Math" w:hAnsi="Cambria Math"/>
                <w:color w:val="auto"/>
                <w:sz w:val="24"/>
              </w:rPr>
              <m:t>（</m:t>
            </m:r>
            <m:sSub>
              <m:sSubPr>
                <m:ctrlPr>
                  <w:rPr>
                    <w:rFonts w:ascii="Cambria Math" w:hAnsi="Cambria Math"/>
                    <w:i/>
                    <w:color w:val="auto"/>
                    <w:sz w:val="24"/>
                  </w:rPr>
                </m:ctrlPr>
              </m:sSubPr>
              <m:e>
                <m:r>
                  <m:rPr/>
                  <w:rPr>
                    <w:rFonts w:hint="eastAsia" w:ascii="Cambria Math" w:hAnsi="Cambria Math"/>
                    <w:color w:val="auto"/>
                    <w:sz w:val="24"/>
                  </w:rPr>
                  <m:t>m</m:t>
                </m:r>
                <m:ctrlPr>
                  <w:rPr>
                    <w:rFonts w:ascii="Cambria Math" w:hAnsi="Cambria Math"/>
                    <w:i/>
                    <w:color w:val="auto"/>
                    <w:sz w:val="24"/>
                  </w:rPr>
                </m:ctrlPr>
              </m:e>
              <m:sub>
                <m:r>
                  <m:rPr/>
                  <w:rPr>
                    <w:rFonts w:ascii="Cambria Math" w:hAnsi="Cambria Math"/>
                    <w:color w:val="auto"/>
                    <w:sz w:val="24"/>
                  </w:rPr>
                  <m:t>2</m:t>
                </m:r>
                <m:ctrlPr>
                  <w:rPr>
                    <w:rFonts w:ascii="Cambria Math" w:hAnsi="Cambria Math"/>
                    <w:i/>
                    <w:color w:val="auto"/>
                    <w:sz w:val="24"/>
                  </w:rPr>
                </m:ctrlPr>
              </m:sub>
            </m:sSub>
            <m:r>
              <m:rPr/>
              <w:rPr>
                <w:rFonts w:ascii="Cambria Math" w:hAnsi="Cambria Math"/>
                <w:color w:val="auto"/>
                <w:sz w:val="24"/>
              </w:rPr>
              <m:t>−</m:t>
            </m:r>
            <m:sSub>
              <m:sSubPr>
                <m:ctrlPr>
                  <w:rPr>
                    <w:rFonts w:ascii="Cambria Math" w:hAnsi="Cambria Math"/>
                    <w:i/>
                    <w:color w:val="auto"/>
                    <w:sz w:val="24"/>
                  </w:rPr>
                </m:ctrlPr>
              </m:sSubPr>
              <m:e>
                <m:r>
                  <m:rPr/>
                  <w:rPr>
                    <w:rFonts w:ascii="Cambria Math" w:hAnsi="Cambria Math"/>
                    <w:color w:val="auto"/>
                    <w:sz w:val="24"/>
                  </w:rPr>
                  <m:t>m</m:t>
                </m:r>
                <m:ctrlPr>
                  <w:rPr>
                    <w:rFonts w:ascii="Cambria Math" w:hAnsi="Cambria Math"/>
                    <w:i/>
                    <w:color w:val="auto"/>
                    <w:sz w:val="24"/>
                  </w:rPr>
                </m:ctrlPr>
              </m:e>
              <m:sub>
                <m:r>
                  <m:rPr/>
                  <w:rPr>
                    <w:rFonts w:ascii="Cambria Math" w:hAnsi="Cambria Math"/>
                    <w:color w:val="auto"/>
                    <w:sz w:val="24"/>
                  </w:rPr>
                  <m:t>1</m:t>
                </m:r>
                <m:ctrlPr>
                  <w:rPr>
                    <w:rFonts w:ascii="Cambria Math" w:hAnsi="Cambria Math"/>
                    <w:i/>
                    <w:color w:val="auto"/>
                    <w:sz w:val="24"/>
                  </w:rPr>
                </m:ctrlPr>
              </m:sub>
            </m:sSub>
            <m:r>
              <m:rPr/>
              <w:rPr>
                <w:rFonts w:hint="eastAsia" w:ascii="Cambria Math" w:hAnsi="Cambria Math"/>
                <w:color w:val="auto"/>
                <w:sz w:val="24"/>
              </w:rPr>
              <m:t>）</m:t>
            </m:r>
            <m:ctrlPr>
              <w:rPr>
                <w:rFonts w:ascii="Cambria Math" w:hAnsi="Cambria Math"/>
                <w:i/>
                <w:color w:val="auto"/>
                <w:sz w:val="24"/>
              </w:rPr>
            </m:ctrlPr>
          </m:num>
          <m:den>
            <m:sSub>
              <m:sSubPr>
                <m:ctrlPr>
                  <w:rPr>
                    <w:rFonts w:ascii="Cambria Math" w:hAnsi="Cambria Math"/>
                    <w:i/>
                    <w:color w:val="auto"/>
                    <w:sz w:val="24"/>
                  </w:rPr>
                </m:ctrlPr>
              </m:sSubPr>
              <m:e>
                <m:r>
                  <m:rPr/>
                  <w:rPr>
                    <w:rFonts w:ascii="Cambria Math" w:hAnsi="Cambria Math"/>
                    <w:color w:val="auto"/>
                    <w:sz w:val="24"/>
                  </w:rPr>
                  <m:t>m</m:t>
                </m:r>
                <m:ctrlPr>
                  <w:rPr>
                    <w:rFonts w:ascii="Cambria Math" w:hAnsi="Cambria Math"/>
                    <w:i/>
                    <w:color w:val="auto"/>
                    <w:sz w:val="24"/>
                  </w:rPr>
                </m:ctrlPr>
              </m:e>
              <m:sub>
                <m:r>
                  <m:rPr/>
                  <w:rPr>
                    <w:rFonts w:ascii="Cambria Math" w:hAnsi="Cambria Math"/>
                    <w:color w:val="auto"/>
                    <w:sz w:val="24"/>
                  </w:rPr>
                  <m:t>0</m:t>
                </m:r>
                <m:ctrlPr>
                  <w:rPr>
                    <w:rFonts w:ascii="Cambria Math" w:hAnsi="Cambria Math"/>
                    <w:i/>
                    <w:color w:val="auto"/>
                    <w:sz w:val="24"/>
                  </w:rPr>
                </m:ctrlPr>
              </m:sub>
            </m:sSub>
            <m:ctrlPr>
              <w:rPr>
                <w:rFonts w:ascii="Cambria Math" w:hAnsi="Cambria Math"/>
                <w:i/>
                <w:color w:val="auto"/>
                <w:sz w:val="24"/>
              </w:rPr>
            </m:ctrlPr>
          </m:den>
        </m:f>
        <m:r>
          <m:rPr/>
          <w:rPr>
            <w:rFonts w:ascii="Cambria Math" w:hAnsi="Cambria Math"/>
            <w:color w:val="auto"/>
            <w:sz w:val="24"/>
          </w:rPr>
          <m:t>×100%</m:t>
        </m:r>
      </m:oMath>
    </w:p>
    <w:p w14:paraId="51335067">
      <w:pPr>
        <w:pStyle w:val="26"/>
        <w:tabs>
          <w:tab w:val="right" w:leader="dot" w:pos="9214"/>
          <w:tab w:val="clear" w:pos="9298"/>
        </w:tabs>
        <w:jc w:val="left"/>
        <w:rPr>
          <w:rFonts w:hint="eastAsia" w:ascii="宋体" w:hAnsi="宋体" w:cs="宋体"/>
          <w:color w:val="auto"/>
          <w:szCs w:val="21"/>
        </w:rPr>
      </w:pPr>
      <w:r>
        <w:rPr>
          <w:rFonts w:hint="eastAsia" w:ascii="宋体" w:hAnsi="宋体" w:cs="宋体"/>
          <w:color w:val="auto"/>
          <w:szCs w:val="21"/>
        </w:rPr>
        <w:t>式中 M</w:t>
      </w:r>
      <w:r>
        <w:rPr>
          <w:rFonts w:hint="eastAsia" w:ascii="宋体" w:hAnsi="宋体" w:cs="宋体"/>
          <w:color w:val="auto"/>
          <w:szCs w:val="21"/>
          <w:vertAlign w:val="subscript"/>
        </w:rPr>
        <w:t>0</w:t>
      </w:r>
      <w:r>
        <w:rPr>
          <w:rFonts w:hint="eastAsia" w:ascii="宋体" w:hAnsi="宋体" w:cs="宋体"/>
          <w:color w:val="auto"/>
          <w:szCs w:val="21"/>
        </w:rPr>
        <w:t>为微球初始重量，W</w:t>
      </w:r>
      <w:r>
        <w:rPr>
          <w:rFonts w:hint="eastAsia" w:ascii="宋体" w:hAnsi="宋体" w:cs="宋体"/>
          <w:color w:val="auto"/>
          <w:szCs w:val="21"/>
          <w:vertAlign w:val="subscript"/>
        </w:rPr>
        <w:t>1</w:t>
      </w:r>
      <w:r>
        <w:rPr>
          <w:rFonts w:hint="eastAsia" w:ascii="宋体" w:hAnsi="宋体" w:cs="宋体"/>
          <w:color w:val="auto"/>
          <w:szCs w:val="21"/>
        </w:rPr>
        <w:t xml:space="preserve"> 为微球在降解试验后的重量</w:t>
      </w:r>
      <w:r>
        <w:rPr>
          <w:rFonts w:hint="eastAsia" w:hAnsi="宋体" w:cs="宋体"/>
          <w:color w:val="auto"/>
          <w:szCs w:val="21"/>
          <w:lang w:eastAsia="zh-CN"/>
        </w:rPr>
        <w:t>。</w:t>
      </w:r>
    </w:p>
    <w:p w14:paraId="7D9FA1AF">
      <w:pPr>
        <w:pStyle w:val="26"/>
        <w:tabs>
          <w:tab w:val="right" w:leader="dot" w:pos="9214"/>
        </w:tabs>
        <w:spacing w:before="157" w:beforeLines="50" w:after="157" w:afterLines="50"/>
        <w:jc w:val="left"/>
        <w:rPr>
          <w:rFonts w:hint="eastAsia" w:ascii="黑体" w:hAnsi="黑体" w:eastAsia="黑体" w:cs="黑体"/>
          <w:color w:val="auto"/>
          <w:szCs w:val="22"/>
        </w:rPr>
      </w:pPr>
      <w:r>
        <w:rPr>
          <w:rFonts w:hint="eastAsia" w:ascii="黑体" w:hAnsi="黑体" w:eastAsia="黑体" w:cs="黑体"/>
          <w:color w:val="auto"/>
          <w:szCs w:val="22"/>
        </w:rPr>
        <w:t>B.4.2 降解时间</w:t>
      </w:r>
    </w:p>
    <w:p w14:paraId="71EB7C3E">
      <w:pPr>
        <w:pStyle w:val="26"/>
        <w:tabs>
          <w:tab w:val="right" w:leader="dot" w:pos="9214"/>
          <w:tab w:val="clear" w:pos="9298"/>
        </w:tabs>
        <w:jc w:val="left"/>
        <w:rPr>
          <w:rFonts w:ascii="Times New Roman"/>
          <w:color w:val="auto"/>
          <w:szCs w:val="21"/>
        </w:rPr>
      </w:pPr>
      <w:r>
        <w:rPr>
          <w:rFonts w:hint="eastAsia" w:ascii="宋体" w:hAnsi="宋体" w:cs="宋体"/>
          <w:color w:val="auto"/>
          <w:szCs w:val="21"/>
        </w:rPr>
        <w:t>从降解开始时间到微球降解率为100%之间的时间</w:t>
      </w:r>
      <w:r>
        <w:rPr>
          <w:rFonts w:hint="eastAsia" w:ascii="Times New Roman"/>
          <w:color w:val="auto"/>
          <w:szCs w:val="21"/>
        </w:rPr>
        <w:t>。</w:t>
      </w:r>
    </w:p>
    <w:p w14:paraId="27B6FC92">
      <w:pPr>
        <w:pStyle w:val="77"/>
        <w:rPr>
          <w:color w:val="auto"/>
        </w:rPr>
      </w:pPr>
      <w:bookmarkStart w:id="99" w:name="_Toc28745"/>
      <w:bookmarkStart w:id="100" w:name="_Toc11661"/>
      <w:r>
        <w:rPr>
          <w:rFonts w:hint="eastAsia"/>
          <w:color w:val="auto"/>
        </w:rPr>
        <w:t>参</w:t>
      </w:r>
      <w:r>
        <w:rPr>
          <w:rFonts w:hAnsi="黑体"/>
          <w:color w:val="auto"/>
        </w:rPr>
        <w:t> </w:t>
      </w:r>
      <w:r>
        <w:rPr>
          <w:rFonts w:hint="eastAsia"/>
          <w:color w:val="auto"/>
        </w:rPr>
        <w:t>考</w:t>
      </w:r>
      <w:r>
        <w:rPr>
          <w:rFonts w:hAnsi="黑体"/>
          <w:color w:val="auto"/>
        </w:rPr>
        <w:t> </w:t>
      </w:r>
      <w:r>
        <w:rPr>
          <w:rFonts w:hint="eastAsia"/>
          <w:color w:val="auto"/>
        </w:rPr>
        <w:t>文</w:t>
      </w:r>
      <w:r>
        <w:rPr>
          <w:rFonts w:hAnsi="黑体"/>
          <w:color w:val="auto"/>
        </w:rPr>
        <w:t> </w:t>
      </w:r>
      <w:r>
        <w:rPr>
          <w:rFonts w:hint="eastAsia"/>
          <w:color w:val="auto"/>
        </w:rPr>
        <w:t>献</w:t>
      </w:r>
      <w:bookmarkEnd w:id="92"/>
      <w:bookmarkEnd w:id="93"/>
      <w:bookmarkEnd w:id="94"/>
      <w:bookmarkEnd w:id="95"/>
      <w:bookmarkEnd w:id="96"/>
      <w:bookmarkEnd w:id="97"/>
      <w:bookmarkEnd w:id="98"/>
      <w:bookmarkEnd w:id="99"/>
      <w:bookmarkEnd w:id="100"/>
    </w:p>
    <w:p w14:paraId="66263D68">
      <w:pPr>
        <w:widowControl/>
        <w:jc w:val="left"/>
        <w:rPr>
          <w:rFonts w:hint="eastAsia" w:ascii="宋体" w:hAnsi="宋体" w:eastAsia="宋体" w:cs="宋体"/>
          <w:color w:val="auto"/>
          <w:kern w:val="0"/>
          <w:szCs w:val="21"/>
          <w:lang w:bidi="ar"/>
        </w:rPr>
      </w:pPr>
      <w:r>
        <w:rPr>
          <w:rFonts w:hint="eastAsia" w:ascii="宋体" w:hAnsi="宋体" w:cs="宋体"/>
          <w:color w:val="auto"/>
          <w:szCs w:val="21"/>
        </w:rPr>
        <w:t>[1]</w:t>
      </w:r>
      <w:r>
        <w:rPr>
          <w:rFonts w:hint="eastAsia" w:ascii="宋体" w:hAnsi="宋体" w:cs="宋体"/>
          <w:color w:val="auto"/>
        </w:rPr>
        <w:t xml:space="preserve"> </w:t>
      </w:r>
      <w:r>
        <w:rPr>
          <w:rFonts w:hint="eastAsia" w:ascii="宋体" w:hAnsi="宋体" w:eastAsia="宋体" w:cs="宋体"/>
          <w:color w:val="auto"/>
          <w:kern w:val="0"/>
          <w:szCs w:val="21"/>
          <w:lang w:bidi="ar"/>
        </w:rPr>
        <w:t>J</w:t>
      </w:r>
      <w:r>
        <w:rPr>
          <w:rFonts w:hint="eastAsia" w:ascii="宋体" w:hAnsi="宋体" w:eastAsia="宋体" w:cs="宋体"/>
          <w:color w:val="auto"/>
          <w:kern w:val="0"/>
          <w:szCs w:val="21"/>
          <w:lang w:bidi="ar-SA"/>
        </w:rPr>
        <w:t>ae Baek Lee</w:t>
      </w:r>
      <w:r>
        <w:rPr>
          <w:rFonts w:hint="eastAsia" w:ascii="宋体" w:hAnsi="宋体" w:eastAsia="宋体" w:cs="宋体"/>
          <w:color w:val="auto"/>
          <w:kern w:val="0"/>
          <w:sz w:val="21"/>
          <w:szCs w:val="21"/>
          <w:lang w:bidi="ar-SA"/>
        </w:rPr>
        <w:t xml:space="preserve">1 </w:t>
      </w:r>
      <w:r>
        <w:rPr>
          <w:rFonts w:hint="eastAsia" w:ascii="宋体" w:hAnsi="宋体" w:eastAsia="宋体" w:cs="宋体"/>
          <w:color w:val="auto"/>
          <w:kern w:val="0"/>
          <w:szCs w:val="21"/>
          <w:lang w:bidi="ar-SA"/>
        </w:rPr>
        <w:t>, Young-Gwang Ko</w:t>
      </w:r>
      <w:r>
        <w:rPr>
          <w:rFonts w:hint="eastAsia" w:ascii="宋体" w:hAnsi="宋体" w:eastAsia="宋体" w:cs="宋体"/>
          <w:color w:val="auto"/>
          <w:kern w:val="0"/>
          <w:sz w:val="21"/>
          <w:szCs w:val="21"/>
          <w:lang w:bidi="ar-SA"/>
        </w:rPr>
        <w:t xml:space="preserve">1 </w:t>
      </w:r>
      <w:r>
        <w:rPr>
          <w:rFonts w:hint="eastAsia" w:ascii="宋体" w:hAnsi="宋体" w:eastAsia="宋体" w:cs="宋体"/>
          <w:color w:val="auto"/>
          <w:kern w:val="0"/>
          <w:szCs w:val="21"/>
          <w:lang w:bidi="ar-SA"/>
        </w:rPr>
        <w:t>,</w:t>
      </w:r>
      <w:r>
        <w:rPr>
          <w:rFonts w:hint="eastAsia" w:ascii="宋体" w:hAnsi="宋体" w:eastAsia="宋体" w:cs="宋体"/>
          <w:color w:val="auto"/>
          <w:kern w:val="0"/>
          <w:szCs w:val="21"/>
          <w:lang w:bidi="ar"/>
        </w:rPr>
        <w:t xml:space="preserve"> Donghwan Cho,Won Ho Park</w:t>
      </w:r>
      <w:r>
        <w:rPr>
          <w:rFonts w:hint="eastAsia" w:ascii="宋体" w:hAnsi="宋体" w:eastAsia="宋体" w:cs="宋体"/>
          <w:color w:val="auto"/>
          <w:kern w:val="0"/>
          <w:sz w:val="21"/>
          <w:szCs w:val="21"/>
          <w:lang w:bidi="ar"/>
        </w:rPr>
        <w:t xml:space="preserve">2 </w:t>
      </w:r>
      <w:r>
        <w:rPr>
          <w:rFonts w:hint="eastAsia" w:ascii="宋体" w:hAnsi="宋体" w:eastAsia="宋体" w:cs="宋体"/>
          <w:color w:val="auto"/>
          <w:kern w:val="0"/>
          <w:szCs w:val="21"/>
          <w:lang w:bidi="ar"/>
        </w:rPr>
        <w:t>and Oh Hyeong Kwon.</w:t>
      </w:r>
    </w:p>
    <w:p w14:paraId="410D38BD">
      <w:pPr>
        <w:widowControl/>
        <w:jc w:val="left"/>
        <w:rPr>
          <w:color w:val="auto"/>
          <w:kern w:val="0"/>
          <w:szCs w:val="21"/>
        </w:rPr>
      </w:pPr>
      <w:r>
        <w:rPr>
          <w:rFonts w:hint="eastAsia" w:ascii="宋体" w:hAnsi="宋体" w:cs="宋体"/>
          <w:color w:val="auto"/>
          <w:kern w:val="0"/>
          <w:szCs w:val="21"/>
        </w:rPr>
        <w:t>Modification and optimization of electrospun gelatin sheets by electron beam irradiation for soft tissue engineering.</w:t>
      </w:r>
      <w:r>
        <w:rPr>
          <w:rFonts w:hint="eastAsia" w:ascii="宋体" w:hAnsi="宋体" w:eastAsia="宋体" w:cs="宋体"/>
          <w:color w:val="auto"/>
          <w:kern w:val="0"/>
          <w:sz w:val="21"/>
          <w:szCs w:val="21"/>
          <w:lang w:bidi="ar-SA"/>
        </w:rPr>
        <w:t>Biomaterials Research</w:t>
      </w:r>
      <w:r>
        <w:rPr>
          <w:rFonts w:hint="eastAsia" w:ascii="宋体" w:hAnsi="宋体" w:cs="宋体"/>
          <w:color w:val="auto"/>
          <w:kern w:val="0"/>
          <w:sz w:val="21"/>
          <w:szCs w:val="21"/>
          <w:lang w:val="en-US" w:eastAsia="zh-CN" w:bidi="ar-SA"/>
        </w:rPr>
        <w:t>,</w:t>
      </w:r>
      <w:r>
        <w:rPr>
          <w:rFonts w:hint="eastAsia" w:ascii="宋体" w:hAnsi="宋体" w:eastAsia="宋体" w:cs="宋体"/>
          <w:color w:val="auto"/>
          <w:kern w:val="0"/>
          <w:sz w:val="21"/>
          <w:szCs w:val="21"/>
          <w:lang w:bidi="ar-SA"/>
        </w:rPr>
        <w:t>2017</w:t>
      </w:r>
      <w:r>
        <w:rPr>
          <w:rFonts w:hint="eastAsia" w:ascii="宋体" w:hAnsi="宋体" w:cs="宋体"/>
          <w:color w:val="auto"/>
          <w:kern w:val="0"/>
          <w:sz w:val="21"/>
          <w:szCs w:val="21"/>
          <w:lang w:val="en-US" w:eastAsia="zh-CN" w:bidi="ar-SA"/>
        </w:rPr>
        <w:t>,</w:t>
      </w:r>
      <w:r>
        <w:rPr>
          <w:rFonts w:hint="eastAsia" w:ascii="宋体" w:hAnsi="宋体" w:eastAsia="宋体" w:cs="宋体"/>
          <w:color w:val="auto"/>
          <w:kern w:val="0"/>
          <w:sz w:val="21"/>
          <w:szCs w:val="21"/>
          <w:lang w:bidi="ar-SA"/>
        </w:rPr>
        <w:t>21:14</w:t>
      </w:r>
      <w:r>
        <w:rPr>
          <w:rFonts w:hint="eastAsia" w:ascii="宋体" w:hAnsi="宋体" w:cs="宋体"/>
          <w:color w:val="auto"/>
          <w:kern w:val="0"/>
          <w:szCs w:val="21"/>
        </w:rPr>
        <w:t>.</w:t>
      </w:r>
    </w:p>
    <w:p w14:paraId="18DEA1EC">
      <w:pPr>
        <w:widowControl/>
        <w:jc w:val="left"/>
        <w:rPr>
          <w:color w:val="auto"/>
          <w:kern w:val="0"/>
          <w:szCs w:val="21"/>
        </w:rPr>
      </w:pPr>
    </w:p>
    <w:p w14:paraId="320427A2">
      <w:pPr>
        <w:pStyle w:val="26"/>
        <w:spacing w:before="156" w:after="156"/>
        <w:rPr>
          <w:rFonts w:hint="eastAsia" w:hAnsi="宋体"/>
          <w:color w:val="auto"/>
          <w:szCs w:val="21"/>
        </w:rPr>
      </w:pPr>
    </w:p>
    <w:p w14:paraId="46F7E285">
      <w:pPr>
        <w:pStyle w:val="26"/>
        <w:spacing w:before="156" w:after="156"/>
        <w:rPr>
          <w:rFonts w:hint="eastAsia" w:hAnsi="宋体"/>
          <w:color w:val="auto"/>
          <w:szCs w:val="21"/>
        </w:rPr>
      </w:pPr>
    </w:p>
    <w:p w14:paraId="2EB9D352">
      <w:pPr>
        <w:pStyle w:val="26"/>
        <w:spacing w:before="156" w:after="156"/>
        <w:rPr>
          <w:rFonts w:hint="eastAsia" w:hAnsi="宋体"/>
          <w:color w:val="auto"/>
          <w:szCs w:val="21"/>
        </w:rPr>
      </w:pPr>
      <w:r>
        <w:rPr>
          <w:rFonts w:hAnsi="宋体"/>
          <w:color w:val="auto"/>
          <w:szCs w:val="21"/>
        </w:rPr>
        <w:pict>
          <v:rect id="_x0000_i1025" o:spt="1" style="height:1.5pt;width:114.9pt;" fillcolor="#000000" filled="t" stroked="f" coordsize="21600,21600" o:hr="t" o:hrstd="t" o:hrnoshade="t" o:hrpct="250" o:hralign="center">
            <v:path/>
            <v:fill on="t" focussize="0,0"/>
            <v:stroke on="f"/>
            <v:imagedata o:title=""/>
            <o:lock v:ext="edit"/>
            <w10:wrap type="none"/>
            <w10:anchorlock/>
          </v:rect>
        </w:pict>
      </w:r>
    </w:p>
    <w:bookmarkEnd w:id="59"/>
    <w:bookmarkEnd w:id="60"/>
    <w:bookmarkEnd w:id="61"/>
    <w:bookmarkEnd w:id="62"/>
    <w:bookmarkEnd w:id="63"/>
    <w:bookmarkEnd w:id="64"/>
    <w:bookmarkEnd w:id="65"/>
    <w:bookmarkEnd w:id="66"/>
    <w:bookmarkEnd w:id="67"/>
    <w:p w14:paraId="29ECC3D0">
      <w:pPr>
        <w:pStyle w:val="26"/>
        <w:spacing w:before="156" w:after="156"/>
        <w:rPr>
          <w:vanish/>
          <w:color w:val="auto"/>
          <w:szCs w:val="21"/>
        </w:rPr>
      </w:pPr>
    </w:p>
    <w:bookmarkEnd w:id="101"/>
    <w:sectPr>
      <w:pgSz w:w="11906" w:h="16838"/>
      <w:pgMar w:top="1797" w:right="1274" w:bottom="1797" w:left="1440" w:header="1418" w:footer="1134" w:gutter="0"/>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Noto Sans SC">
    <w:panose1 w:val="020B0200000000000000"/>
    <w:charset w:val="86"/>
    <w:family w:val="swiss"/>
    <w:pitch w:val="default"/>
    <w:sig w:usb0="20000083" w:usb1="2ADF3C10" w:usb2="00000016" w:usb3="00000000" w:csb0="60060107"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B615">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9AE8C">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2B9AE8C">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2E4B">
    <w:pPr>
      <w:pStyle w:val="7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CD8B1">
                          <w:pPr>
                            <w:pStyle w:val="74"/>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BCD8B1">
                    <w:pPr>
                      <w:pStyle w:val="74"/>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F7BA5">
    <w:pPr>
      <w:pStyle w:val="49"/>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92C2C0">
                          <w:pPr>
                            <w:pStyle w:val="49"/>
                          </w:pPr>
                          <w:r>
                            <w:fldChar w:fldCharType="begin"/>
                          </w:r>
                          <w:r>
                            <w:instrText xml:space="preserve"> PAGE  \* MERGEFORMAT </w:instrText>
                          </w:r>
                          <w:r>
                            <w:fldChar w:fldCharType="separate"/>
                          </w:r>
                          <w:r>
                            <w:t>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F92C2C0">
                    <w:pPr>
                      <w:pStyle w:val="49"/>
                    </w:pPr>
                    <w:r>
                      <w:fldChar w:fldCharType="begin"/>
                    </w:r>
                    <w:r>
                      <w:instrText xml:space="preserve"> PAGE  \* MERGEFORMAT </w:instrText>
                    </w:r>
                    <w:r>
                      <w:fldChar w:fldCharType="separate"/>
                    </w:r>
                    <w:r>
                      <w:t>III</w:t>
                    </w:r>
                    <w:r>
                      <w:fldChar w:fldCharType="end"/>
                    </w:r>
                  </w:p>
                </w:txbxContent>
              </v:textbox>
            </v:shape>
          </w:pict>
        </mc:Fallback>
      </mc:AlternateContent>
    </w:r>
  </w:p>
  <w:p w14:paraId="1FF74D0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94D46">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5170"/>
                          </w:sdtPr>
                          <w:sdtContent>
                            <w:p w14:paraId="4694E76E">
                              <w:pPr>
                                <w:pStyle w:val="20"/>
                              </w:pPr>
                              <w:r>
                                <w:fldChar w:fldCharType="begin"/>
                              </w:r>
                              <w:r>
                                <w:instrText xml:space="preserve">PAGE   \* MERGEFORMAT</w:instrText>
                              </w:r>
                              <w:r>
                                <w:fldChar w:fldCharType="separate"/>
                              </w:r>
                              <w:r>
                                <w:rPr>
                                  <w:lang w:val="zh-CN"/>
                                </w:rPr>
                                <w:t>7</w:t>
                              </w:r>
                              <w:r>
                                <w:fldChar w:fldCharType="end"/>
                              </w:r>
                            </w:p>
                          </w:sdtContent>
                        </w:sdt>
                        <w:p w14:paraId="114F6CD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5170"/>
                    </w:sdtPr>
                    <w:sdtContent>
                      <w:p w14:paraId="4694E76E">
                        <w:pPr>
                          <w:pStyle w:val="20"/>
                        </w:pPr>
                        <w:r>
                          <w:fldChar w:fldCharType="begin"/>
                        </w:r>
                        <w:r>
                          <w:instrText xml:space="preserve">PAGE   \* MERGEFORMAT</w:instrText>
                        </w:r>
                        <w:r>
                          <w:fldChar w:fldCharType="separate"/>
                        </w:r>
                        <w:r>
                          <w:rPr>
                            <w:lang w:val="zh-CN"/>
                          </w:rPr>
                          <w:t>7</w:t>
                        </w:r>
                        <w:r>
                          <w:fldChar w:fldCharType="end"/>
                        </w:r>
                      </w:p>
                    </w:sdtContent>
                  </w:sdt>
                  <w:p w14:paraId="114F6CD2"/>
                </w:txbxContent>
              </v:textbox>
            </v:shape>
          </w:pict>
        </mc:Fallback>
      </mc:AlternateContent>
    </w:r>
  </w:p>
  <w:p w14:paraId="51864A20">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7D1FB">
    <w:pPr>
      <w:pStyle w:val="50"/>
    </w:pPr>
    <w:r>
      <w:t>T/CSBM 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D06D0">
    <w:pPr>
      <w:pStyle w:val="50"/>
    </w:pPr>
    <w:r>
      <w:t>T/CSBM XXXXX—XXXX</w:t>
    </w:r>
  </w:p>
  <w:p w14:paraId="6C0B517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C4EED">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E367E9"/>
    <w:multiLevelType w:val="multilevel"/>
    <w:tmpl w:val="0AE367E9"/>
    <w:lvl w:ilvl="0" w:tentative="0">
      <w:start w:val="1"/>
      <w:numFmt w:val="none"/>
      <w:pStyle w:val="157"/>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
    <w:nsid w:val="1DBF583A"/>
    <w:multiLevelType w:val="multilevel"/>
    <w:tmpl w:val="1DBF583A"/>
    <w:lvl w:ilvl="0" w:tentative="0">
      <w:start w:val="1"/>
      <w:numFmt w:val="decimal"/>
      <w:pStyle w:val="71"/>
      <w:suff w:val="nothing"/>
      <w:lvlText w:val="注%1："/>
      <w:lvlJc w:val="left"/>
      <w:pPr>
        <w:ind w:left="874" w:hanging="448"/>
      </w:pPr>
      <w:rPr>
        <w:rFonts w:hint="eastAsia" w:ascii="黑体" w:eastAsia="黑体"/>
        <w:b w:val="0"/>
        <w:i w:val="0"/>
        <w:sz w:val="18"/>
        <w:szCs w:val="18"/>
        <w:vertAlign w:val="baseline"/>
      </w:rPr>
    </w:lvl>
    <w:lvl w:ilvl="1" w:tentative="0">
      <w:start w:val="1"/>
      <w:numFmt w:val="lowerLetter"/>
      <w:lvlText w:val="%2)"/>
      <w:lvlJc w:val="left"/>
      <w:pPr>
        <w:tabs>
          <w:tab w:val="left" w:pos="-444"/>
        </w:tabs>
        <w:ind w:left="548" w:hanging="629"/>
      </w:pPr>
      <w:rPr>
        <w:rFonts w:hint="eastAsia"/>
        <w:vertAlign w:val="baseline"/>
      </w:rPr>
    </w:lvl>
    <w:lvl w:ilvl="2" w:tentative="0">
      <w:start w:val="1"/>
      <w:numFmt w:val="lowerRoman"/>
      <w:lvlText w:val="%3."/>
      <w:lvlJc w:val="right"/>
      <w:pPr>
        <w:tabs>
          <w:tab w:val="left" w:pos="-444"/>
        </w:tabs>
        <w:ind w:left="548" w:hanging="629"/>
      </w:pPr>
      <w:rPr>
        <w:rFonts w:hint="eastAsia"/>
        <w:vertAlign w:val="baseline"/>
      </w:rPr>
    </w:lvl>
    <w:lvl w:ilvl="3" w:tentative="0">
      <w:start w:val="1"/>
      <w:numFmt w:val="decimal"/>
      <w:lvlText w:val="%4."/>
      <w:lvlJc w:val="left"/>
      <w:pPr>
        <w:tabs>
          <w:tab w:val="left" w:pos="-444"/>
        </w:tabs>
        <w:ind w:left="548" w:hanging="629"/>
      </w:pPr>
      <w:rPr>
        <w:rFonts w:hint="eastAsia"/>
        <w:vertAlign w:val="baseline"/>
      </w:rPr>
    </w:lvl>
    <w:lvl w:ilvl="4" w:tentative="0">
      <w:start w:val="1"/>
      <w:numFmt w:val="lowerLetter"/>
      <w:lvlText w:val="%5)"/>
      <w:lvlJc w:val="left"/>
      <w:pPr>
        <w:tabs>
          <w:tab w:val="left" w:pos="-444"/>
        </w:tabs>
        <w:ind w:left="548" w:hanging="629"/>
      </w:pPr>
      <w:rPr>
        <w:rFonts w:hint="eastAsia"/>
        <w:vertAlign w:val="baseline"/>
      </w:rPr>
    </w:lvl>
    <w:lvl w:ilvl="5" w:tentative="0">
      <w:start w:val="1"/>
      <w:numFmt w:val="lowerRoman"/>
      <w:lvlText w:val="%6."/>
      <w:lvlJc w:val="right"/>
      <w:pPr>
        <w:tabs>
          <w:tab w:val="left" w:pos="-444"/>
        </w:tabs>
        <w:ind w:left="548" w:hanging="629"/>
      </w:pPr>
      <w:rPr>
        <w:rFonts w:hint="eastAsia"/>
        <w:vertAlign w:val="baseline"/>
      </w:rPr>
    </w:lvl>
    <w:lvl w:ilvl="6" w:tentative="0">
      <w:start w:val="1"/>
      <w:numFmt w:val="decimal"/>
      <w:lvlText w:val="%7."/>
      <w:lvlJc w:val="left"/>
      <w:pPr>
        <w:tabs>
          <w:tab w:val="left" w:pos="-444"/>
        </w:tabs>
        <w:ind w:left="548" w:hanging="629"/>
      </w:pPr>
      <w:rPr>
        <w:rFonts w:hint="eastAsia"/>
        <w:vertAlign w:val="baseline"/>
      </w:rPr>
    </w:lvl>
    <w:lvl w:ilvl="7" w:tentative="0">
      <w:start w:val="1"/>
      <w:numFmt w:val="lowerLetter"/>
      <w:lvlText w:val="%8)"/>
      <w:lvlJc w:val="left"/>
      <w:pPr>
        <w:tabs>
          <w:tab w:val="left" w:pos="-444"/>
        </w:tabs>
        <w:ind w:left="548" w:hanging="629"/>
      </w:pPr>
      <w:rPr>
        <w:rFonts w:hint="eastAsia"/>
        <w:vertAlign w:val="baseline"/>
      </w:rPr>
    </w:lvl>
    <w:lvl w:ilvl="8" w:tentative="0">
      <w:start w:val="1"/>
      <w:numFmt w:val="lowerRoman"/>
      <w:lvlText w:val="%9."/>
      <w:lvlJc w:val="right"/>
      <w:pPr>
        <w:tabs>
          <w:tab w:val="left" w:pos="-444"/>
        </w:tabs>
        <w:ind w:left="548" w:hanging="629"/>
      </w:pPr>
      <w:rPr>
        <w:rFonts w:hint="eastAsia"/>
        <w:vertAlign w:val="baseline"/>
      </w:rPr>
    </w:lvl>
  </w:abstractNum>
  <w:abstractNum w:abstractNumId="2">
    <w:nsid w:val="1FC91163"/>
    <w:multiLevelType w:val="multilevel"/>
    <w:tmpl w:val="1FC91163"/>
    <w:lvl w:ilvl="0" w:tentative="0">
      <w:start w:val="1"/>
      <w:numFmt w:val="decimal"/>
      <w:pStyle w:val="51"/>
      <w:suff w:val="nothing"/>
      <w:lvlText w:val="%1　"/>
      <w:lvlJc w:val="left"/>
      <w:pPr>
        <w:ind w:left="142" w:firstLine="0"/>
      </w:pPr>
      <w:rPr>
        <w:rFonts w:hint="eastAsia" w:ascii="黑体" w:hAnsi="Times New Roman" w:eastAsia="黑体"/>
        <w:b w:val="0"/>
        <w:i w:val="0"/>
        <w:sz w:val="21"/>
        <w:szCs w:val="21"/>
      </w:rPr>
    </w:lvl>
    <w:lvl w:ilvl="1" w:tentative="0">
      <w:start w:val="1"/>
      <w:numFmt w:val="decimal"/>
      <w:pStyle w:val="48"/>
      <w:suff w:val="nothing"/>
      <w:lvlText w:val="%1.%2　"/>
      <w:lvlJc w:val="left"/>
      <w:pPr>
        <w:ind w:left="567"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14:shadow w14:blurRad="0" w14:dist="0" w14:dir="0" w14:sx="0" w14:sy="0" w14:kx="0" w14:ky="0" w14:algn="none">
          <w14:srgbClr w14:val="000000"/>
        </w14:shadow>
      </w:rPr>
    </w:lvl>
    <w:lvl w:ilvl="2" w:tentative="0">
      <w:start w:val="1"/>
      <w:numFmt w:val="decimal"/>
      <w:pStyle w:val="52"/>
      <w:suff w:val="nothing"/>
      <w:lvlText w:val="%1.%2.%3　"/>
      <w:lvlJc w:val="left"/>
      <w:pPr>
        <w:ind w:left="2553" w:firstLine="0"/>
      </w:pPr>
      <w:rPr>
        <w:rFonts w:hint="eastAsia" w:ascii="黑体" w:hAnsi="Times New Roman" w:eastAsia="黑体"/>
        <w:b w:val="0"/>
        <w:i w:val="0"/>
        <w:sz w:val="21"/>
      </w:rPr>
    </w:lvl>
    <w:lvl w:ilvl="3" w:tentative="0">
      <w:start w:val="1"/>
      <w:numFmt w:val="decimal"/>
      <w:pStyle w:val="57"/>
      <w:suff w:val="nothing"/>
      <w:lvlText w:val="%1.%2.%3.%4　"/>
      <w:lvlJc w:val="left"/>
      <w:pPr>
        <w:ind w:left="426" w:firstLine="0"/>
      </w:pPr>
      <w:rPr>
        <w:rFonts w:hint="eastAsia" w:ascii="黑体" w:hAnsi="Times New Roman" w:eastAsia="黑体"/>
        <w:b w:val="0"/>
        <w:i w:val="0"/>
        <w:sz w:val="21"/>
      </w:rPr>
    </w:lvl>
    <w:lvl w:ilvl="4" w:tentative="0">
      <w:start w:val="1"/>
      <w:numFmt w:val="decimal"/>
      <w:pStyle w:val="61"/>
      <w:suff w:val="nothing"/>
      <w:lvlText w:val="%1.%2.%3.%4.%5　"/>
      <w:lvlJc w:val="left"/>
      <w:pPr>
        <w:ind w:left="142" w:firstLine="0"/>
      </w:pPr>
      <w:rPr>
        <w:rFonts w:hint="eastAsia" w:ascii="黑体" w:hAnsi="Times New Roman" w:eastAsia="黑体"/>
        <w:b w:val="0"/>
        <w:i w:val="0"/>
        <w:sz w:val="21"/>
      </w:rPr>
    </w:lvl>
    <w:lvl w:ilvl="5" w:tentative="0">
      <w:start w:val="1"/>
      <w:numFmt w:val="decimal"/>
      <w:pStyle w:val="62"/>
      <w:suff w:val="nothing"/>
      <w:lvlText w:val="%1.%2.%3.%4.%5.%6　"/>
      <w:lvlJc w:val="left"/>
      <w:pPr>
        <w:ind w:left="142" w:firstLine="0"/>
      </w:pPr>
      <w:rPr>
        <w:rFonts w:hint="eastAsia" w:ascii="黑体" w:hAnsi="Times New Roman" w:eastAsia="黑体"/>
        <w:b w:val="0"/>
        <w:i w:val="0"/>
        <w:sz w:val="21"/>
      </w:rPr>
    </w:lvl>
    <w:lvl w:ilvl="6" w:tentative="0">
      <w:start w:val="1"/>
      <w:numFmt w:val="decimal"/>
      <w:suff w:val="nothing"/>
      <w:lvlText w:val="%1%2.%3.%4.%5.%6.%7　"/>
      <w:lvlJc w:val="left"/>
      <w:pPr>
        <w:ind w:left="142" w:firstLine="0"/>
      </w:pPr>
      <w:rPr>
        <w:rFonts w:hint="eastAsia" w:ascii="黑体" w:hAnsi="Times New Roman" w:eastAsia="黑体"/>
        <w:b w:val="0"/>
        <w:i w:val="0"/>
        <w:sz w:val="21"/>
      </w:rPr>
    </w:lvl>
    <w:lvl w:ilvl="7" w:tentative="0">
      <w:start w:val="1"/>
      <w:numFmt w:val="decimal"/>
      <w:lvlText w:val="%1.%2.%3.%4.%5.%6.%7.%8"/>
      <w:lvlJc w:val="left"/>
      <w:pPr>
        <w:tabs>
          <w:tab w:val="left" w:pos="4493"/>
        </w:tabs>
        <w:ind w:left="4111" w:hanging="1418"/>
      </w:pPr>
      <w:rPr>
        <w:rFonts w:hint="eastAsia"/>
      </w:rPr>
    </w:lvl>
    <w:lvl w:ilvl="8" w:tentative="0">
      <w:start w:val="1"/>
      <w:numFmt w:val="decimal"/>
      <w:lvlText w:val="%1.%2.%3.%4.%5.%6.%7.%8.%9"/>
      <w:lvlJc w:val="left"/>
      <w:pPr>
        <w:tabs>
          <w:tab w:val="left" w:pos="4919"/>
        </w:tabs>
        <w:ind w:left="4819" w:hanging="1700"/>
      </w:pPr>
      <w:rPr>
        <w:rFonts w:hint="eastAsia"/>
      </w:rPr>
    </w:lvl>
  </w:abstractNum>
  <w:abstractNum w:abstractNumId="3">
    <w:nsid w:val="2A8F7113"/>
    <w:multiLevelType w:val="multilevel"/>
    <w:tmpl w:val="2A8F7113"/>
    <w:lvl w:ilvl="0" w:tentative="0">
      <w:start w:val="1"/>
      <w:numFmt w:val="upperLetter"/>
      <w:pStyle w:val="105"/>
      <w:suff w:val="space"/>
      <w:lvlText w:val="%1"/>
      <w:lvlJc w:val="left"/>
      <w:pPr>
        <w:ind w:left="623" w:hanging="425"/>
      </w:pPr>
      <w:rPr>
        <w:rFonts w:hint="eastAsia"/>
      </w:rPr>
    </w:lvl>
    <w:lvl w:ilvl="1" w:tentative="0">
      <w:start w:val="1"/>
      <w:numFmt w:val="decimal"/>
      <w:pStyle w:val="106"/>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4">
    <w:nsid w:val="2C5917C3"/>
    <w:multiLevelType w:val="multilevel"/>
    <w:tmpl w:val="2C5917C3"/>
    <w:lvl w:ilvl="0" w:tentative="0">
      <w:start w:val="1"/>
      <w:numFmt w:val="none"/>
      <w:suff w:val="nothing"/>
      <w:lvlText w:val="%1——"/>
      <w:lvlJc w:val="left"/>
      <w:pPr>
        <w:ind w:left="833" w:hanging="408"/>
      </w:pPr>
      <w:rPr>
        <w:rFonts w:hint="eastAsia"/>
      </w:rPr>
    </w:lvl>
    <w:lvl w:ilvl="1" w:tentative="0">
      <w:start w:val="1"/>
      <w:numFmt w:val="bullet"/>
      <w:pStyle w:val="55"/>
      <w:lvlText w:val=""/>
      <w:lvlJc w:val="left"/>
      <w:pPr>
        <w:tabs>
          <w:tab w:val="left" w:pos="760"/>
        </w:tabs>
        <w:ind w:left="1264" w:hanging="413"/>
      </w:pPr>
      <w:rPr>
        <w:rFonts w:hint="default" w:ascii="Symbol" w:hAnsi="Symbol"/>
        <w:color w:val="auto"/>
      </w:rPr>
    </w:lvl>
    <w:lvl w:ilvl="2" w:tentative="0">
      <w:start w:val="1"/>
      <w:numFmt w:val="bullet"/>
      <w:pStyle w:val="6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5">
    <w:nsid w:val="3D733618"/>
    <w:multiLevelType w:val="multilevel"/>
    <w:tmpl w:val="3D733618"/>
    <w:lvl w:ilvl="0" w:tentative="0">
      <w:start w:val="1"/>
      <w:numFmt w:val="decimal"/>
      <w:pStyle w:val="27"/>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6">
    <w:nsid w:val="44C50F90"/>
    <w:multiLevelType w:val="multilevel"/>
    <w:tmpl w:val="44C50F90"/>
    <w:lvl w:ilvl="0" w:tentative="0">
      <w:start w:val="1"/>
      <w:numFmt w:val="lowerLetter"/>
      <w:pStyle w:val="65"/>
      <w:lvlText w:val="%1)"/>
      <w:lvlJc w:val="left"/>
      <w:pPr>
        <w:tabs>
          <w:tab w:val="left" w:pos="840"/>
        </w:tabs>
        <w:ind w:left="839" w:hanging="419"/>
      </w:pPr>
      <w:rPr>
        <w:rFonts w:hint="eastAsia" w:ascii="宋体" w:eastAsia="宋体"/>
        <w:b w:val="0"/>
        <w:i w:val="0"/>
        <w:sz w:val="21"/>
        <w:szCs w:val="21"/>
      </w:rPr>
    </w:lvl>
    <w:lvl w:ilvl="1" w:tentative="0">
      <w:start w:val="1"/>
      <w:numFmt w:val="decimal"/>
      <w:pStyle w:val="60"/>
      <w:lvlText w:val="%2)"/>
      <w:lvlJc w:val="left"/>
      <w:pPr>
        <w:tabs>
          <w:tab w:val="left" w:pos="1260"/>
        </w:tabs>
        <w:ind w:left="1259" w:hanging="419"/>
      </w:pPr>
      <w:rPr>
        <w:rFonts w:hint="eastAsia"/>
      </w:rPr>
    </w:lvl>
    <w:lvl w:ilvl="2" w:tentative="0">
      <w:start w:val="1"/>
      <w:numFmt w:val="decimal"/>
      <w:pStyle w:val="67"/>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7">
    <w:nsid w:val="60B55DC2"/>
    <w:multiLevelType w:val="multilevel"/>
    <w:tmpl w:val="60B55DC2"/>
    <w:lvl w:ilvl="0" w:tentative="0">
      <w:start w:val="1"/>
      <w:numFmt w:val="upperLetter"/>
      <w:pStyle w:val="93"/>
      <w:lvlText w:val="%1"/>
      <w:lvlJc w:val="left"/>
      <w:pPr>
        <w:tabs>
          <w:tab w:val="left" w:pos="0"/>
        </w:tabs>
        <w:ind w:left="0" w:hanging="425"/>
      </w:pPr>
      <w:rPr>
        <w:rFonts w:hint="eastAsia"/>
      </w:rPr>
    </w:lvl>
    <w:lvl w:ilvl="1" w:tentative="0">
      <w:start w:val="1"/>
      <w:numFmt w:val="decimal"/>
      <w:pStyle w:val="94"/>
      <w:suff w:val="nothing"/>
      <w:lvlText w:val="表%1.%2　"/>
      <w:lvlJc w:val="left"/>
      <w:pPr>
        <w:ind w:left="3402"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8">
    <w:nsid w:val="657D3FBC"/>
    <w:multiLevelType w:val="multilevel"/>
    <w:tmpl w:val="657D3FBC"/>
    <w:lvl w:ilvl="0" w:tentative="0">
      <w:start w:val="1"/>
      <w:numFmt w:val="upperLetter"/>
      <w:pStyle w:val="91"/>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109"/>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0"/>
      <w:suff w:val="nothing"/>
      <w:lvlText w:val="%1.%2.%3　"/>
      <w:lvlJc w:val="left"/>
      <w:pPr>
        <w:ind w:left="0" w:firstLine="0"/>
      </w:pPr>
      <w:rPr>
        <w:rFonts w:hint="eastAsia" w:ascii="黑体" w:hAnsi="Times New Roman" w:eastAsia="黑体"/>
        <w:b w:val="0"/>
        <w:i w:val="0"/>
        <w:sz w:val="21"/>
      </w:rPr>
    </w:lvl>
    <w:lvl w:ilvl="3" w:tentative="0">
      <w:start w:val="1"/>
      <w:numFmt w:val="decimal"/>
      <w:pStyle w:val="95"/>
      <w:suff w:val="nothing"/>
      <w:lvlText w:val="%1.%2.%3.%4　"/>
      <w:lvlJc w:val="left"/>
      <w:pPr>
        <w:ind w:left="0" w:firstLine="0"/>
      </w:pPr>
      <w:rPr>
        <w:rFonts w:hint="eastAsia" w:ascii="黑体" w:hAnsi="Times New Roman" w:eastAsia="黑体"/>
        <w:b w:val="0"/>
        <w:i w:val="0"/>
        <w:sz w:val="21"/>
      </w:rPr>
    </w:lvl>
    <w:lvl w:ilvl="4" w:tentative="0">
      <w:start w:val="1"/>
      <w:numFmt w:val="decimal"/>
      <w:pStyle w:val="100"/>
      <w:suff w:val="nothing"/>
      <w:lvlText w:val="%1.%2.%3.%4.%5　"/>
      <w:lvlJc w:val="left"/>
      <w:pPr>
        <w:ind w:left="0" w:firstLine="0"/>
      </w:pPr>
      <w:rPr>
        <w:rFonts w:hint="eastAsia" w:ascii="黑体" w:hAnsi="Times New Roman" w:eastAsia="黑体"/>
        <w:b w:val="0"/>
        <w:i w:val="0"/>
        <w:sz w:val="21"/>
      </w:rPr>
    </w:lvl>
    <w:lvl w:ilvl="5" w:tentative="0">
      <w:start w:val="1"/>
      <w:numFmt w:val="decimal"/>
      <w:pStyle w:val="103"/>
      <w:suff w:val="nothing"/>
      <w:lvlText w:val="%1.%2.%3.%4.%5.%6　"/>
      <w:lvlJc w:val="left"/>
      <w:pPr>
        <w:ind w:left="0" w:firstLine="0"/>
      </w:pPr>
      <w:rPr>
        <w:rFonts w:hint="eastAsia" w:ascii="黑体" w:hAnsi="Times New Roman" w:eastAsia="黑体"/>
        <w:b w:val="0"/>
        <w:i w:val="0"/>
        <w:sz w:val="21"/>
      </w:rPr>
    </w:lvl>
    <w:lvl w:ilvl="6" w:tentative="0">
      <w:start w:val="1"/>
      <w:numFmt w:val="decimal"/>
      <w:pStyle w:val="10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6D6C07CD"/>
    <w:multiLevelType w:val="multilevel"/>
    <w:tmpl w:val="6D6C07CD"/>
    <w:lvl w:ilvl="0" w:tentative="0">
      <w:start w:val="1"/>
      <w:numFmt w:val="lowerLetter"/>
      <w:pStyle w:val="112"/>
      <w:lvlText w:val="%1)"/>
      <w:lvlJc w:val="left"/>
      <w:pPr>
        <w:tabs>
          <w:tab w:val="left" w:pos="839"/>
        </w:tabs>
        <w:ind w:left="839" w:hanging="419"/>
      </w:pPr>
      <w:rPr>
        <w:rFonts w:hint="eastAsia" w:ascii="宋体" w:eastAsia="宋体"/>
        <w:b w:val="0"/>
        <w:i w:val="0"/>
        <w:sz w:val="21"/>
      </w:rPr>
    </w:lvl>
    <w:lvl w:ilvl="1" w:tentative="0">
      <w:start w:val="1"/>
      <w:numFmt w:val="decimal"/>
      <w:pStyle w:val="102"/>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0">
    <w:nsid w:val="6DBF04F4"/>
    <w:multiLevelType w:val="multilevel"/>
    <w:tmpl w:val="6DBF04F4"/>
    <w:lvl w:ilvl="0" w:tentative="0">
      <w:start w:val="1"/>
      <w:numFmt w:val="none"/>
      <w:pStyle w:val="63"/>
      <w:suff w:val="nothing"/>
      <w:lvlText w:val="%1注："/>
      <w:lvlJc w:val="left"/>
      <w:pPr>
        <w:ind w:left="2348" w:hanging="363"/>
      </w:pPr>
      <w:rPr>
        <w:rFonts w:hint="eastAsia" w:ascii="黑体" w:hAnsi="Times New Roman" w:eastAsia="黑体"/>
        <w:b w:val="0"/>
        <w:i w:val="0"/>
        <w:sz w:val="21"/>
        <w:szCs w:val="21"/>
        <w:lang w:val="en-US"/>
      </w:rPr>
    </w:lvl>
    <w:lvl w:ilvl="1" w:tentative="0">
      <w:start w:val="1"/>
      <w:numFmt w:val="lowerLetter"/>
      <w:lvlText w:val="%2)"/>
      <w:lvlJc w:val="left"/>
      <w:pPr>
        <w:tabs>
          <w:tab w:val="left" w:pos="3786"/>
        </w:tabs>
        <w:ind w:left="3372" w:hanging="363"/>
      </w:pPr>
      <w:rPr>
        <w:rFonts w:hint="eastAsia"/>
      </w:rPr>
    </w:lvl>
    <w:lvl w:ilvl="2" w:tentative="0">
      <w:start w:val="1"/>
      <w:numFmt w:val="lowerRoman"/>
      <w:lvlText w:val="%3."/>
      <w:lvlJc w:val="right"/>
      <w:pPr>
        <w:tabs>
          <w:tab w:val="left" w:pos="3786"/>
        </w:tabs>
        <w:ind w:left="3372" w:hanging="363"/>
      </w:pPr>
      <w:rPr>
        <w:rFonts w:hint="eastAsia"/>
      </w:rPr>
    </w:lvl>
    <w:lvl w:ilvl="3" w:tentative="0">
      <w:start w:val="1"/>
      <w:numFmt w:val="decimal"/>
      <w:lvlText w:val="%4."/>
      <w:lvlJc w:val="left"/>
      <w:pPr>
        <w:tabs>
          <w:tab w:val="left" w:pos="3786"/>
        </w:tabs>
        <w:ind w:left="3372" w:hanging="363"/>
      </w:pPr>
      <w:rPr>
        <w:rFonts w:hint="eastAsia"/>
      </w:rPr>
    </w:lvl>
    <w:lvl w:ilvl="4" w:tentative="0">
      <w:start w:val="1"/>
      <w:numFmt w:val="lowerLetter"/>
      <w:lvlText w:val="%5)"/>
      <w:lvlJc w:val="left"/>
      <w:pPr>
        <w:tabs>
          <w:tab w:val="left" w:pos="3786"/>
        </w:tabs>
        <w:ind w:left="3372" w:hanging="363"/>
      </w:pPr>
      <w:rPr>
        <w:rFonts w:hint="eastAsia"/>
      </w:rPr>
    </w:lvl>
    <w:lvl w:ilvl="5" w:tentative="0">
      <w:start w:val="1"/>
      <w:numFmt w:val="lowerRoman"/>
      <w:lvlText w:val="%6."/>
      <w:lvlJc w:val="right"/>
      <w:pPr>
        <w:tabs>
          <w:tab w:val="left" w:pos="3786"/>
        </w:tabs>
        <w:ind w:left="3372" w:hanging="363"/>
      </w:pPr>
      <w:rPr>
        <w:rFonts w:hint="eastAsia"/>
      </w:rPr>
    </w:lvl>
    <w:lvl w:ilvl="6" w:tentative="0">
      <w:start w:val="1"/>
      <w:numFmt w:val="decimal"/>
      <w:lvlText w:val="%7."/>
      <w:lvlJc w:val="left"/>
      <w:pPr>
        <w:tabs>
          <w:tab w:val="left" w:pos="3786"/>
        </w:tabs>
        <w:ind w:left="3372" w:hanging="363"/>
      </w:pPr>
      <w:rPr>
        <w:rFonts w:hint="eastAsia"/>
      </w:rPr>
    </w:lvl>
    <w:lvl w:ilvl="7" w:tentative="0">
      <w:start w:val="1"/>
      <w:numFmt w:val="lowerLetter"/>
      <w:lvlText w:val="%8)"/>
      <w:lvlJc w:val="left"/>
      <w:pPr>
        <w:tabs>
          <w:tab w:val="left" w:pos="3786"/>
        </w:tabs>
        <w:ind w:left="3372" w:hanging="363"/>
      </w:pPr>
      <w:rPr>
        <w:rFonts w:hint="eastAsia"/>
      </w:rPr>
    </w:lvl>
    <w:lvl w:ilvl="8" w:tentative="0">
      <w:start w:val="1"/>
      <w:numFmt w:val="lowerRoman"/>
      <w:lvlText w:val="%9."/>
      <w:lvlJc w:val="right"/>
      <w:pPr>
        <w:tabs>
          <w:tab w:val="left" w:pos="3786"/>
        </w:tabs>
        <w:ind w:left="3372" w:hanging="363"/>
      </w:pPr>
      <w:rPr>
        <w:rFonts w:hint="eastAsia"/>
      </w:rPr>
    </w:lvl>
  </w:abstractNum>
  <w:abstractNum w:abstractNumId="11">
    <w:nsid w:val="76933334"/>
    <w:multiLevelType w:val="multilevel"/>
    <w:tmpl w:val="76933334"/>
    <w:lvl w:ilvl="0" w:tentative="0">
      <w:start w:val="1"/>
      <w:numFmt w:val="none"/>
      <w:pStyle w:val="5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2"/>
  </w:num>
  <w:num w:numId="3">
    <w:abstractNumId w:val="11"/>
  </w:num>
  <w:num w:numId="4">
    <w:abstractNumId w:val="4"/>
  </w:num>
  <w:num w:numId="5">
    <w:abstractNumId w:val="6"/>
  </w:num>
  <w:num w:numId="6">
    <w:abstractNumId w:val="10"/>
  </w:num>
  <w:num w:numId="7">
    <w:abstractNumId w:val="1"/>
  </w:num>
  <w:num w:numId="8">
    <w:abstractNumId w:val="8"/>
  </w:num>
  <w:num w:numId="9">
    <w:abstractNumId w:val="7"/>
  </w:num>
  <w:num w:numId="10">
    <w:abstractNumId w:val="9"/>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030D"/>
    <w:rsid w:val="000008AB"/>
    <w:rsid w:val="0000185F"/>
    <w:rsid w:val="00003DCF"/>
    <w:rsid w:val="000046A1"/>
    <w:rsid w:val="0000586F"/>
    <w:rsid w:val="0001066F"/>
    <w:rsid w:val="00011406"/>
    <w:rsid w:val="00012236"/>
    <w:rsid w:val="00012B2D"/>
    <w:rsid w:val="00013D86"/>
    <w:rsid w:val="00013E02"/>
    <w:rsid w:val="0001452A"/>
    <w:rsid w:val="000147A8"/>
    <w:rsid w:val="00015E59"/>
    <w:rsid w:val="00015FA2"/>
    <w:rsid w:val="00017988"/>
    <w:rsid w:val="00020BB7"/>
    <w:rsid w:val="0002143C"/>
    <w:rsid w:val="00023888"/>
    <w:rsid w:val="00025754"/>
    <w:rsid w:val="00025A65"/>
    <w:rsid w:val="00025D16"/>
    <w:rsid w:val="00026771"/>
    <w:rsid w:val="00026C31"/>
    <w:rsid w:val="00026D83"/>
    <w:rsid w:val="00027280"/>
    <w:rsid w:val="00030A8E"/>
    <w:rsid w:val="000320A7"/>
    <w:rsid w:val="000321DD"/>
    <w:rsid w:val="00032DCA"/>
    <w:rsid w:val="00034BE4"/>
    <w:rsid w:val="0003568B"/>
    <w:rsid w:val="00035925"/>
    <w:rsid w:val="00036A48"/>
    <w:rsid w:val="000371C2"/>
    <w:rsid w:val="00041566"/>
    <w:rsid w:val="00041B4E"/>
    <w:rsid w:val="00042008"/>
    <w:rsid w:val="00042027"/>
    <w:rsid w:val="00042C00"/>
    <w:rsid w:val="00044EFA"/>
    <w:rsid w:val="00050070"/>
    <w:rsid w:val="000508FD"/>
    <w:rsid w:val="00051637"/>
    <w:rsid w:val="00052008"/>
    <w:rsid w:val="0005228E"/>
    <w:rsid w:val="0005385A"/>
    <w:rsid w:val="0005462F"/>
    <w:rsid w:val="000550EF"/>
    <w:rsid w:val="00056878"/>
    <w:rsid w:val="00057D09"/>
    <w:rsid w:val="00062235"/>
    <w:rsid w:val="00064D9C"/>
    <w:rsid w:val="00064E9A"/>
    <w:rsid w:val="0006651D"/>
    <w:rsid w:val="00066FCC"/>
    <w:rsid w:val="00067665"/>
    <w:rsid w:val="00067CDF"/>
    <w:rsid w:val="00072004"/>
    <w:rsid w:val="00072622"/>
    <w:rsid w:val="00073E51"/>
    <w:rsid w:val="00074CA8"/>
    <w:rsid w:val="00074F03"/>
    <w:rsid w:val="00074FBE"/>
    <w:rsid w:val="00077269"/>
    <w:rsid w:val="00080742"/>
    <w:rsid w:val="00080BB5"/>
    <w:rsid w:val="00083A09"/>
    <w:rsid w:val="00084F83"/>
    <w:rsid w:val="00085BB9"/>
    <w:rsid w:val="00086B0B"/>
    <w:rsid w:val="0009005E"/>
    <w:rsid w:val="00092857"/>
    <w:rsid w:val="00095385"/>
    <w:rsid w:val="00096585"/>
    <w:rsid w:val="00096FCF"/>
    <w:rsid w:val="00097C16"/>
    <w:rsid w:val="000A073B"/>
    <w:rsid w:val="000A20A9"/>
    <w:rsid w:val="000A48B1"/>
    <w:rsid w:val="000A57B9"/>
    <w:rsid w:val="000A587E"/>
    <w:rsid w:val="000A59E5"/>
    <w:rsid w:val="000B15CB"/>
    <w:rsid w:val="000B3143"/>
    <w:rsid w:val="000B4943"/>
    <w:rsid w:val="000B4966"/>
    <w:rsid w:val="000B5192"/>
    <w:rsid w:val="000B5A31"/>
    <w:rsid w:val="000B5EFC"/>
    <w:rsid w:val="000B75AF"/>
    <w:rsid w:val="000B7ED2"/>
    <w:rsid w:val="000B7F3E"/>
    <w:rsid w:val="000C0E22"/>
    <w:rsid w:val="000C2718"/>
    <w:rsid w:val="000C2DBC"/>
    <w:rsid w:val="000C2E3F"/>
    <w:rsid w:val="000C3290"/>
    <w:rsid w:val="000C494F"/>
    <w:rsid w:val="000C5CD2"/>
    <w:rsid w:val="000C5FEE"/>
    <w:rsid w:val="000C6A75"/>
    <w:rsid w:val="000C6B05"/>
    <w:rsid w:val="000C6DD6"/>
    <w:rsid w:val="000C6E6C"/>
    <w:rsid w:val="000C70D6"/>
    <w:rsid w:val="000C7357"/>
    <w:rsid w:val="000C73D4"/>
    <w:rsid w:val="000C766A"/>
    <w:rsid w:val="000C7AFB"/>
    <w:rsid w:val="000D0892"/>
    <w:rsid w:val="000D0E9F"/>
    <w:rsid w:val="000D1C26"/>
    <w:rsid w:val="000D333A"/>
    <w:rsid w:val="000D3D4C"/>
    <w:rsid w:val="000D4F51"/>
    <w:rsid w:val="000D6069"/>
    <w:rsid w:val="000D698F"/>
    <w:rsid w:val="000D6FD9"/>
    <w:rsid w:val="000D718B"/>
    <w:rsid w:val="000E0C46"/>
    <w:rsid w:val="000E3043"/>
    <w:rsid w:val="000E31AE"/>
    <w:rsid w:val="000E33E2"/>
    <w:rsid w:val="000E3F8F"/>
    <w:rsid w:val="000E47C6"/>
    <w:rsid w:val="000E5126"/>
    <w:rsid w:val="000E76D5"/>
    <w:rsid w:val="000F030C"/>
    <w:rsid w:val="000F129C"/>
    <w:rsid w:val="000F2442"/>
    <w:rsid w:val="000F2852"/>
    <w:rsid w:val="000F300B"/>
    <w:rsid w:val="000F446B"/>
    <w:rsid w:val="000F49FF"/>
    <w:rsid w:val="000F6634"/>
    <w:rsid w:val="000F7508"/>
    <w:rsid w:val="00100A40"/>
    <w:rsid w:val="00100A6E"/>
    <w:rsid w:val="001016A7"/>
    <w:rsid w:val="001029E4"/>
    <w:rsid w:val="0010481D"/>
    <w:rsid w:val="001056DE"/>
    <w:rsid w:val="00107118"/>
    <w:rsid w:val="00107654"/>
    <w:rsid w:val="00107AD1"/>
    <w:rsid w:val="001107EE"/>
    <w:rsid w:val="001120CA"/>
    <w:rsid w:val="00112392"/>
    <w:rsid w:val="00112394"/>
    <w:rsid w:val="001124C0"/>
    <w:rsid w:val="001127E8"/>
    <w:rsid w:val="001137B5"/>
    <w:rsid w:val="00113A5C"/>
    <w:rsid w:val="00113B10"/>
    <w:rsid w:val="00114E73"/>
    <w:rsid w:val="00115D10"/>
    <w:rsid w:val="001161CA"/>
    <w:rsid w:val="00120F0C"/>
    <w:rsid w:val="001218AC"/>
    <w:rsid w:val="001225A2"/>
    <w:rsid w:val="001226A7"/>
    <w:rsid w:val="00123C8F"/>
    <w:rsid w:val="00123E9B"/>
    <w:rsid w:val="00123EA2"/>
    <w:rsid w:val="00123F5E"/>
    <w:rsid w:val="0012485C"/>
    <w:rsid w:val="00125EFE"/>
    <w:rsid w:val="001314E2"/>
    <w:rsid w:val="0013175F"/>
    <w:rsid w:val="00131B57"/>
    <w:rsid w:val="00131DBE"/>
    <w:rsid w:val="001329F8"/>
    <w:rsid w:val="00132EBE"/>
    <w:rsid w:val="00136156"/>
    <w:rsid w:val="00137E33"/>
    <w:rsid w:val="00140320"/>
    <w:rsid w:val="00140994"/>
    <w:rsid w:val="00141D62"/>
    <w:rsid w:val="001442D1"/>
    <w:rsid w:val="00145A4A"/>
    <w:rsid w:val="00147321"/>
    <w:rsid w:val="001512B4"/>
    <w:rsid w:val="00151307"/>
    <w:rsid w:val="001517BB"/>
    <w:rsid w:val="00152529"/>
    <w:rsid w:val="0015603C"/>
    <w:rsid w:val="001576C1"/>
    <w:rsid w:val="00157924"/>
    <w:rsid w:val="001620A5"/>
    <w:rsid w:val="001624B7"/>
    <w:rsid w:val="00162F05"/>
    <w:rsid w:val="00163621"/>
    <w:rsid w:val="00164376"/>
    <w:rsid w:val="00164E53"/>
    <w:rsid w:val="00165460"/>
    <w:rsid w:val="001660E5"/>
    <w:rsid w:val="0016699D"/>
    <w:rsid w:val="00170A51"/>
    <w:rsid w:val="0017246F"/>
    <w:rsid w:val="001733FD"/>
    <w:rsid w:val="00174301"/>
    <w:rsid w:val="001744CD"/>
    <w:rsid w:val="00174A2C"/>
    <w:rsid w:val="00175159"/>
    <w:rsid w:val="00175FDB"/>
    <w:rsid w:val="00176208"/>
    <w:rsid w:val="0017634D"/>
    <w:rsid w:val="00176610"/>
    <w:rsid w:val="001767C7"/>
    <w:rsid w:val="00180C60"/>
    <w:rsid w:val="001819C4"/>
    <w:rsid w:val="0018211B"/>
    <w:rsid w:val="001829F7"/>
    <w:rsid w:val="00183316"/>
    <w:rsid w:val="00183404"/>
    <w:rsid w:val="00183720"/>
    <w:rsid w:val="001840D3"/>
    <w:rsid w:val="00184BB0"/>
    <w:rsid w:val="00184F45"/>
    <w:rsid w:val="001859B5"/>
    <w:rsid w:val="001860CE"/>
    <w:rsid w:val="00186156"/>
    <w:rsid w:val="001874F2"/>
    <w:rsid w:val="00187520"/>
    <w:rsid w:val="001875C2"/>
    <w:rsid w:val="00187E3E"/>
    <w:rsid w:val="001900F8"/>
    <w:rsid w:val="001902DE"/>
    <w:rsid w:val="00191258"/>
    <w:rsid w:val="00191D09"/>
    <w:rsid w:val="00192680"/>
    <w:rsid w:val="0019284B"/>
    <w:rsid w:val="00193037"/>
    <w:rsid w:val="001938C7"/>
    <w:rsid w:val="00193A2C"/>
    <w:rsid w:val="00193AB2"/>
    <w:rsid w:val="00193C13"/>
    <w:rsid w:val="001940B0"/>
    <w:rsid w:val="00196A4A"/>
    <w:rsid w:val="001A1B13"/>
    <w:rsid w:val="001A288E"/>
    <w:rsid w:val="001A4775"/>
    <w:rsid w:val="001B057F"/>
    <w:rsid w:val="001B2469"/>
    <w:rsid w:val="001B2A84"/>
    <w:rsid w:val="001B338B"/>
    <w:rsid w:val="001B35A4"/>
    <w:rsid w:val="001B3EFF"/>
    <w:rsid w:val="001B43D3"/>
    <w:rsid w:val="001B4608"/>
    <w:rsid w:val="001B63F4"/>
    <w:rsid w:val="001B6DC2"/>
    <w:rsid w:val="001B6E4B"/>
    <w:rsid w:val="001B784A"/>
    <w:rsid w:val="001B7C37"/>
    <w:rsid w:val="001B7ED5"/>
    <w:rsid w:val="001B7FAD"/>
    <w:rsid w:val="001C149C"/>
    <w:rsid w:val="001C21AC"/>
    <w:rsid w:val="001C3513"/>
    <w:rsid w:val="001C3BA9"/>
    <w:rsid w:val="001C4282"/>
    <w:rsid w:val="001C478D"/>
    <w:rsid w:val="001C47BA"/>
    <w:rsid w:val="001C58CA"/>
    <w:rsid w:val="001C59EA"/>
    <w:rsid w:val="001C5A84"/>
    <w:rsid w:val="001C5DE1"/>
    <w:rsid w:val="001C77C3"/>
    <w:rsid w:val="001C7DFF"/>
    <w:rsid w:val="001D020C"/>
    <w:rsid w:val="001D0A45"/>
    <w:rsid w:val="001D1AD0"/>
    <w:rsid w:val="001D1C97"/>
    <w:rsid w:val="001D406C"/>
    <w:rsid w:val="001D41EE"/>
    <w:rsid w:val="001D5189"/>
    <w:rsid w:val="001D56F5"/>
    <w:rsid w:val="001D5978"/>
    <w:rsid w:val="001D62C9"/>
    <w:rsid w:val="001D7036"/>
    <w:rsid w:val="001D75AC"/>
    <w:rsid w:val="001D7830"/>
    <w:rsid w:val="001E0380"/>
    <w:rsid w:val="001E1242"/>
    <w:rsid w:val="001E13B1"/>
    <w:rsid w:val="001E4B97"/>
    <w:rsid w:val="001E5094"/>
    <w:rsid w:val="001E54F1"/>
    <w:rsid w:val="001E677E"/>
    <w:rsid w:val="001E6AFE"/>
    <w:rsid w:val="001E7F1C"/>
    <w:rsid w:val="001F001F"/>
    <w:rsid w:val="001F018C"/>
    <w:rsid w:val="001F05F7"/>
    <w:rsid w:val="001F140D"/>
    <w:rsid w:val="001F19F9"/>
    <w:rsid w:val="001F1E63"/>
    <w:rsid w:val="001F2C8C"/>
    <w:rsid w:val="001F3A19"/>
    <w:rsid w:val="001F6E38"/>
    <w:rsid w:val="001F727C"/>
    <w:rsid w:val="00200EA9"/>
    <w:rsid w:val="00201D7E"/>
    <w:rsid w:val="00201E02"/>
    <w:rsid w:val="00202718"/>
    <w:rsid w:val="00204790"/>
    <w:rsid w:val="00205444"/>
    <w:rsid w:val="00205C17"/>
    <w:rsid w:val="0020650D"/>
    <w:rsid w:val="00210025"/>
    <w:rsid w:val="0021061A"/>
    <w:rsid w:val="00211AC8"/>
    <w:rsid w:val="00214736"/>
    <w:rsid w:val="0021552D"/>
    <w:rsid w:val="002164B5"/>
    <w:rsid w:val="00216EB1"/>
    <w:rsid w:val="0022029B"/>
    <w:rsid w:val="00220470"/>
    <w:rsid w:val="002214CB"/>
    <w:rsid w:val="0022322B"/>
    <w:rsid w:val="00223332"/>
    <w:rsid w:val="002240CD"/>
    <w:rsid w:val="0022472D"/>
    <w:rsid w:val="00227ACE"/>
    <w:rsid w:val="00230156"/>
    <w:rsid w:val="00230511"/>
    <w:rsid w:val="002310DD"/>
    <w:rsid w:val="00232C81"/>
    <w:rsid w:val="00232F9E"/>
    <w:rsid w:val="00233802"/>
    <w:rsid w:val="00234467"/>
    <w:rsid w:val="00235B7F"/>
    <w:rsid w:val="00235FE5"/>
    <w:rsid w:val="00237D8D"/>
    <w:rsid w:val="002418B7"/>
    <w:rsid w:val="00241DA2"/>
    <w:rsid w:val="00242033"/>
    <w:rsid w:val="00244481"/>
    <w:rsid w:val="00244D2B"/>
    <w:rsid w:val="0024795A"/>
    <w:rsid w:val="0024796B"/>
    <w:rsid w:val="00247FEE"/>
    <w:rsid w:val="00250E7D"/>
    <w:rsid w:val="0025146D"/>
    <w:rsid w:val="00251CE6"/>
    <w:rsid w:val="00251FD5"/>
    <w:rsid w:val="002522D3"/>
    <w:rsid w:val="00253871"/>
    <w:rsid w:val="002565D5"/>
    <w:rsid w:val="00260FE8"/>
    <w:rsid w:val="002622C0"/>
    <w:rsid w:val="00262B25"/>
    <w:rsid w:val="002639EF"/>
    <w:rsid w:val="002640B6"/>
    <w:rsid w:val="00264E27"/>
    <w:rsid w:val="00266132"/>
    <w:rsid w:val="00266259"/>
    <w:rsid w:val="002671DE"/>
    <w:rsid w:val="0027007C"/>
    <w:rsid w:val="002723B4"/>
    <w:rsid w:val="00273538"/>
    <w:rsid w:val="00273F1E"/>
    <w:rsid w:val="0027476E"/>
    <w:rsid w:val="00274DF1"/>
    <w:rsid w:val="00274F7F"/>
    <w:rsid w:val="00275385"/>
    <w:rsid w:val="00275700"/>
    <w:rsid w:val="002764F1"/>
    <w:rsid w:val="00276933"/>
    <w:rsid w:val="002777BF"/>
    <w:rsid w:val="002778AE"/>
    <w:rsid w:val="002779C9"/>
    <w:rsid w:val="002804C5"/>
    <w:rsid w:val="00280A31"/>
    <w:rsid w:val="00282285"/>
    <w:rsid w:val="002822A7"/>
    <w:rsid w:val="0028269A"/>
    <w:rsid w:val="00282B3C"/>
    <w:rsid w:val="00283590"/>
    <w:rsid w:val="0028581A"/>
    <w:rsid w:val="00285858"/>
    <w:rsid w:val="002859BA"/>
    <w:rsid w:val="002864B4"/>
    <w:rsid w:val="00286973"/>
    <w:rsid w:val="002904E8"/>
    <w:rsid w:val="00291EA5"/>
    <w:rsid w:val="00292956"/>
    <w:rsid w:val="00292AEA"/>
    <w:rsid w:val="00294E70"/>
    <w:rsid w:val="0029510A"/>
    <w:rsid w:val="002969C3"/>
    <w:rsid w:val="002A0412"/>
    <w:rsid w:val="002A0D63"/>
    <w:rsid w:val="002A131D"/>
    <w:rsid w:val="002A1924"/>
    <w:rsid w:val="002A1DD9"/>
    <w:rsid w:val="002A4FEB"/>
    <w:rsid w:val="002A5312"/>
    <w:rsid w:val="002A59B9"/>
    <w:rsid w:val="002A5A87"/>
    <w:rsid w:val="002A5BAC"/>
    <w:rsid w:val="002A615E"/>
    <w:rsid w:val="002A6510"/>
    <w:rsid w:val="002A6A95"/>
    <w:rsid w:val="002A7420"/>
    <w:rsid w:val="002B0F12"/>
    <w:rsid w:val="002B1308"/>
    <w:rsid w:val="002B1D2E"/>
    <w:rsid w:val="002B2EC1"/>
    <w:rsid w:val="002B37A9"/>
    <w:rsid w:val="002B3AD0"/>
    <w:rsid w:val="002B4554"/>
    <w:rsid w:val="002B4A7A"/>
    <w:rsid w:val="002B4F45"/>
    <w:rsid w:val="002B5063"/>
    <w:rsid w:val="002B7C62"/>
    <w:rsid w:val="002C16A2"/>
    <w:rsid w:val="002C2BF8"/>
    <w:rsid w:val="002C391A"/>
    <w:rsid w:val="002C4732"/>
    <w:rsid w:val="002C72D8"/>
    <w:rsid w:val="002D11FA"/>
    <w:rsid w:val="002D149A"/>
    <w:rsid w:val="002D1C94"/>
    <w:rsid w:val="002D3099"/>
    <w:rsid w:val="002D3293"/>
    <w:rsid w:val="002D3A5B"/>
    <w:rsid w:val="002D43EB"/>
    <w:rsid w:val="002D4ADE"/>
    <w:rsid w:val="002D648B"/>
    <w:rsid w:val="002E0DDF"/>
    <w:rsid w:val="002E1032"/>
    <w:rsid w:val="002E123A"/>
    <w:rsid w:val="002E2906"/>
    <w:rsid w:val="002E38D6"/>
    <w:rsid w:val="002E45A9"/>
    <w:rsid w:val="002E5635"/>
    <w:rsid w:val="002E56B7"/>
    <w:rsid w:val="002E64C3"/>
    <w:rsid w:val="002E6A2C"/>
    <w:rsid w:val="002E6A62"/>
    <w:rsid w:val="002E6B42"/>
    <w:rsid w:val="002E7BA6"/>
    <w:rsid w:val="002F075E"/>
    <w:rsid w:val="002F1D8C"/>
    <w:rsid w:val="002F1E7E"/>
    <w:rsid w:val="002F20CE"/>
    <w:rsid w:val="002F21DA"/>
    <w:rsid w:val="002F4D3E"/>
    <w:rsid w:val="002F63F9"/>
    <w:rsid w:val="002F6813"/>
    <w:rsid w:val="002F6C5E"/>
    <w:rsid w:val="00301F39"/>
    <w:rsid w:val="003027E8"/>
    <w:rsid w:val="00302B41"/>
    <w:rsid w:val="00303E03"/>
    <w:rsid w:val="003044AC"/>
    <w:rsid w:val="0030553B"/>
    <w:rsid w:val="00305674"/>
    <w:rsid w:val="00311412"/>
    <w:rsid w:val="0031165F"/>
    <w:rsid w:val="00312AB0"/>
    <w:rsid w:val="00313EE9"/>
    <w:rsid w:val="003144CC"/>
    <w:rsid w:val="003155C2"/>
    <w:rsid w:val="00316401"/>
    <w:rsid w:val="00316522"/>
    <w:rsid w:val="003169A4"/>
    <w:rsid w:val="00317F0E"/>
    <w:rsid w:val="00320C00"/>
    <w:rsid w:val="00321C85"/>
    <w:rsid w:val="00322570"/>
    <w:rsid w:val="003226E4"/>
    <w:rsid w:val="00322B21"/>
    <w:rsid w:val="00323984"/>
    <w:rsid w:val="003245B9"/>
    <w:rsid w:val="00324C89"/>
    <w:rsid w:val="00325926"/>
    <w:rsid w:val="00327A8A"/>
    <w:rsid w:val="00331649"/>
    <w:rsid w:val="00331A8D"/>
    <w:rsid w:val="00336610"/>
    <w:rsid w:val="0034082B"/>
    <w:rsid w:val="00340E2C"/>
    <w:rsid w:val="003433B9"/>
    <w:rsid w:val="003435A7"/>
    <w:rsid w:val="00343F73"/>
    <w:rsid w:val="0034433F"/>
    <w:rsid w:val="003447D9"/>
    <w:rsid w:val="00345060"/>
    <w:rsid w:val="00346B4E"/>
    <w:rsid w:val="00346B7C"/>
    <w:rsid w:val="00347978"/>
    <w:rsid w:val="0035008F"/>
    <w:rsid w:val="003515FB"/>
    <w:rsid w:val="00352FBB"/>
    <w:rsid w:val="0035323B"/>
    <w:rsid w:val="00353299"/>
    <w:rsid w:val="003541F5"/>
    <w:rsid w:val="00354B64"/>
    <w:rsid w:val="00356125"/>
    <w:rsid w:val="003565E6"/>
    <w:rsid w:val="00356857"/>
    <w:rsid w:val="00357324"/>
    <w:rsid w:val="00357F1C"/>
    <w:rsid w:val="00360190"/>
    <w:rsid w:val="003609D2"/>
    <w:rsid w:val="00362304"/>
    <w:rsid w:val="00362A8D"/>
    <w:rsid w:val="00363F22"/>
    <w:rsid w:val="003643D5"/>
    <w:rsid w:val="003662EC"/>
    <w:rsid w:val="0036645E"/>
    <w:rsid w:val="00366A6C"/>
    <w:rsid w:val="00367C43"/>
    <w:rsid w:val="00370195"/>
    <w:rsid w:val="00370921"/>
    <w:rsid w:val="00371CAA"/>
    <w:rsid w:val="003724E3"/>
    <w:rsid w:val="00372548"/>
    <w:rsid w:val="00373CE3"/>
    <w:rsid w:val="003740AD"/>
    <w:rsid w:val="003744D4"/>
    <w:rsid w:val="00375475"/>
    <w:rsid w:val="00375564"/>
    <w:rsid w:val="00376E70"/>
    <w:rsid w:val="00377E50"/>
    <w:rsid w:val="00380969"/>
    <w:rsid w:val="0038134A"/>
    <w:rsid w:val="003830ED"/>
    <w:rsid w:val="00383191"/>
    <w:rsid w:val="003836EC"/>
    <w:rsid w:val="003852C2"/>
    <w:rsid w:val="00385C4C"/>
    <w:rsid w:val="00385F2D"/>
    <w:rsid w:val="00386048"/>
    <w:rsid w:val="00386DED"/>
    <w:rsid w:val="003912E7"/>
    <w:rsid w:val="00391765"/>
    <w:rsid w:val="0039183A"/>
    <w:rsid w:val="00391CA0"/>
    <w:rsid w:val="003921B4"/>
    <w:rsid w:val="003922AE"/>
    <w:rsid w:val="00393332"/>
    <w:rsid w:val="00393703"/>
    <w:rsid w:val="00393947"/>
    <w:rsid w:val="00394350"/>
    <w:rsid w:val="00396809"/>
    <w:rsid w:val="00397291"/>
    <w:rsid w:val="003A05B1"/>
    <w:rsid w:val="003A07C1"/>
    <w:rsid w:val="003A0821"/>
    <w:rsid w:val="003A1C76"/>
    <w:rsid w:val="003A2275"/>
    <w:rsid w:val="003A261D"/>
    <w:rsid w:val="003A333D"/>
    <w:rsid w:val="003A3AF9"/>
    <w:rsid w:val="003A5191"/>
    <w:rsid w:val="003A5594"/>
    <w:rsid w:val="003A6268"/>
    <w:rsid w:val="003A6A4F"/>
    <w:rsid w:val="003A6A63"/>
    <w:rsid w:val="003A7088"/>
    <w:rsid w:val="003A7B45"/>
    <w:rsid w:val="003B00DF"/>
    <w:rsid w:val="003B1275"/>
    <w:rsid w:val="003B1778"/>
    <w:rsid w:val="003B1D46"/>
    <w:rsid w:val="003B25AB"/>
    <w:rsid w:val="003B2912"/>
    <w:rsid w:val="003B30C4"/>
    <w:rsid w:val="003B492C"/>
    <w:rsid w:val="003B52E2"/>
    <w:rsid w:val="003B5F0E"/>
    <w:rsid w:val="003B64ED"/>
    <w:rsid w:val="003B691F"/>
    <w:rsid w:val="003B6B26"/>
    <w:rsid w:val="003B79A6"/>
    <w:rsid w:val="003C11CB"/>
    <w:rsid w:val="003C1480"/>
    <w:rsid w:val="003C1E37"/>
    <w:rsid w:val="003C1F89"/>
    <w:rsid w:val="003C34D3"/>
    <w:rsid w:val="003C3747"/>
    <w:rsid w:val="003C4253"/>
    <w:rsid w:val="003C4C78"/>
    <w:rsid w:val="003C502D"/>
    <w:rsid w:val="003C50D7"/>
    <w:rsid w:val="003C6549"/>
    <w:rsid w:val="003C75F3"/>
    <w:rsid w:val="003C78A3"/>
    <w:rsid w:val="003D03A3"/>
    <w:rsid w:val="003D1197"/>
    <w:rsid w:val="003D2673"/>
    <w:rsid w:val="003D2ED8"/>
    <w:rsid w:val="003D30CA"/>
    <w:rsid w:val="003D36C1"/>
    <w:rsid w:val="003D492C"/>
    <w:rsid w:val="003D50AF"/>
    <w:rsid w:val="003E0159"/>
    <w:rsid w:val="003E1867"/>
    <w:rsid w:val="003E18A3"/>
    <w:rsid w:val="003E193D"/>
    <w:rsid w:val="003E221B"/>
    <w:rsid w:val="003E25B7"/>
    <w:rsid w:val="003E38BA"/>
    <w:rsid w:val="003E3C7D"/>
    <w:rsid w:val="003E3FE0"/>
    <w:rsid w:val="003E5729"/>
    <w:rsid w:val="003E5C50"/>
    <w:rsid w:val="003E7755"/>
    <w:rsid w:val="003E7898"/>
    <w:rsid w:val="003F0235"/>
    <w:rsid w:val="003F0C64"/>
    <w:rsid w:val="003F11F8"/>
    <w:rsid w:val="003F1322"/>
    <w:rsid w:val="003F1A0D"/>
    <w:rsid w:val="003F44B9"/>
    <w:rsid w:val="003F4678"/>
    <w:rsid w:val="003F4EE0"/>
    <w:rsid w:val="003F5941"/>
    <w:rsid w:val="003F6031"/>
    <w:rsid w:val="003F6842"/>
    <w:rsid w:val="003F6F76"/>
    <w:rsid w:val="003F7065"/>
    <w:rsid w:val="003F7A5A"/>
    <w:rsid w:val="003F7AC1"/>
    <w:rsid w:val="00401696"/>
    <w:rsid w:val="0040178A"/>
    <w:rsid w:val="00401EFB"/>
    <w:rsid w:val="00402153"/>
    <w:rsid w:val="00402684"/>
    <w:rsid w:val="00402FC1"/>
    <w:rsid w:val="00403548"/>
    <w:rsid w:val="00403DB3"/>
    <w:rsid w:val="00410B90"/>
    <w:rsid w:val="00410EA5"/>
    <w:rsid w:val="00412203"/>
    <w:rsid w:val="004132F2"/>
    <w:rsid w:val="0041345A"/>
    <w:rsid w:val="004141F0"/>
    <w:rsid w:val="004145B3"/>
    <w:rsid w:val="004145CB"/>
    <w:rsid w:val="00414AE8"/>
    <w:rsid w:val="00416729"/>
    <w:rsid w:val="00417795"/>
    <w:rsid w:val="00421AB3"/>
    <w:rsid w:val="0042268C"/>
    <w:rsid w:val="004233B6"/>
    <w:rsid w:val="0042374C"/>
    <w:rsid w:val="00424235"/>
    <w:rsid w:val="00424BFE"/>
    <w:rsid w:val="00425082"/>
    <w:rsid w:val="00425273"/>
    <w:rsid w:val="00425EAA"/>
    <w:rsid w:val="004261BB"/>
    <w:rsid w:val="00431DEB"/>
    <w:rsid w:val="00432570"/>
    <w:rsid w:val="00432597"/>
    <w:rsid w:val="0043284E"/>
    <w:rsid w:val="004346B4"/>
    <w:rsid w:val="00434956"/>
    <w:rsid w:val="00436479"/>
    <w:rsid w:val="00436BED"/>
    <w:rsid w:val="00437192"/>
    <w:rsid w:val="004404FC"/>
    <w:rsid w:val="0044055B"/>
    <w:rsid w:val="004411E7"/>
    <w:rsid w:val="004427F6"/>
    <w:rsid w:val="00442FC4"/>
    <w:rsid w:val="00443FF2"/>
    <w:rsid w:val="00444F76"/>
    <w:rsid w:val="00445E2C"/>
    <w:rsid w:val="00445F03"/>
    <w:rsid w:val="004464AC"/>
    <w:rsid w:val="004468E8"/>
    <w:rsid w:val="00446B29"/>
    <w:rsid w:val="004517D9"/>
    <w:rsid w:val="00453AAA"/>
    <w:rsid w:val="00453F9A"/>
    <w:rsid w:val="00455E5C"/>
    <w:rsid w:val="00456111"/>
    <w:rsid w:val="004565F6"/>
    <w:rsid w:val="0045688F"/>
    <w:rsid w:val="004572F2"/>
    <w:rsid w:val="00460F2A"/>
    <w:rsid w:val="004612C0"/>
    <w:rsid w:val="0046134C"/>
    <w:rsid w:val="00462409"/>
    <w:rsid w:val="0046303B"/>
    <w:rsid w:val="00463078"/>
    <w:rsid w:val="00464981"/>
    <w:rsid w:val="00464D58"/>
    <w:rsid w:val="00464D5D"/>
    <w:rsid w:val="00465F81"/>
    <w:rsid w:val="0046682D"/>
    <w:rsid w:val="004709CD"/>
    <w:rsid w:val="00471E91"/>
    <w:rsid w:val="00474269"/>
    <w:rsid w:val="00474675"/>
    <w:rsid w:val="0047470C"/>
    <w:rsid w:val="00475486"/>
    <w:rsid w:val="004772F3"/>
    <w:rsid w:val="00480D48"/>
    <w:rsid w:val="004821F0"/>
    <w:rsid w:val="004828CC"/>
    <w:rsid w:val="004828E5"/>
    <w:rsid w:val="00484455"/>
    <w:rsid w:val="00485599"/>
    <w:rsid w:val="00485777"/>
    <w:rsid w:val="00485B7C"/>
    <w:rsid w:val="00486687"/>
    <w:rsid w:val="004874E5"/>
    <w:rsid w:val="0049074C"/>
    <w:rsid w:val="00491A05"/>
    <w:rsid w:val="00491C27"/>
    <w:rsid w:val="00492A2C"/>
    <w:rsid w:val="004937A9"/>
    <w:rsid w:val="00494729"/>
    <w:rsid w:val="00495477"/>
    <w:rsid w:val="004A1EED"/>
    <w:rsid w:val="004A24A7"/>
    <w:rsid w:val="004A2707"/>
    <w:rsid w:val="004A2A0C"/>
    <w:rsid w:val="004A2EB6"/>
    <w:rsid w:val="004A35F9"/>
    <w:rsid w:val="004A42E1"/>
    <w:rsid w:val="004A47A9"/>
    <w:rsid w:val="004A5E20"/>
    <w:rsid w:val="004A66D8"/>
    <w:rsid w:val="004A72A2"/>
    <w:rsid w:val="004A7E2E"/>
    <w:rsid w:val="004B08DF"/>
    <w:rsid w:val="004B0C21"/>
    <w:rsid w:val="004B13CF"/>
    <w:rsid w:val="004B1930"/>
    <w:rsid w:val="004B19EB"/>
    <w:rsid w:val="004B1A80"/>
    <w:rsid w:val="004B2110"/>
    <w:rsid w:val="004B24C1"/>
    <w:rsid w:val="004B30BB"/>
    <w:rsid w:val="004B4874"/>
    <w:rsid w:val="004B54A7"/>
    <w:rsid w:val="004B7E30"/>
    <w:rsid w:val="004C0F33"/>
    <w:rsid w:val="004C292F"/>
    <w:rsid w:val="004C305F"/>
    <w:rsid w:val="004C3DFF"/>
    <w:rsid w:val="004C5779"/>
    <w:rsid w:val="004C6409"/>
    <w:rsid w:val="004D03F9"/>
    <w:rsid w:val="004D155F"/>
    <w:rsid w:val="004D3CB4"/>
    <w:rsid w:val="004D4CFB"/>
    <w:rsid w:val="004D63E4"/>
    <w:rsid w:val="004E02DB"/>
    <w:rsid w:val="004E1A19"/>
    <w:rsid w:val="004E1F42"/>
    <w:rsid w:val="004E24CC"/>
    <w:rsid w:val="004E3554"/>
    <w:rsid w:val="004E37DA"/>
    <w:rsid w:val="004E37DC"/>
    <w:rsid w:val="004E3E49"/>
    <w:rsid w:val="004E448F"/>
    <w:rsid w:val="004E4956"/>
    <w:rsid w:val="004E5B8C"/>
    <w:rsid w:val="004E6D38"/>
    <w:rsid w:val="004E6E14"/>
    <w:rsid w:val="004E7034"/>
    <w:rsid w:val="004E7FED"/>
    <w:rsid w:val="004F2758"/>
    <w:rsid w:val="004F455D"/>
    <w:rsid w:val="004F4AA4"/>
    <w:rsid w:val="004F4AB8"/>
    <w:rsid w:val="004F6309"/>
    <w:rsid w:val="004F738A"/>
    <w:rsid w:val="005016A1"/>
    <w:rsid w:val="005021A3"/>
    <w:rsid w:val="005028FA"/>
    <w:rsid w:val="00502B98"/>
    <w:rsid w:val="00503516"/>
    <w:rsid w:val="00503AF2"/>
    <w:rsid w:val="00504107"/>
    <w:rsid w:val="005044C9"/>
    <w:rsid w:val="00504828"/>
    <w:rsid w:val="00504B5A"/>
    <w:rsid w:val="005059D4"/>
    <w:rsid w:val="00506EC0"/>
    <w:rsid w:val="00507C73"/>
    <w:rsid w:val="00507EAF"/>
    <w:rsid w:val="005101AD"/>
    <w:rsid w:val="00510280"/>
    <w:rsid w:val="00511086"/>
    <w:rsid w:val="00511345"/>
    <w:rsid w:val="00512847"/>
    <w:rsid w:val="00513402"/>
    <w:rsid w:val="005134A7"/>
    <w:rsid w:val="00513D73"/>
    <w:rsid w:val="00514A43"/>
    <w:rsid w:val="00514F5C"/>
    <w:rsid w:val="00515080"/>
    <w:rsid w:val="005152A6"/>
    <w:rsid w:val="005169C5"/>
    <w:rsid w:val="005169F8"/>
    <w:rsid w:val="005174E5"/>
    <w:rsid w:val="00520199"/>
    <w:rsid w:val="0052193A"/>
    <w:rsid w:val="00522393"/>
    <w:rsid w:val="00522620"/>
    <w:rsid w:val="00522E8A"/>
    <w:rsid w:val="00523521"/>
    <w:rsid w:val="00523544"/>
    <w:rsid w:val="00525270"/>
    <w:rsid w:val="00525405"/>
    <w:rsid w:val="00525656"/>
    <w:rsid w:val="0052628A"/>
    <w:rsid w:val="005301F1"/>
    <w:rsid w:val="005302F6"/>
    <w:rsid w:val="00530667"/>
    <w:rsid w:val="00531871"/>
    <w:rsid w:val="00532D12"/>
    <w:rsid w:val="00532E0D"/>
    <w:rsid w:val="005335CA"/>
    <w:rsid w:val="00534C02"/>
    <w:rsid w:val="00534E90"/>
    <w:rsid w:val="005368BB"/>
    <w:rsid w:val="0053758C"/>
    <w:rsid w:val="00537A65"/>
    <w:rsid w:val="005413EB"/>
    <w:rsid w:val="005414CD"/>
    <w:rsid w:val="00541832"/>
    <w:rsid w:val="0054264B"/>
    <w:rsid w:val="00543786"/>
    <w:rsid w:val="00544C8D"/>
    <w:rsid w:val="00545275"/>
    <w:rsid w:val="00545C21"/>
    <w:rsid w:val="0054704D"/>
    <w:rsid w:val="005477D5"/>
    <w:rsid w:val="00552801"/>
    <w:rsid w:val="0055317E"/>
    <w:rsid w:val="005533D7"/>
    <w:rsid w:val="00560966"/>
    <w:rsid w:val="00560D94"/>
    <w:rsid w:val="00562D5A"/>
    <w:rsid w:val="00562EE8"/>
    <w:rsid w:val="00563435"/>
    <w:rsid w:val="00563563"/>
    <w:rsid w:val="00563C66"/>
    <w:rsid w:val="00563C8D"/>
    <w:rsid w:val="00564E77"/>
    <w:rsid w:val="0056703C"/>
    <w:rsid w:val="00567EFF"/>
    <w:rsid w:val="005703DE"/>
    <w:rsid w:val="005713F2"/>
    <w:rsid w:val="00572698"/>
    <w:rsid w:val="0057359F"/>
    <w:rsid w:val="005752B1"/>
    <w:rsid w:val="00577DB7"/>
    <w:rsid w:val="00580C2C"/>
    <w:rsid w:val="00580E29"/>
    <w:rsid w:val="005811F0"/>
    <w:rsid w:val="005815E3"/>
    <w:rsid w:val="00581C8F"/>
    <w:rsid w:val="00582652"/>
    <w:rsid w:val="005828AF"/>
    <w:rsid w:val="00583F49"/>
    <w:rsid w:val="0058464E"/>
    <w:rsid w:val="005860A6"/>
    <w:rsid w:val="005861AD"/>
    <w:rsid w:val="00587688"/>
    <w:rsid w:val="005901B3"/>
    <w:rsid w:val="00592291"/>
    <w:rsid w:val="00595BBD"/>
    <w:rsid w:val="00595CFB"/>
    <w:rsid w:val="00596EF1"/>
    <w:rsid w:val="00597D85"/>
    <w:rsid w:val="005A01CB"/>
    <w:rsid w:val="005A1423"/>
    <w:rsid w:val="005A2852"/>
    <w:rsid w:val="005A45E6"/>
    <w:rsid w:val="005A53B6"/>
    <w:rsid w:val="005A58FF"/>
    <w:rsid w:val="005A5EAF"/>
    <w:rsid w:val="005A5FCC"/>
    <w:rsid w:val="005A5FDC"/>
    <w:rsid w:val="005A64C0"/>
    <w:rsid w:val="005B090B"/>
    <w:rsid w:val="005B3C11"/>
    <w:rsid w:val="005B3F95"/>
    <w:rsid w:val="005B3FC8"/>
    <w:rsid w:val="005B428F"/>
    <w:rsid w:val="005B4390"/>
    <w:rsid w:val="005B4823"/>
    <w:rsid w:val="005B57F6"/>
    <w:rsid w:val="005B70B3"/>
    <w:rsid w:val="005B7FCA"/>
    <w:rsid w:val="005C1068"/>
    <w:rsid w:val="005C1C28"/>
    <w:rsid w:val="005C3AEF"/>
    <w:rsid w:val="005C5FF6"/>
    <w:rsid w:val="005C6DB5"/>
    <w:rsid w:val="005D154D"/>
    <w:rsid w:val="005D1847"/>
    <w:rsid w:val="005D236E"/>
    <w:rsid w:val="005D2687"/>
    <w:rsid w:val="005D27EF"/>
    <w:rsid w:val="005D5817"/>
    <w:rsid w:val="005D6D7D"/>
    <w:rsid w:val="005D7F0C"/>
    <w:rsid w:val="005E00A8"/>
    <w:rsid w:val="005E00B6"/>
    <w:rsid w:val="005E069E"/>
    <w:rsid w:val="005E19E7"/>
    <w:rsid w:val="005E1AF7"/>
    <w:rsid w:val="005E24F9"/>
    <w:rsid w:val="005E40E9"/>
    <w:rsid w:val="005E45A5"/>
    <w:rsid w:val="005E4851"/>
    <w:rsid w:val="005E61AB"/>
    <w:rsid w:val="005E6CB0"/>
    <w:rsid w:val="005E7845"/>
    <w:rsid w:val="005E7A9C"/>
    <w:rsid w:val="005E7C47"/>
    <w:rsid w:val="005F120E"/>
    <w:rsid w:val="005F2897"/>
    <w:rsid w:val="005F39BA"/>
    <w:rsid w:val="005F3D0B"/>
    <w:rsid w:val="005F5009"/>
    <w:rsid w:val="005F55D4"/>
    <w:rsid w:val="005F6644"/>
    <w:rsid w:val="005F6CB6"/>
    <w:rsid w:val="005F7206"/>
    <w:rsid w:val="005F72E3"/>
    <w:rsid w:val="006001E6"/>
    <w:rsid w:val="006014C7"/>
    <w:rsid w:val="0060290B"/>
    <w:rsid w:val="0060751F"/>
    <w:rsid w:val="0060776E"/>
    <w:rsid w:val="00610520"/>
    <w:rsid w:val="006106D7"/>
    <w:rsid w:val="006110F1"/>
    <w:rsid w:val="00611332"/>
    <w:rsid w:val="00612476"/>
    <w:rsid w:val="0061338B"/>
    <w:rsid w:val="006139F3"/>
    <w:rsid w:val="00616C55"/>
    <w:rsid w:val="0061716C"/>
    <w:rsid w:val="00617506"/>
    <w:rsid w:val="00620662"/>
    <w:rsid w:val="00621C3A"/>
    <w:rsid w:val="00621EDF"/>
    <w:rsid w:val="00622F07"/>
    <w:rsid w:val="006230D7"/>
    <w:rsid w:val="0062390B"/>
    <w:rsid w:val="00623B32"/>
    <w:rsid w:val="00623FF8"/>
    <w:rsid w:val="00624009"/>
    <w:rsid w:val="006243A1"/>
    <w:rsid w:val="00624A59"/>
    <w:rsid w:val="00624FFC"/>
    <w:rsid w:val="006256CC"/>
    <w:rsid w:val="0062694C"/>
    <w:rsid w:val="00627076"/>
    <w:rsid w:val="00627E1D"/>
    <w:rsid w:val="006313B9"/>
    <w:rsid w:val="00631D66"/>
    <w:rsid w:val="00632366"/>
    <w:rsid w:val="00632E56"/>
    <w:rsid w:val="00632F49"/>
    <w:rsid w:val="0063363B"/>
    <w:rsid w:val="00634CC9"/>
    <w:rsid w:val="006350C0"/>
    <w:rsid w:val="006359BB"/>
    <w:rsid w:val="00635CBA"/>
    <w:rsid w:val="006367C5"/>
    <w:rsid w:val="00636BC1"/>
    <w:rsid w:val="00636D2E"/>
    <w:rsid w:val="0063711A"/>
    <w:rsid w:val="00640960"/>
    <w:rsid w:val="00640ADC"/>
    <w:rsid w:val="006415B7"/>
    <w:rsid w:val="0064287B"/>
    <w:rsid w:val="00642FFF"/>
    <w:rsid w:val="0064338B"/>
    <w:rsid w:val="00644069"/>
    <w:rsid w:val="00645772"/>
    <w:rsid w:val="00646542"/>
    <w:rsid w:val="0064766F"/>
    <w:rsid w:val="006478AF"/>
    <w:rsid w:val="006503A7"/>
    <w:rsid w:val="006504F4"/>
    <w:rsid w:val="00650E18"/>
    <w:rsid w:val="00652153"/>
    <w:rsid w:val="006522BB"/>
    <w:rsid w:val="00654BC9"/>
    <w:rsid w:val="006552FD"/>
    <w:rsid w:val="00656241"/>
    <w:rsid w:val="0065732E"/>
    <w:rsid w:val="0066245B"/>
    <w:rsid w:val="00663AF3"/>
    <w:rsid w:val="00663EDC"/>
    <w:rsid w:val="00664098"/>
    <w:rsid w:val="00664693"/>
    <w:rsid w:val="0066469A"/>
    <w:rsid w:val="00665630"/>
    <w:rsid w:val="00665FDC"/>
    <w:rsid w:val="00666B6C"/>
    <w:rsid w:val="00667236"/>
    <w:rsid w:val="006673FA"/>
    <w:rsid w:val="006704A1"/>
    <w:rsid w:val="00673894"/>
    <w:rsid w:val="006742A8"/>
    <w:rsid w:val="006748DC"/>
    <w:rsid w:val="0067586B"/>
    <w:rsid w:val="006769AB"/>
    <w:rsid w:val="006779B4"/>
    <w:rsid w:val="006804CB"/>
    <w:rsid w:val="00680E72"/>
    <w:rsid w:val="00681FC3"/>
    <w:rsid w:val="00682416"/>
    <w:rsid w:val="00682682"/>
    <w:rsid w:val="00682702"/>
    <w:rsid w:val="006838A9"/>
    <w:rsid w:val="006838D1"/>
    <w:rsid w:val="00683BFB"/>
    <w:rsid w:val="00683EF0"/>
    <w:rsid w:val="006852FE"/>
    <w:rsid w:val="006854EF"/>
    <w:rsid w:val="00685804"/>
    <w:rsid w:val="00685EEC"/>
    <w:rsid w:val="006866C1"/>
    <w:rsid w:val="00686C95"/>
    <w:rsid w:val="00687F04"/>
    <w:rsid w:val="0069090F"/>
    <w:rsid w:val="00690A79"/>
    <w:rsid w:val="00690DDD"/>
    <w:rsid w:val="00692368"/>
    <w:rsid w:val="00692D7A"/>
    <w:rsid w:val="00693158"/>
    <w:rsid w:val="006935A3"/>
    <w:rsid w:val="00694B3F"/>
    <w:rsid w:val="00694C00"/>
    <w:rsid w:val="0069644F"/>
    <w:rsid w:val="006971C6"/>
    <w:rsid w:val="006971E1"/>
    <w:rsid w:val="006A05F4"/>
    <w:rsid w:val="006A1857"/>
    <w:rsid w:val="006A1E10"/>
    <w:rsid w:val="006A2EBC"/>
    <w:rsid w:val="006A3BE2"/>
    <w:rsid w:val="006A4942"/>
    <w:rsid w:val="006A5EA0"/>
    <w:rsid w:val="006A783B"/>
    <w:rsid w:val="006A7907"/>
    <w:rsid w:val="006A7B33"/>
    <w:rsid w:val="006B1EED"/>
    <w:rsid w:val="006B1F8C"/>
    <w:rsid w:val="006B2073"/>
    <w:rsid w:val="006B32F6"/>
    <w:rsid w:val="006B4133"/>
    <w:rsid w:val="006B4E13"/>
    <w:rsid w:val="006B5A5C"/>
    <w:rsid w:val="006B61E6"/>
    <w:rsid w:val="006B62F7"/>
    <w:rsid w:val="006B6ECD"/>
    <w:rsid w:val="006B70FC"/>
    <w:rsid w:val="006B75DD"/>
    <w:rsid w:val="006B7823"/>
    <w:rsid w:val="006B7B25"/>
    <w:rsid w:val="006C062F"/>
    <w:rsid w:val="006C1A3D"/>
    <w:rsid w:val="006C1D0D"/>
    <w:rsid w:val="006C1F82"/>
    <w:rsid w:val="006C44F4"/>
    <w:rsid w:val="006C46C8"/>
    <w:rsid w:val="006C67E0"/>
    <w:rsid w:val="006C7491"/>
    <w:rsid w:val="006C7665"/>
    <w:rsid w:val="006C7ABA"/>
    <w:rsid w:val="006D044D"/>
    <w:rsid w:val="006D0D60"/>
    <w:rsid w:val="006D0EBF"/>
    <w:rsid w:val="006D0FFA"/>
    <w:rsid w:val="006D1122"/>
    <w:rsid w:val="006D1902"/>
    <w:rsid w:val="006D2A5B"/>
    <w:rsid w:val="006D2AAB"/>
    <w:rsid w:val="006D3C00"/>
    <w:rsid w:val="006D509F"/>
    <w:rsid w:val="006D5FBF"/>
    <w:rsid w:val="006D72A7"/>
    <w:rsid w:val="006E211D"/>
    <w:rsid w:val="006E2232"/>
    <w:rsid w:val="006E2F06"/>
    <w:rsid w:val="006E3675"/>
    <w:rsid w:val="006E3DE9"/>
    <w:rsid w:val="006E40B4"/>
    <w:rsid w:val="006E4A50"/>
    <w:rsid w:val="006E4A7F"/>
    <w:rsid w:val="006E4CE3"/>
    <w:rsid w:val="006E7E8F"/>
    <w:rsid w:val="006F0AB3"/>
    <w:rsid w:val="006F2BCB"/>
    <w:rsid w:val="006F31F4"/>
    <w:rsid w:val="006F385B"/>
    <w:rsid w:val="006F48FC"/>
    <w:rsid w:val="006F5B66"/>
    <w:rsid w:val="006F5ED3"/>
    <w:rsid w:val="006F5FC1"/>
    <w:rsid w:val="006F669E"/>
    <w:rsid w:val="006F74B8"/>
    <w:rsid w:val="006F7F8F"/>
    <w:rsid w:val="00700280"/>
    <w:rsid w:val="00700FE2"/>
    <w:rsid w:val="00703C91"/>
    <w:rsid w:val="00704DF6"/>
    <w:rsid w:val="0070651C"/>
    <w:rsid w:val="00706675"/>
    <w:rsid w:val="00707EBA"/>
    <w:rsid w:val="0071154F"/>
    <w:rsid w:val="00711A7A"/>
    <w:rsid w:val="007132A3"/>
    <w:rsid w:val="0071339D"/>
    <w:rsid w:val="00713D24"/>
    <w:rsid w:val="007146BB"/>
    <w:rsid w:val="00714F28"/>
    <w:rsid w:val="00716421"/>
    <w:rsid w:val="00717BB5"/>
    <w:rsid w:val="00717C31"/>
    <w:rsid w:val="00717C89"/>
    <w:rsid w:val="007233C8"/>
    <w:rsid w:val="007245D5"/>
    <w:rsid w:val="007247F1"/>
    <w:rsid w:val="00724EFB"/>
    <w:rsid w:val="00726B4F"/>
    <w:rsid w:val="00727775"/>
    <w:rsid w:val="00731241"/>
    <w:rsid w:val="0073254A"/>
    <w:rsid w:val="0073334A"/>
    <w:rsid w:val="0073454C"/>
    <w:rsid w:val="00734D62"/>
    <w:rsid w:val="00734E75"/>
    <w:rsid w:val="0073716F"/>
    <w:rsid w:val="00737C8C"/>
    <w:rsid w:val="007401A3"/>
    <w:rsid w:val="00740532"/>
    <w:rsid w:val="007419C3"/>
    <w:rsid w:val="00743A3A"/>
    <w:rsid w:val="00743E9E"/>
    <w:rsid w:val="00745582"/>
    <w:rsid w:val="007467A7"/>
    <w:rsid w:val="00746997"/>
    <w:rsid w:val="007469DD"/>
    <w:rsid w:val="0074741B"/>
    <w:rsid w:val="0074759E"/>
    <w:rsid w:val="007478EA"/>
    <w:rsid w:val="00751C00"/>
    <w:rsid w:val="00751E85"/>
    <w:rsid w:val="00752994"/>
    <w:rsid w:val="0075415C"/>
    <w:rsid w:val="00755509"/>
    <w:rsid w:val="00760551"/>
    <w:rsid w:val="0076062A"/>
    <w:rsid w:val="007626F8"/>
    <w:rsid w:val="007634D9"/>
    <w:rsid w:val="00763502"/>
    <w:rsid w:val="00763D78"/>
    <w:rsid w:val="00764079"/>
    <w:rsid w:val="00765025"/>
    <w:rsid w:val="00772274"/>
    <w:rsid w:val="00772A7B"/>
    <w:rsid w:val="00773EB6"/>
    <w:rsid w:val="0077553C"/>
    <w:rsid w:val="00776424"/>
    <w:rsid w:val="00776AA6"/>
    <w:rsid w:val="00777439"/>
    <w:rsid w:val="00777C33"/>
    <w:rsid w:val="00780A5C"/>
    <w:rsid w:val="00782635"/>
    <w:rsid w:val="0078331B"/>
    <w:rsid w:val="00784FE8"/>
    <w:rsid w:val="007855DC"/>
    <w:rsid w:val="00785693"/>
    <w:rsid w:val="00786216"/>
    <w:rsid w:val="00786FA9"/>
    <w:rsid w:val="007912F2"/>
    <w:rsid w:val="007913AB"/>
    <w:rsid w:val="007914F7"/>
    <w:rsid w:val="00791A95"/>
    <w:rsid w:val="007925DC"/>
    <w:rsid w:val="00793831"/>
    <w:rsid w:val="007939B5"/>
    <w:rsid w:val="00793B50"/>
    <w:rsid w:val="0079413D"/>
    <w:rsid w:val="00794372"/>
    <w:rsid w:val="00794D69"/>
    <w:rsid w:val="0079592F"/>
    <w:rsid w:val="007A0493"/>
    <w:rsid w:val="007A05EB"/>
    <w:rsid w:val="007A216F"/>
    <w:rsid w:val="007A2699"/>
    <w:rsid w:val="007A29D8"/>
    <w:rsid w:val="007A3725"/>
    <w:rsid w:val="007A3946"/>
    <w:rsid w:val="007A3A9F"/>
    <w:rsid w:val="007A4179"/>
    <w:rsid w:val="007A419A"/>
    <w:rsid w:val="007A49D5"/>
    <w:rsid w:val="007A4E02"/>
    <w:rsid w:val="007A59C0"/>
    <w:rsid w:val="007A77F4"/>
    <w:rsid w:val="007B1625"/>
    <w:rsid w:val="007B1E4D"/>
    <w:rsid w:val="007B3B0C"/>
    <w:rsid w:val="007B3BA1"/>
    <w:rsid w:val="007B3EA5"/>
    <w:rsid w:val="007B50C8"/>
    <w:rsid w:val="007B6199"/>
    <w:rsid w:val="007B706E"/>
    <w:rsid w:val="007B71EB"/>
    <w:rsid w:val="007B732C"/>
    <w:rsid w:val="007C02A0"/>
    <w:rsid w:val="007C26DF"/>
    <w:rsid w:val="007C3BD4"/>
    <w:rsid w:val="007C45F2"/>
    <w:rsid w:val="007C6205"/>
    <w:rsid w:val="007C686A"/>
    <w:rsid w:val="007C68BF"/>
    <w:rsid w:val="007C728E"/>
    <w:rsid w:val="007C75A3"/>
    <w:rsid w:val="007C7CFA"/>
    <w:rsid w:val="007D0411"/>
    <w:rsid w:val="007D0C7C"/>
    <w:rsid w:val="007D11BE"/>
    <w:rsid w:val="007D12F5"/>
    <w:rsid w:val="007D2C53"/>
    <w:rsid w:val="007D3175"/>
    <w:rsid w:val="007D321B"/>
    <w:rsid w:val="007D3D60"/>
    <w:rsid w:val="007D508D"/>
    <w:rsid w:val="007D5A99"/>
    <w:rsid w:val="007D761D"/>
    <w:rsid w:val="007E1980"/>
    <w:rsid w:val="007E29CE"/>
    <w:rsid w:val="007E37BF"/>
    <w:rsid w:val="007E4771"/>
    <w:rsid w:val="007E49D9"/>
    <w:rsid w:val="007E4B76"/>
    <w:rsid w:val="007E541E"/>
    <w:rsid w:val="007E5E57"/>
    <w:rsid w:val="007E5EA8"/>
    <w:rsid w:val="007E70A2"/>
    <w:rsid w:val="007E7245"/>
    <w:rsid w:val="007F0AC4"/>
    <w:rsid w:val="007F0CD7"/>
    <w:rsid w:val="007F0CF1"/>
    <w:rsid w:val="007F0F73"/>
    <w:rsid w:val="007F0FE4"/>
    <w:rsid w:val="007F12A5"/>
    <w:rsid w:val="007F1534"/>
    <w:rsid w:val="007F2AD6"/>
    <w:rsid w:val="007F3462"/>
    <w:rsid w:val="007F456D"/>
    <w:rsid w:val="007F4CF1"/>
    <w:rsid w:val="007F5C3D"/>
    <w:rsid w:val="007F74DB"/>
    <w:rsid w:val="007F7550"/>
    <w:rsid w:val="007F758D"/>
    <w:rsid w:val="007F7D52"/>
    <w:rsid w:val="008001BB"/>
    <w:rsid w:val="008010F0"/>
    <w:rsid w:val="008022D6"/>
    <w:rsid w:val="0080232C"/>
    <w:rsid w:val="00803A7B"/>
    <w:rsid w:val="00803B3C"/>
    <w:rsid w:val="00804AEF"/>
    <w:rsid w:val="008051EA"/>
    <w:rsid w:val="00805C06"/>
    <w:rsid w:val="00805C88"/>
    <w:rsid w:val="0080654C"/>
    <w:rsid w:val="0080658E"/>
    <w:rsid w:val="008070B9"/>
    <w:rsid w:val="008071C6"/>
    <w:rsid w:val="00807605"/>
    <w:rsid w:val="00812836"/>
    <w:rsid w:val="00812A8F"/>
    <w:rsid w:val="00813C31"/>
    <w:rsid w:val="00817A00"/>
    <w:rsid w:val="00817ADA"/>
    <w:rsid w:val="008208D8"/>
    <w:rsid w:val="008208FE"/>
    <w:rsid w:val="00820FE0"/>
    <w:rsid w:val="008211CF"/>
    <w:rsid w:val="0082254D"/>
    <w:rsid w:val="00822C77"/>
    <w:rsid w:val="00824C50"/>
    <w:rsid w:val="00825D59"/>
    <w:rsid w:val="00826EC4"/>
    <w:rsid w:val="00827394"/>
    <w:rsid w:val="008313F4"/>
    <w:rsid w:val="008319C4"/>
    <w:rsid w:val="00831E24"/>
    <w:rsid w:val="00831F7D"/>
    <w:rsid w:val="00835AEE"/>
    <w:rsid w:val="00835DB3"/>
    <w:rsid w:val="0083617B"/>
    <w:rsid w:val="00836443"/>
    <w:rsid w:val="00836DB0"/>
    <w:rsid w:val="0083700E"/>
    <w:rsid w:val="008371BD"/>
    <w:rsid w:val="0084006D"/>
    <w:rsid w:val="0084076D"/>
    <w:rsid w:val="008418EC"/>
    <w:rsid w:val="00841DEE"/>
    <w:rsid w:val="0084262B"/>
    <w:rsid w:val="00843072"/>
    <w:rsid w:val="00843C20"/>
    <w:rsid w:val="00843F2C"/>
    <w:rsid w:val="00845206"/>
    <w:rsid w:val="00846ED7"/>
    <w:rsid w:val="00847215"/>
    <w:rsid w:val="0084737E"/>
    <w:rsid w:val="00850492"/>
    <w:rsid w:val="008504A8"/>
    <w:rsid w:val="00850F8C"/>
    <w:rsid w:val="00851782"/>
    <w:rsid w:val="0085282E"/>
    <w:rsid w:val="008534D1"/>
    <w:rsid w:val="00853A37"/>
    <w:rsid w:val="00854025"/>
    <w:rsid w:val="00854AFE"/>
    <w:rsid w:val="00854E39"/>
    <w:rsid w:val="0085555C"/>
    <w:rsid w:val="00860198"/>
    <w:rsid w:val="00864984"/>
    <w:rsid w:val="00864B5C"/>
    <w:rsid w:val="00870312"/>
    <w:rsid w:val="0087198C"/>
    <w:rsid w:val="00872C1F"/>
    <w:rsid w:val="00872D17"/>
    <w:rsid w:val="00873B42"/>
    <w:rsid w:val="00874BFE"/>
    <w:rsid w:val="00874FA8"/>
    <w:rsid w:val="008752B8"/>
    <w:rsid w:val="008770AB"/>
    <w:rsid w:val="0087715A"/>
    <w:rsid w:val="00880E6A"/>
    <w:rsid w:val="00881D0D"/>
    <w:rsid w:val="0088359A"/>
    <w:rsid w:val="00883D4E"/>
    <w:rsid w:val="00884657"/>
    <w:rsid w:val="00884A33"/>
    <w:rsid w:val="008856D8"/>
    <w:rsid w:val="00887897"/>
    <w:rsid w:val="00890682"/>
    <w:rsid w:val="0089207F"/>
    <w:rsid w:val="008921E9"/>
    <w:rsid w:val="0089227F"/>
    <w:rsid w:val="00892E82"/>
    <w:rsid w:val="00896EF4"/>
    <w:rsid w:val="008A0884"/>
    <w:rsid w:val="008A2033"/>
    <w:rsid w:val="008A483E"/>
    <w:rsid w:val="008A65CE"/>
    <w:rsid w:val="008A6F4A"/>
    <w:rsid w:val="008A796A"/>
    <w:rsid w:val="008A7B91"/>
    <w:rsid w:val="008B0850"/>
    <w:rsid w:val="008B1FC1"/>
    <w:rsid w:val="008B2C8D"/>
    <w:rsid w:val="008B3222"/>
    <w:rsid w:val="008B5941"/>
    <w:rsid w:val="008B5C9D"/>
    <w:rsid w:val="008B7B39"/>
    <w:rsid w:val="008C0419"/>
    <w:rsid w:val="008C1B58"/>
    <w:rsid w:val="008C1DFD"/>
    <w:rsid w:val="008C3594"/>
    <w:rsid w:val="008C39AE"/>
    <w:rsid w:val="008C4146"/>
    <w:rsid w:val="008C4F1B"/>
    <w:rsid w:val="008C522D"/>
    <w:rsid w:val="008C52FD"/>
    <w:rsid w:val="008C590D"/>
    <w:rsid w:val="008C5990"/>
    <w:rsid w:val="008C5A4D"/>
    <w:rsid w:val="008C5E96"/>
    <w:rsid w:val="008C64F9"/>
    <w:rsid w:val="008C6AC9"/>
    <w:rsid w:val="008C767C"/>
    <w:rsid w:val="008D068B"/>
    <w:rsid w:val="008D0E69"/>
    <w:rsid w:val="008D1297"/>
    <w:rsid w:val="008D1B98"/>
    <w:rsid w:val="008D46CC"/>
    <w:rsid w:val="008D78DF"/>
    <w:rsid w:val="008E0295"/>
    <w:rsid w:val="008E031B"/>
    <w:rsid w:val="008E0C22"/>
    <w:rsid w:val="008E3CCD"/>
    <w:rsid w:val="008E4D46"/>
    <w:rsid w:val="008E6D48"/>
    <w:rsid w:val="008E7029"/>
    <w:rsid w:val="008E7EF6"/>
    <w:rsid w:val="008F1F98"/>
    <w:rsid w:val="008F25D1"/>
    <w:rsid w:val="008F430A"/>
    <w:rsid w:val="008F6758"/>
    <w:rsid w:val="00900679"/>
    <w:rsid w:val="00900910"/>
    <w:rsid w:val="00903317"/>
    <w:rsid w:val="009040DD"/>
    <w:rsid w:val="00904124"/>
    <w:rsid w:val="00904332"/>
    <w:rsid w:val="00905B47"/>
    <w:rsid w:val="00910AFF"/>
    <w:rsid w:val="0091331C"/>
    <w:rsid w:val="009142C5"/>
    <w:rsid w:val="00914862"/>
    <w:rsid w:val="009178F5"/>
    <w:rsid w:val="00917F0C"/>
    <w:rsid w:val="00920A04"/>
    <w:rsid w:val="00923DAA"/>
    <w:rsid w:val="00925123"/>
    <w:rsid w:val="00925AF7"/>
    <w:rsid w:val="009279DE"/>
    <w:rsid w:val="00927F93"/>
    <w:rsid w:val="00930116"/>
    <w:rsid w:val="00931711"/>
    <w:rsid w:val="00933501"/>
    <w:rsid w:val="00933A9C"/>
    <w:rsid w:val="00933DEF"/>
    <w:rsid w:val="009349F5"/>
    <w:rsid w:val="00935828"/>
    <w:rsid w:val="00937349"/>
    <w:rsid w:val="00937CB5"/>
    <w:rsid w:val="0094212C"/>
    <w:rsid w:val="00942511"/>
    <w:rsid w:val="00942D6B"/>
    <w:rsid w:val="0094415D"/>
    <w:rsid w:val="00945B11"/>
    <w:rsid w:val="00945D68"/>
    <w:rsid w:val="0095082A"/>
    <w:rsid w:val="00953549"/>
    <w:rsid w:val="00953B35"/>
    <w:rsid w:val="00953EBF"/>
    <w:rsid w:val="00954689"/>
    <w:rsid w:val="00954E1D"/>
    <w:rsid w:val="00955D2F"/>
    <w:rsid w:val="00955D78"/>
    <w:rsid w:val="00956E00"/>
    <w:rsid w:val="00957919"/>
    <w:rsid w:val="00957E40"/>
    <w:rsid w:val="009617C9"/>
    <w:rsid w:val="00961C93"/>
    <w:rsid w:val="00961CAE"/>
    <w:rsid w:val="00962B54"/>
    <w:rsid w:val="009643CE"/>
    <w:rsid w:val="00965324"/>
    <w:rsid w:val="009655BA"/>
    <w:rsid w:val="00965ECF"/>
    <w:rsid w:val="00966428"/>
    <w:rsid w:val="009702D0"/>
    <w:rsid w:val="0097091E"/>
    <w:rsid w:val="00972322"/>
    <w:rsid w:val="0097281E"/>
    <w:rsid w:val="0097293B"/>
    <w:rsid w:val="00972CB6"/>
    <w:rsid w:val="009738E1"/>
    <w:rsid w:val="009748ED"/>
    <w:rsid w:val="009760D3"/>
    <w:rsid w:val="00977132"/>
    <w:rsid w:val="00980B96"/>
    <w:rsid w:val="00981926"/>
    <w:rsid w:val="00981A4B"/>
    <w:rsid w:val="00982501"/>
    <w:rsid w:val="00982AC3"/>
    <w:rsid w:val="00982DFF"/>
    <w:rsid w:val="009877D3"/>
    <w:rsid w:val="00990733"/>
    <w:rsid w:val="00990A68"/>
    <w:rsid w:val="009919D1"/>
    <w:rsid w:val="00994276"/>
    <w:rsid w:val="00994E8F"/>
    <w:rsid w:val="00994F1D"/>
    <w:rsid w:val="009951DC"/>
    <w:rsid w:val="009954D7"/>
    <w:rsid w:val="009959BB"/>
    <w:rsid w:val="00997158"/>
    <w:rsid w:val="009A0341"/>
    <w:rsid w:val="009A1325"/>
    <w:rsid w:val="009A2888"/>
    <w:rsid w:val="009A339B"/>
    <w:rsid w:val="009A3A7C"/>
    <w:rsid w:val="009A4A9C"/>
    <w:rsid w:val="009A4B75"/>
    <w:rsid w:val="009A5DA3"/>
    <w:rsid w:val="009A6379"/>
    <w:rsid w:val="009A63C0"/>
    <w:rsid w:val="009A76AB"/>
    <w:rsid w:val="009A77F2"/>
    <w:rsid w:val="009B08F1"/>
    <w:rsid w:val="009B18D4"/>
    <w:rsid w:val="009B28FB"/>
    <w:rsid w:val="009B2ADB"/>
    <w:rsid w:val="009B2E16"/>
    <w:rsid w:val="009B5730"/>
    <w:rsid w:val="009B5EA9"/>
    <w:rsid w:val="009B603A"/>
    <w:rsid w:val="009B6AB8"/>
    <w:rsid w:val="009C0BA1"/>
    <w:rsid w:val="009C0CFC"/>
    <w:rsid w:val="009C0D2E"/>
    <w:rsid w:val="009C1B16"/>
    <w:rsid w:val="009C20CB"/>
    <w:rsid w:val="009C2D0E"/>
    <w:rsid w:val="009C333F"/>
    <w:rsid w:val="009C3583"/>
    <w:rsid w:val="009C3DAC"/>
    <w:rsid w:val="009C42E0"/>
    <w:rsid w:val="009C610A"/>
    <w:rsid w:val="009D05D1"/>
    <w:rsid w:val="009D0F74"/>
    <w:rsid w:val="009D1AFB"/>
    <w:rsid w:val="009D34F5"/>
    <w:rsid w:val="009D517C"/>
    <w:rsid w:val="009D5362"/>
    <w:rsid w:val="009D634A"/>
    <w:rsid w:val="009D63DB"/>
    <w:rsid w:val="009E1415"/>
    <w:rsid w:val="009E1B93"/>
    <w:rsid w:val="009E2068"/>
    <w:rsid w:val="009E5BE5"/>
    <w:rsid w:val="009E5D0E"/>
    <w:rsid w:val="009E6116"/>
    <w:rsid w:val="009E70A8"/>
    <w:rsid w:val="009E714A"/>
    <w:rsid w:val="009E77D9"/>
    <w:rsid w:val="009F1271"/>
    <w:rsid w:val="009F1533"/>
    <w:rsid w:val="009F23A7"/>
    <w:rsid w:val="009F25F3"/>
    <w:rsid w:val="009F2B24"/>
    <w:rsid w:val="009F5236"/>
    <w:rsid w:val="009F52E6"/>
    <w:rsid w:val="009F54D9"/>
    <w:rsid w:val="009F6A9C"/>
    <w:rsid w:val="00A0104D"/>
    <w:rsid w:val="00A01578"/>
    <w:rsid w:val="00A02E43"/>
    <w:rsid w:val="00A04DAF"/>
    <w:rsid w:val="00A04E8F"/>
    <w:rsid w:val="00A065F9"/>
    <w:rsid w:val="00A07F34"/>
    <w:rsid w:val="00A1059D"/>
    <w:rsid w:val="00A10E8E"/>
    <w:rsid w:val="00A11540"/>
    <w:rsid w:val="00A11BD9"/>
    <w:rsid w:val="00A13503"/>
    <w:rsid w:val="00A13738"/>
    <w:rsid w:val="00A14858"/>
    <w:rsid w:val="00A14DF9"/>
    <w:rsid w:val="00A154BA"/>
    <w:rsid w:val="00A16C68"/>
    <w:rsid w:val="00A1752D"/>
    <w:rsid w:val="00A208D7"/>
    <w:rsid w:val="00A21225"/>
    <w:rsid w:val="00A214D5"/>
    <w:rsid w:val="00A21608"/>
    <w:rsid w:val="00A22154"/>
    <w:rsid w:val="00A2258C"/>
    <w:rsid w:val="00A2292F"/>
    <w:rsid w:val="00A22DF9"/>
    <w:rsid w:val="00A23CA8"/>
    <w:rsid w:val="00A24E9B"/>
    <w:rsid w:val="00A25BD1"/>
    <w:rsid w:val="00A25C38"/>
    <w:rsid w:val="00A30A28"/>
    <w:rsid w:val="00A311D2"/>
    <w:rsid w:val="00A32316"/>
    <w:rsid w:val="00A3314C"/>
    <w:rsid w:val="00A33F63"/>
    <w:rsid w:val="00A33F95"/>
    <w:rsid w:val="00A3589E"/>
    <w:rsid w:val="00A35A74"/>
    <w:rsid w:val="00A35F59"/>
    <w:rsid w:val="00A36BBE"/>
    <w:rsid w:val="00A406FB"/>
    <w:rsid w:val="00A40AA0"/>
    <w:rsid w:val="00A42112"/>
    <w:rsid w:val="00A4226C"/>
    <w:rsid w:val="00A422E2"/>
    <w:rsid w:val="00A42611"/>
    <w:rsid w:val="00A4307A"/>
    <w:rsid w:val="00A4356E"/>
    <w:rsid w:val="00A43AA1"/>
    <w:rsid w:val="00A44550"/>
    <w:rsid w:val="00A453FF"/>
    <w:rsid w:val="00A47EBB"/>
    <w:rsid w:val="00A507D6"/>
    <w:rsid w:val="00A51CDD"/>
    <w:rsid w:val="00A54C48"/>
    <w:rsid w:val="00A5566E"/>
    <w:rsid w:val="00A556C2"/>
    <w:rsid w:val="00A55B9A"/>
    <w:rsid w:val="00A55C30"/>
    <w:rsid w:val="00A57824"/>
    <w:rsid w:val="00A612B4"/>
    <w:rsid w:val="00A615C1"/>
    <w:rsid w:val="00A63BF6"/>
    <w:rsid w:val="00A64116"/>
    <w:rsid w:val="00A6730D"/>
    <w:rsid w:val="00A6743A"/>
    <w:rsid w:val="00A679D4"/>
    <w:rsid w:val="00A71610"/>
    <w:rsid w:val="00A71625"/>
    <w:rsid w:val="00A71B9B"/>
    <w:rsid w:val="00A72562"/>
    <w:rsid w:val="00A728A4"/>
    <w:rsid w:val="00A72E03"/>
    <w:rsid w:val="00A72E85"/>
    <w:rsid w:val="00A72F61"/>
    <w:rsid w:val="00A751C7"/>
    <w:rsid w:val="00A75AEC"/>
    <w:rsid w:val="00A75FDB"/>
    <w:rsid w:val="00A767F0"/>
    <w:rsid w:val="00A77560"/>
    <w:rsid w:val="00A77921"/>
    <w:rsid w:val="00A77D19"/>
    <w:rsid w:val="00A80E78"/>
    <w:rsid w:val="00A8331C"/>
    <w:rsid w:val="00A8545B"/>
    <w:rsid w:val="00A85F47"/>
    <w:rsid w:val="00A87844"/>
    <w:rsid w:val="00A87AFA"/>
    <w:rsid w:val="00A9230E"/>
    <w:rsid w:val="00A94E34"/>
    <w:rsid w:val="00A958D3"/>
    <w:rsid w:val="00A960CD"/>
    <w:rsid w:val="00A96C88"/>
    <w:rsid w:val="00A97098"/>
    <w:rsid w:val="00AA038C"/>
    <w:rsid w:val="00AA0D24"/>
    <w:rsid w:val="00AA11F5"/>
    <w:rsid w:val="00AA1A4F"/>
    <w:rsid w:val="00AA24FE"/>
    <w:rsid w:val="00AA2D2C"/>
    <w:rsid w:val="00AA4C80"/>
    <w:rsid w:val="00AA7A09"/>
    <w:rsid w:val="00AB00DB"/>
    <w:rsid w:val="00AB0EBC"/>
    <w:rsid w:val="00AB160D"/>
    <w:rsid w:val="00AB3217"/>
    <w:rsid w:val="00AB3B50"/>
    <w:rsid w:val="00AB3F86"/>
    <w:rsid w:val="00AB4426"/>
    <w:rsid w:val="00AB4B85"/>
    <w:rsid w:val="00AB51CB"/>
    <w:rsid w:val="00AB5BF5"/>
    <w:rsid w:val="00AC05B1"/>
    <w:rsid w:val="00AC0C79"/>
    <w:rsid w:val="00AC103F"/>
    <w:rsid w:val="00AC16A3"/>
    <w:rsid w:val="00AC3002"/>
    <w:rsid w:val="00AC3467"/>
    <w:rsid w:val="00AC3BE7"/>
    <w:rsid w:val="00AC3E4A"/>
    <w:rsid w:val="00AC439E"/>
    <w:rsid w:val="00AC4CD0"/>
    <w:rsid w:val="00AC62D0"/>
    <w:rsid w:val="00AC63C6"/>
    <w:rsid w:val="00AC6CC7"/>
    <w:rsid w:val="00AC71CB"/>
    <w:rsid w:val="00AC71D5"/>
    <w:rsid w:val="00AC7978"/>
    <w:rsid w:val="00AC7FE2"/>
    <w:rsid w:val="00AD1014"/>
    <w:rsid w:val="00AD178E"/>
    <w:rsid w:val="00AD206C"/>
    <w:rsid w:val="00AD356C"/>
    <w:rsid w:val="00AD3B62"/>
    <w:rsid w:val="00AD3F93"/>
    <w:rsid w:val="00AD4B26"/>
    <w:rsid w:val="00AD6051"/>
    <w:rsid w:val="00AD7AA3"/>
    <w:rsid w:val="00AE0B6C"/>
    <w:rsid w:val="00AE0D19"/>
    <w:rsid w:val="00AE27E3"/>
    <w:rsid w:val="00AE2914"/>
    <w:rsid w:val="00AE314B"/>
    <w:rsid w:val="00AE3A38"/>
    <w:rsid w:val="00AE3A99"/>
    <w:rsid w:val="00AE3BAE"/>
    <w:rsid w:val="00AE3D57"/>
    <w:rsid w:val="00AE5415"/>
    <w:rsid w:val="00AE6D15"/>
    <w:rsid w:val="00AF047F"/>
    <w:rsid w:val="00AF06E1"/>
    <w:rsid w:val="00AF1FC2"/>
    <w:rsid w:val="00AF31A2"/>
    <w:rsid w:val="00AF33B0"/>
    <w:rsid w:val="00AF60E8"/>
    <w:rsid w:val="00AF646C"/>
    <w:rsid w:val="00AF6BA8"/>
    <w:rsid w:val="00AF7D60"/>
    <w:rsid w:val="00B00049"/>
    <w:rsid w:val="00B023CE"/>
    <w:rsid w:val="00B039D0"/>
    <w:rsid w:val="00B04182"/>
    <w:rsid w:val="00B043CF"/>
    <w:rsid w:val="00B04E35"/>
    <w:rsid w:val="00B05513"/>
    <w:rsid w:val="00B07AE3"/>
    <w:rsid w:val="00B07C45"/>
    <w:rsid w:val="00B10C4E"/>
    <w:rsid w:val="00B11430"/>
    <w:rsid w:val="00B11518"/>
    <w:rsid w:val="00B12061"/>
    <w:rsid w:val="00B12822"/>
    <w:rsid w:val="00B133D3"/>
    <w:rsid w:val="00B13C3F"/>
    <w:rsid w:val="00B15FD8"/>
    <w:rsid w:val="00B16312"/>
    <w:rsid w:val="00B16BA1"/>
    <w:rsid w:val="00B17096"/>
    <w:rsid w:val="00B1783B"/>
    <w:rsid w:val="00B178C7"/>
    <w:rsid w:val="00B21ADC"/>
    <w:rsid w:val="00B23837"/>
    <w:rsid w:val="00B23CF2"/>
    <w:rsid w:val="00B24419"/>
    <w:rsid w:val="00B25C23"/>
    <w:rsid w:val="00B261D9"/>
    <w:rsid w:val="00B26660"/>
    <w:rsid w:val="00B276BD"/>
    <w:rsid w:val="00B30268"/>
    <w:rsid w:val="00B30B81"/>
    <w:rsid w:val="00B321E8"/>
    <w:rsid w:val="00B32CB7"/>
    <w:rsid w:val="00B33DBE"/>
    <w:rsid w:val="00B34ED5"/>
    <w:rsid w:val="00B352F4"/>
    <w:rsid w:val="00B353EB"/>
    <w:rsid w:val="00B369C9"/>
    <w:rsid w:val="00B412F4"/>
    <w:rsid w:val="00B41519"/>
    <w:rsid w:val="00B42052"/>
    <w:rsid w:val="00B423D0"/>
    <w:rsid w:val="00B439C4"/>
    <w:rsid w:val="00B44268"/>
    <w:rsid w:val="00B44D8B"/>
    <w:rsid w:val="00B4535E"/>
    <w:rsid w:val="00B4617E"/>
    <w:rsid w:val="00B46BA3"/>
    <w:rsid w:val="00B47549"/>
    <w:rsid w:val="00B47C1F"/>
    <w:rsid w:val="00B506BC"/>
    <w:rsid w:val="00B52A8C"/>
    <w:rsid w:val="00B52CC7"/>
    <w:rsid w:val="00B549F1"/>
    <w:rsid w:val="00B549FE"/>
    <w:rsid w:val="00B54A4E"/>
    <w:rsid w:val="00B55267"/>
    <w:rsid w:val="00B60DB9"/>
    <w:rsid w:val="00B6279D"/>
    <w:rsid w:val="00B636A8"/>
    <w:rsid w:val="00B65A5B"/>
    <w:rsid w:val="00B6600C"/>
    <w:rsid w:val="00B665C6"/>
    <w:rsid w:val="00B66C02"/>
    <w:rsid w:val="00B66E57"/>
    <w:rsid w:val="00B66F7A"/>
    <w:rsid w:val="00B70BB4"/>
    <w:rsid w:val="00B72A0F"/>
    <w:rsid w:val="00B73DFA"/>
    <w:rsid w:val="00B75C5C"/>
    <w:rsid w:val="00B77970"/>
    <w:rsid w:val="00B805AF"/>
    <w:rsid w:val="00B8149B"/>
    <w:rsid w:val="00B81BB7"/>
    <w:rsid w:val="00B8239D"/>
    <w:rsid w:val="00B844E7"/>
    <w:rsid w:val="00B85880"/>
    <w:rsid w:val="00B861DB"/>
    <w:rsid w:val="00B869EC"/>
    <w:rsid w:val="00B86A34"/>
    <w:rsid w:val="00B86E8F"/>
    <w:rsid w:val="00B86F1A"/>
    <w:rsid w:val="00B8732F"/>
    <w:rsid w:val="00B87CA6"/>
    <w:rsid w:val="00B9291C"/>
    <w:rsid w:val="00B9397A"/>
    <w:rsid w:val="00B94EA5"/>
    <w:rsid w:val="00B95622"/>
    <w:rsid w:val="00B956F8"/>
    <w:rsid w:val="00B9633D"/>
    <w:rsid w:val="00B9645E"/>
    <w:rsid w:val="00B964D1"/>
    <w:rsid w:val="00B96611"/>
    <w:rsid w:val="00B97451"/>
    <w:rsid w:val="00BA1E19"/>
    <w:rsid w:val="00BA26AF"/>
    <w:rsid w:val="00BA29FE"/>
    <w:rsid w:val="00BA2DC2"/>
    <w:rsid w:val="00BA2EBE"/>
    <w:rsid w:val="00BA30AE"/>
    <w:rsid w:val="00BA33D2"/>
    <w:rsid w:val="00BA4329"/>
    <w:rsid w:val="00BA433D"/>
    <w:rsid w:val="00BA6465"/>
    <w:rsid w:val="00BB0F28"/>
    <w:rsid w:val="00BB1220"/>
    <w:rsid w:val="00BB223C"/>
    <w:rsid w:val="00BB34C7"/>
    <w:rsid w:val="00BB41FA"/>
    <w:rsid w:val="00BB458A"/>
    <w:rsid w:val="00BB4A3F"/>
    <w:rsid w:val="00BB4A47"/>
    <w:rsid w:val="00BB4CB1"/>
    <w:rsid w:val="00BB4DFB"/>
    <w:rsid w:val="00BB645D"/>
    <w:rsid w:val="00BB7443"/>
    <w:rsid w:val="00BC2AF6"/>
    <w:rsid w:val="00BC359C"/>
    <w:rsid w:val="00BC4FAD"/>
    <w:rsid w:val="00BC5E9C"/>
    <w:rsid w:val="00BC6B8B"/>
    <w:rsid w:val="00BC728F"/>
    <w:rsid w:val="00BD00D3"/>
    <w:rsid w:val="00BD0C4A"/>
    <w:rsid w:val="00BD1659"/>
    <w:rsid w:val="00BD1D87"/>
    <w:rsid w:val="00BD2D4A"/>
    <w:rsid w:val="00BD3AA9"/>
    <w:rsid w:val="00BD47F0"/>
    <w:rsid w:val="00BD4A18"/>
    <w:rsid w:val="00BD512E"/>
    <w:rsid w:val="00BD64EA"/>
    <w:rsid w:val="00BD6591"/>
    <w:rsid w:val="00BD6DB2"/>
    <w:rsid w:val="00BE11CF"/>
    <w:rsid w:val="00BE21AB"/>
    <w:rsid w:val="00BE3B30"/>
    <w:rsid w:val="00BE4342"/>
    <w:rsid w:val="00BE4D50"/>
    <w:rsid w:val="00BE55CB"/>
    <w:rsid w:val="00BE5CC1"/>
    <w:rsid w:val="00BE75E0"/>
    <w:rsid w:val="00BE7DF7"/>
    <w:rsid w:val="00BF0420"/>
    <w:rsid w:val="00BF1674"/>
    <w:rsid w:val="00BF2508"/>
    <w:rsid w:val="00BF3A35"/>
    <w:rsid w:val="00BF54C9"/>
    <w:rsid w:val="00BF60A8"/>
    <w:rsid w:val="00BF617A"/>
    <w:rsid w:val="00BF6AB4"/>
    <w:rsid w:val="00C00277"/>
    <w:rsid w:val="00C00584"/>
    <w:rsid w:val="00C00B91"/>
    <w:rsid w:val="00C00FCB"/>
    <w:rsid w:val="00C016CC"/>
    <w:rsid w:val="00C030A3"/>
    <w:rsid w:val="00C0379D"/>
    <w:rsid w:val="00C03931"/>
    <w:rsid w:val="00C04B79"/>
    <w:rsid w:val="00C05FE3"/>
    <w:rsid w:val="00C06565"/>
    <w:rsid w:val="00C06A10"/>
    <w:rsid w:val="00C077ED"/>
    <w:rsid w:val="00C124FE"/>
    <w:rsid w:val="00C13A63"/>
    <w:rsid w:val="00C144A9"/>
    <w:rsid w:val="00C14D3E"/>
    <w:rsid w:val="00C21113"/>
    <w:rsid w:val="00C2136D"/>
    <w:rsid w:val="00C214EE"/>
    <w:rsid w:val="00C21818"/>
    <w:rsid w:val="00C21D6A"/>
    <w:rsid w:val="00C22C6B"/>
    <w:rsid w:val="00C2314B"/>
    <w:rsid w:val="00C23389"/>
    <w:rsid w:val="00C2365F"/>
    <w:rsid w:val="00C23997"/>
    <w:rsid w:val="00C24038"/>
    <w:rsid w:val="00C24551"/>
    <w:rsid w:val="00C2473D"/>
    <w:rsid w:val="00C24971"/>
    <w:rsid w:val="00C24BBE"/>
    <w:rsid w:val="00C26BE5"/>
    <w:rsid w:val="00C26C30"/>
    <w:rsid w:val="00C26E4D"/>
    <w:rsid w:val="00C27458"/>
    <w:rsid w:val="00C27909"/>
    <w:rsid w:val="00C27B03"/>
    <w:rsid w:val="00C30413"/>
    <w:rsid w:val="00C3091E"/>
    <w:rsid w:val="00C30CFE"/>
    <w:rsid w:val="00C314E1"/>
    <w:rsid w:val="00C32DEF"/>
    <w:rsid w:val="00C34397"/>
    <w:rsid w:val="00C34737"/>
    <w:rsid w:val="00C4007D"/>
    <w:rsid w:val="00C4095D"/>
    <w:rsid w:val="00C416BF"/>
    <w:rsid w:val="00C4241C"/>
    <w:rsid w:val="00C42748"/>
    <w:rsid w:val="00C434F9"/>
    <w:rsid w:val="00C438F8"/>
    <w:rsid w:val="00C43AF0"/>
    <w:rsid w:val="00C46587"/>
    <w:rsid w:val="00C511B5"/>
    <w:rsid w:val="00C52CC7"/>
    <w:rsid w:val="00C536E9"/>
    <w:rsid w:val="00C53E7C"/>
    <w:rsid w:val="00C56B8A"/>
    <w:rsid w:val="00C57017"/>
    <w:rsid w:val="00C57601"/>
    <w:rsid w:val="00C601D2"/>
    <w:rsid w:val="00C603A0"/>
    <w:rsid w:val="00C605E4"/>
    <w:rsid w:val="00C60E77"/>
    <w:rsid w:val="00C61712"/>
    <w:rsid w:val="00C618BF"/>
    <w:rsid w:val="00C61A6B"/>
    <w:rsid w:val="00C61F10"/>
    <w:rsid w:val="00C63674"/>
    <w:rsid w:val="00C646FE"/>
    <w:rsid w:val="00C64BE2"/>
    <w:rsid w:val="00C657AB"/>
    <w:rsid w:val="00C65BCC"/>
    <w:rsid w:val="00C66970"/>
    <w:rsid w:val="00C66E6D"/>
    <w:rsid w:val="00C70874"/>
    <w:rsid w:val="00C71759"/>
    <w:rsid w:val="00C72D8B"/>
    <w:rsid w:val="00C73A23"/>
    <w:rsid w:val="00C7477D"/>
    <w:rsid w:val="00C75661"/>
    <w:rsid w:val="00C763DD"/>
    <w:rsid w:val="00C77E7A"/>
    <w:rsid w:val="00C81266"/>
    <w:rsid w:val="00C83DDC"/>
    <w:rsid w:val="00C8691C"/>
    <w:rsid w:val="00C86E2E"/>
    <w:rsid w:val="00C91E8E"/>
    <w:rsid w:val="00C949F1"/>
    <w:rsid w:val="00C94DA0"/>
    <w:rsid w:val="00C96400"/>
    <w:rsid w:val="00C97267"/>
    <w:rsid w:val="00C9760D"/>
    <w:rsid w:val="00C97B0D"/>
    <w:rsid w:val="00CA0487"/>
    <w:rsid w:val="00CA168A"/>
    <w:rsid w:val="00CA19A6"/>
    <w:rsid w:val="00CA357E"/>
    <w:rsid w:val="00CA3629"/>
    <w:rsid w:val="00CA395C"/>
    <w:rsid w:val="00CA4345"/>
    <w:rsid w:val="00CA44F9"/>
    <w:rsid w:val="00CA4A69"/>
    <w:rsid w:val="00CA50E4"/>
    <w:rsid w:val="00CA5587"/>
    <w:rsid w:val="00CA5828"/>
    <w:rsid w:val="00CA7F6C"/>
    <w:rsid w:val="00CB25F3"/>
    <w:rsid w:val="00CB3245"/>
    <w:rsid w:val="00CB375A"/>
    <w:rsid w:val="00CB4117"/>
    <w:rsid w:val="00CB4989"/>
    <w:rsid w:val="00CB4ED8"/>
    <w:rsid w:val="00CB510A"/>
    <w:rsid w:val="00CB54EB"/>
    <w:rsid w:val="00CB5BC1"/>
    <w:rsid w:val="00CB6EA8"/>
    <w:rsid w:val="00CB7667"/>
    <w:rsid w:val="00CC08B3"/>
    <w:rsid w:val="00CC0B4B"/>
    <w:rsid w:val="00CC0F5D"/>
    <w:rsid w:val="00CC1385"/>
    <w:rsid w:val="00CC1E8B"/>
    <w:rsid w:val="00CC358E"/>
    <w:rsid w:val="00CC3E0C"/>
    <w:rsid w:val="00CC4C57"/>
    <w:rsid w:val="00CC58D3"/>
    <w:rsid w:val="00CC5B58"/>
    <w:rsid w:val="00CC784D"/>
    <w:rsid w:val="00CC7866"/>
    <w:rsid w:val="00CD00C5"/>
    <w:rsid w:val="00CD0647"/>
    <w:rsid w:val="00CD07B0"/>
    <w:rsid w:val="00CD1BF0"/>
    <w:rsid w:val="00CD3738"/>
    <w:rsid w:val="00CD6B5B"/>
    <w:rsid w:val="00CD71F0"/>
    <w:rsid w:val="00CD7297"/>
    <w:rsid w:val="00CD78C4"/>
    <w:rsid w:val="00CD7F57"/>
    <w:rsid w:val="00CE3FD0"/>
    <w:rsid w:val="00CE4C32"/>
    <w:rsid w:val="00CE5D12"/>
    <w:rsid w:val="00CE6629"/>
    <w:rsid w:val="00CE7994"/>
    <w:rsid w:val="00CF107C"/>
    <w:rsid w:val="00CF2656"/>
    <w:rsid w:val="00CF2675"/>
    <w:rsid w:val="00CF2CA3"/>
    <w:rsid w:val="00CF3DCD"/>
    <w:rsid w:val="00CF4EB0"/>
    <w:rsid w:val="00CF70FC"/>
    <w:rsid w:val="00D0337B"/>
    <w:rsid w:val="00D046FE"/>
    <w:rsid w:val="00D051BD"/>
    <w:rsid w:val="00D079B2"/>
    <w:rsid w:val="00D10D96"/>
    <w:rsid w:val="00D114E9"/>
    <w:rsid w:val="00D12A16"/>
    <w:rsid w:val="00D12E0B"/>
    <w:rsid w:val="00D1497B"/>
    <w:rsid w:val="00D14FAD"/>
    <w:rsid w:val="00D1536D"/>
    <w:rsid w:val="00D153A6"/>
    <w:rsid w:val="00D156BE"/>
    <w:rsid w:val="00D1655A"/>
    <w:rsid w:val="00D177E7"/>
    <w:rsid w:val="00D17BF7"/>
    <w:rsid w:val="00D2095D"/>
    <w:rsid w:val="00D23137"/>
    <w:rsid w:val="00D24D94"/>
    <w:rsid w:val="00D25D78"/>
    <w:rsid w:val="00D30BBB"/>
    <w:rsid w:val="00D314ED"/>
    <w:rsid w:val="00D31607"/>
    <w:rsid w:val="00D3170C"/>
    <w:rsid w:val="00D3196A"/>
    <w:rsid w:val="00D31AEB"/>
    <w:rsid w:val="00D323A7"/>
    <w:rsid w:val="00D338ED"/>
    <w:rsid w:val="00D33D7E"/>
    <w:rsid w:val="00D3444B"/>
    <w:rsid w:val="00D35734"/>
    <w:rsid w:val="00D35D1C"/>
    <w:rsid w:val="00D36641"/>
    <w:rsid w:val="00D379E9"/>
    <w:rsid w:val="00D40A30"/>
    <w:rsid w:val="00D40A95"/>
    <w:rsid w:val="00D429C6"/>
    <w:rsid w:val="00D44AEE"/>
    <w:rsid w:val="00D451D5"/>
    <w:rsid w:val="00D45A9A"/>
    <w:rsid w:val="00D47748"/>
    <w:rsid w:val="00D501C9"/>
    <w:rsid w:val="00D50D10"/>
    <w:rsid w:val="00D52D3A"/>
    <w:rsid w:val="00D53382"/>
    <w:rsid w:val="00D5372B"/>
    <w:rsid w:val="00D53FC4"/>
    <w:rsid w:val="00D54CC3"/>
    <w:rsid w:val="00D565F6"/>
    <w:rsid w:val="00D573CD"/>
    <w:rsid w:val="00D6041A"/>
    <w:rsid w:val="00D60B75"/>
    <w:rsid w:val="00D612DD"/>
    <w:rsid w:val="00D6130C"/>
    <w:rsid w:val="00D633EB"/>
    <w:rsid w:val="00D63465"/>
    <w:rsid w:val="00D63E53"/>
    <w:rsid w:val="00D64C10"/>
    <w:rsid w:val="00D65E74"/>
    <w:rsid w:val="00D660CE"/>
    <w:rsid w:val="00D667D3"/>
    <w:rsid w:val="00D67144"/>
    <w:rsid w:val="00D7084A"/>
    <w:rsid w:val="00D717BB"/>
    <w:rsid w:val="00D71D24"/>
    <w:rsid w:val="00D71FBF"/>
    <w:rsid w:val="00D720B4"/>
    <w:rsid w:val="00D7281D"/>
    <w:rsid w:val="00D762A3"/>
    <w:rsid w:val="00D76780"/>
    <w:rsid w:val="00D76D56"/>
    <w:rsid w:val="00D8017A"/>
    <w:rsid w:val="00D806B6"/>
    <w:rsid w:val="00D82ED6"/>
    <w:rsid w:val="00D82FF7"/>
    <w:rsid w:val="00D847FE"/>
    <w:rsid w:val="00D84FB8"/>
    <w:rsid w:val="00D8539C"/>
    <w:rsid w:val="00D85DD1"/>
    <w:rsid w:val="00D86436"/>
    <w:rsid w:val="00D870C9"/>
    <w:rsid w:val="00D906D2"/>
    <w:rsid w:val="00D91989"/>
    <w:rsid w:val="00D91EFB"/>
    <w:rsid w:val="00D964EA"/>
    <w:rsid w:val="00D966D0"/>
    <w:rsid w:val="00D96E4A"/>
    <w:rsid w:val="00D96E7A"/>
    <w:rsid w:val="00DA0C59"/>
    <w:rsid w:val="00DA1375"/>
    <w:rsid w:val="00DA1A60"/>
    <w:rsid w:val="00DA244B"/>
    <w:rsid w:val="00DA2F37"/>
    <w:rsid w:val="00DA34F9"/>
    <w:rsid w:val="00DA358F"/>
    <w:rsid w:val="00DA3991"/>
    <w:rsid w:val="00DA3F4F"/>
    <w:rsid w:val="00DA401F"/>
    <w:rsid w:val="00DA51F4"/>
    <w:rsid w:val="00DA5526"/>
    <w:rsid w:val="00DA58D1"/>
    <w:rsid w:val="00DB0FA1"/>
    <w:rsid w:val="00DB2770"/>
    <w:rsid w:val="00DB2D9B"/>
    <w:rsid w:val="00DB2DD8"/>
    <w:rsid w:val="00DB3908"/>
    <w:rsid w:val="00DB3C84"/>
    <w:rsid w:val="00DB4577"/>
    <w:rsid w:val="00DB4F7F"/>
    <w:rsid w:val="00DB56CA"/>
    <w:rsid w:val="00DB725A"/>
    <w:rsid w:val="00DB7E6C"/>
    <w:rsid w:val="00DB7F75"/>
    <w:rsid w:val="00DC1660"/>
    <w:rsid w:val="00DC25F2"/>
    <w:rsid w:val="00DC4B2A"/>
    <w:rsid w:val="00DC4DDD"/>
    <w:rsid w:val="00DC5679"/>
    <w:rsid w:val="00DC617B"/>
    <w:rsid w:val="00DD1886"/>
    <w:rsid w:val="00DD2721"/>
    <w:rsid w:val="00DD2A8F"/>
    <w:rsid w:val="00DD3103"/>
    <w:rsid w:val="00DD33C7"/>
    <w:rsid w:val="00DD3AC1"/>
    <w:rsid w:val="00DD4036"/>
    <w:rsid w:val="00DD512B"/>
    <w:rsid w:val="00DD5A29"/>
    <w:rsid w:val="00DD5D9D"/>
    <w:rsid w:val="00DD6666"/>
    <w:rsid w:val="00DD7800"/>
    <w:rsid w:val="00DE00A6"/>
    <w:rsid w:val="00DE0867"/>
    <w:rsid w:val="00DE1C4D"/>
    <w:rsid w:val="00DE3119"/>
    <w:rsid w:val="00DE35CB"/>
    <w:rsid w:val="00DE55CE"/>
    <w:rsid w:val="00DE67D2"/>
    <w:rsid w:val="00DF0BCD"/>
    <w:rsid w:val="00DF18C1"/>
    <w:rsid w:val="00DF21E9"/>
    <w:rsid w:val="00DF576C"/>
    <w:rsid w:val="00DF6359"/>
    <w:rsid w:val="00DF6738"/>
    <w:rsid w:val="00DF68C7"/>
    <w:rsid w:val="00DF7A4C"/>
    <w:rsid w:val="00E00F14"/>
    <w:rsid w:val="00E027EA"/>
    <w:rsid w:val="00E02BAF"/>
    <w:rsid w:val="00E06386"/>
    <w:rsid w:val="00E071D1"/>
    <w:rsid w:val="00E0786C"/>
    <w:rsid w:val="00E07A17"/>
    <w:rsid w:val="00E12CC0"/>
    <w:rsid w:val="00E132C7"/>
    <w:rsid w:val="00E134A3"/>
    <w:rsid w:val="00E1353B"/>
    <w:rsid w:val="00E13FCB"/>
    <w:rsid w:val="00E15A16"/>
    <w:rsid w:val="00E15ED4"/>
    <w:rsid w:val="00E170F0"/>
    <w:rsid w:val="00E17CA7"/>
    <w:rsid w:val="00E2098B"/>
    <w:rsid w:val="00E216C8"/>
    <w:rsid w:val="00E21892"/>
    <w:rsid w:val="00E22362"/>
    <w:rsid w:val="00E2237F"/>
    <w:rsid w:val="00E241D5"/>
    <w:rsid w:val="00E24EB4"/>
    <w:rsid w:val="00E27D54"/>
    <w:rsid w:val="00E305BE"/>
    <w:rsid w:val="00E30700"/>
    <w:rsid w:val="00E3167E"/>
    <w:rsid w:val="00E31A1C"/>
    <w:rsid w:val="00E31B66"/>
    <w:rsid w:val="00E320ED"/>
    <w:rsid w:val="00E336F2"/>
    <w:rsid w:val="00E33946"/>
    <w:rsid w:val="00E33AFB"/>
    <w:rsid w:val="00E34218"/>
    <w:rsid w:val="00E3425B"/>
    <w:rsid w:val="00E3449B"/>
    <w:rsid w:val="00E35751"/>
    <w:rsid w:val="00E37021"/>
    <w:rsid w:val="00E37B55"/>
    <w:rsid w:val="00E42467"/>
    <w:rsid w:val="00E43F1C"/>
    <w:rsid w:val="00E46282"/>
    <w:rsid w:val="00E46508"/>
    <w:rsid w:val="00E4736A"/>
    <w:rsid w:val="00E47629"/>
    <w:rsid w:val="00E4778D"/>
    <w:rsid w:val="00E47D27"/>
    <w:rsid w:val="00E51523"/>
    <w:rsid w:val="00E5216E"/>
    <w:rsid w:val="00E52931"/>
    <w:rsid w:val="00E52E44"/>
    <w:rsid w:val="00E52EC9"/>
    <w:rsid w:val="00E53FF4"/>
    <w:rsid w:val="00E54BAD"/>
    <w:rsid w:val="00E56EA7"/>
    <w:rsid w:val="00E606AE"/>
    <w:rsid w:val="00E610C5"/>
    <w:rsid w:val="00E62681"/>
    <w:rsid w:val="00E62CEA"/>
    <w:rsid w:val="00E67EC8"/>
    <w:rsid w:val="00E67F37"/>
    <w:rsid w:val="00E67F3A"/>
    <w:rsid w:val="00E7495B"/>
    <w:rsid w:val="00E75835"/>
    <w:rsid w:val="00E75911"/>
    <w:rsid w:val="00E82344"/>
    <w:rsid w:val="00E835B5"/>
    <w:rsid w:val="00E8449E"/>
    <w:rsid w:val="00E845D0"/>
    <w:rsid w:val="00E84BB4"/>
    <w:rsid w:val="00E84C82"/>
    <w:rsid w:val="00E84D64"/>
    <w:rsid w:val="00E852DC"/>
    <w:rsid w:val="00E87408"/>
    <w:rsid w:val="00E87E02"/>
    <w:rsid w:val="00E90D4F"/>
    <w:rsid w:val="00E914C4"/>
    <w:rsid w:val="00E91E2C"/>
    <w:rsid w:val="00E934F5"/>
    <w:rsid w:val="00E93E7F"/>
    <w:rsid w:val="00E9535C"/>
    <w:rsid w:val="00E96961"/>
    <w:rsid w:val="00EA13EB"/>
    <w:rsid w:val="00EA156B"/>
    <w:rsid w:val="00EA4C8B"/>
    <w:rsid w:val="00EA661C"/>
    <w:rsid w:val="00EA72EC"/>
    <w:rsid w:val="00EB11CB"/>
    <w:rsid w:val="00EB1E71"/>
    <w:rsid w:val="00EB22AA"/>
    <w:rsid w:val="00EB275A"/>
    <w:rsid w:val="00EB2FC4"/>
    <w:rsid w:val="00EB3273"/>
    <w:rsid w:val="00EB52CF"/>
    <w:rsid w:val="00EB58AA"/>
    <w:rsid w:val="00EB70A3"/>
    <w:rsid w:val="00EB76AC"/>
    <w:rsid w:val="00EB786A"/>
    <w:rsid w:val="00EB7FE5"/>
    <w:rsid w:val="00EC0C4B"/>
    <w:rsid w:val="00EC1578"/>
    <w:rsid w:val="00EC1796"/>
    <w:rsid w:val="00EC1C72"/>
    <w:rsid w:val="00EC31E7"/>
    <w:rsid w:val="00EC3CC9"/>
    <w:rsid w:val="00EC4108"/>
    <w:rsid w:val="00EC4DBA"/>
    <w:rsid w:val="00EC5289"/>
    <w:rsid w:val="00EC62F8"/>
    <w:rsid w:val="00EC6801"/>
    <w:rsid w:val="00EC680A"/>
    <w:rsid w:val="00EC6AEA"/>
    <w:rsid w:val="00EC7463"/>
    <w:rsid w:val="00EC74FD"/>
    <w:rsid w:val="00EC79A6"/>
    <w:rsid w:val="00ED08A3"/>
    <w:rsid w:val="00ED1F91"/>
    <w:rsid w:val="00ED22EC"/>
    <w:rsid w:val="00ED2F96"/>
    <w:rsid w:val="00ED67E5"/>
    <w:rsid w:val="00ED699B"/>
    <w:rsid w:val="00EE0D43"/>
    <w:rsid w:val="00EE1470"/>
    <w:rsid w:val="00EE18D8"/>
    <w:rsid w:val="00EE2A64"/>
    <w:rsid w:val="00EE2B57"/>
    <w:rsid w:val="00EE2BED"/>
    <w:rsid w:val="00EE2F82"/>
    <w:rsid w:val="00EE374B"/>
    <w:rsid w:val="00EE49F4"/>
    <w:rsid w:val="00EE501F"/>
    <w:rsid w:val="00EE7698"/>
    <w:rsid w:val="00EE789D"/>
    <w:rsid w:val="00EE7FB1"/>
    <w:rsid w:val="00EF07D9"/>
    <w:rsid w:val="00EF19A0"/>
    <w:rsid w:val="00EF241C"/>
    <w:rsid w:val="00EF26DF"/>
    <w:rsid w:val="00EF3EA7"/>
    <w:rsid w:val="00EF4F99"/>
    <w:rsid w:val="00EF5A06"/>
    <w:rsid w:val="00EF6AB1"/>
    <w:rsid w:val="00EF754F"/>
    <w:rsid w:val="00F006ED"/>
    <w:rsid w:val="00F015C7"/>
    <w:rsid w:val="00F01B78"/>
    <w:rsid w:val="00F022E1"/>
    <w:rsid w:val="00F037DB"/>
    <w:rsid w:val="00F03CBF"/>
    <w:rsid w:val="00F0407F"/>
    <w:rsid w:val="00F0461A"/>
    <w:rsid w:val="00F06792"/>
    <w:rsid w:val="00F114E9"/>
    <w:rsid w:val="00F11A38"/>
    <w:rsid w:val="00F11BB5"/>
    <w:rsid w:val="00F1325C"/>
    <w:rsid w:val="00F13F2E"/>
    <w:rsid w:val="00F1417B"/>
    <w:rsid w:val="00F14A50"/>
    <w:rsid w:val="00F153C7"/>
    <w:rsid w:val="00F269E8"/>
    <w:rsid w:val="00F27826"/>
    <w:rsid w:val="00F3028E"/>
    <w:rsid w:val="00F309ED"/>
    <w:rsid w:val="00F30E5F"/>
    <w:rsid w:val="00F30FE2"/>
    <w:rsid w:val="00F31087"/>
    <w:rsid w:val="00F32A51"/>
    <w:rsid w:val="00F32D2F"/>
    <w:rsid w:val="00F33E88"/>
    <w:rsid w:val="00F3476D"/>
    <w:rsid w:val="00F34B99"/>
    <w:rsid w:val="00F34DD1"/>
    <w:rsid w:val="00F3520D"/>
    <w:rsid w:val="00F35492"/>
    <w:rsid w:val="00F36961"/>
    <w:rsid w:val="00F37632"/>
    <w:rsid w:val="00F412B9"/>
    <w:rsid w:val="00F41BB9"/>
    <w:rsid w:val="00F43406"/>
    <w:rsid w:val="00F4589E"/>
    <w:rsid w:val="00F46BBA"/>
    <w:rsid w:val="00F50FB0"/>
    <w:rsid w:val="00F51A3E"/>
    <w:rsid w:val="00F52DAB"/>
    <w:rsid w:val="00F543F0"/>
    <w:rsid w:val="00F555FD"/>
    <w:rsid w:val="00F562F8"/>
    <w:rsid w:val="00F56ED4"/>
    <w:rsid w:val="00F60751"/>
    <w:rsid w:val="00F61204"/>
    <w:rsid w:val="00F617C1"/>
    <w:rsid w:val="00F61975"/>
    <w:rsid w:val="00F61BCB"/>
    <w:rsid w:val="00F666F3"/>
    <w:rsid w:val="00F67187"/>
    <w:rsid w:val="00F67303"/>
    <w:rsid w:val="00F67456"/>
    <w:rsid w:val="00F67669"/>
    <w:rsid w:val="00F677D5"/>
    <w:rsid w:val="00F67862"/>
    <w:rsid w:val="00F67DE3"/>
    <w:rsid w:val="00F7196C"/>
    <w:rsid w:val="00F72766"/>
    <w:rsid w:val="00F728CF"/>
    <w:rsid w:val="00F7405A"/>
    <w:rsid w:val="00F75066"/>
    <w:rsid w:val="00F7620F"/>
    <w:rsid w:val="00F76FF8"/>
    <w:rsid w:val="00F778DD"/>
    <w:rsid w:val="00F8123F"/>
    <w:rsid w:val="00F81619"/>
    <w:rsid w:val="00F819BF"/>
    <w:rsid w:val="00F81D29"/>
    <w:rsid w:val="00F82B59"/>
    <w:rsid w:val="00F83317"/>
    <w:rsid w:val="00F83410"/>
    <w:rsid w:val="00F838F7"/>
    <w:rsid w:val="00F839A3"/>
    <w:rsid w:val="00F85C73"/>
    <w:rsid w:val="00F86F5C"/>
    <w:rsid w:val="00F87F63"/>
    <w:rsid w:val="00F87FBC"/>
    <w:rsid w:val="00F91B0A"/>
    <w:rsid w:val="00F91C4D"/>
    <w:rsid w:val="00F925B3"/>
    <w:rsid w:val="00F92FD9"/>
    <w:rsid w:val="00F93D1C"/>
    <w:rsid w:val="00F9431D"/>
    <w:rsid w:val="00F95068"/>
    <w:rsid w:val="00F95A74"/>
    <w:rsid w:val="00F97BFE"/>
    <w:rsid w:val="00F97CB5"/>
    <w:rsid w:val="00FA163A"/>
    <w:rsid w:val="00FA3F27"/>
    <w:rsid w:val="00FA42AB"/>
    <w:rsid w:val="00FA5821"/>
    <w:rsid w:val="00FA6171"/>
    <w:rsid w:val="00FA6684"/>
    <w:rsid w:val="00FA6740"/>
    <w:rsid w:val="00FA6B53"/>
    <w:rsid w:val="00FA6EB7"/>
    <w:rsid w:val="00FA731E"/>
    <w:rsid w:val="00FA790D"/>
    <w:rsid w:val="00FB0605"/>
    <w:rsid w:val="00FB1A51"/>
    <w:rsid w:val="00FB2B38"/>
    <w:rsid w:val="00FB3387"/>
    <w:rsid w:val="00FB3AC1"/>
    <w:rsid w:val="00FB51A7"/>
    <w:rsid w:val="00FB5948"/>
    <w:rsid w:val="00FB6572"/>
    <w:rsid w:val="00FC07CC"/>
    <w:rsid w:val="00FC08CA"/>
    <w:rsid w:val="00FC19DC"/>
    <w:rsid w:val="00FC2028"/>
    <w:rsid w:val="00FC2A8E"/>
    <w:rsid w:val="00FC3FDC"/>
    <w:rsid w:val="00FC4E9C"/>
    <w:rsid w:val="00FC54BA"/>
    <w:rsid w:val="00FC6358"/>
    <w:rsid w:val="00FD0AD3"/>
    <w:rsid w:val="00FD0BD5"/>
    <w:rsid w:val="00FD114D"/>
    <w:rsid w:val="00FD2539"/>
    <w:rsid w:val="00FD2AE5"/>
    <w:rsid w:val="00FD320D"/>
    <w:rsid w:val="00FD4C2D"/>
    <w:rsid w:val="00FD56F9"/>
    <w:rsid w:val="00FD60C0"/>
    <w:rsid w:val="00FE0053"/>
    <w:rsid w:val="00FE0331"/>
    <w:rsid w:val="00FE1AF2"/>
    <w:rsid w:val="00FE23DE"/>
    <w:rsid w:val="00FE3FAA"/>
    <w:rsid w:val="00FE5649"/>
    <w:rsid w:val="00FE6AB6"/>
    <w:rsid w:val="00FE6F0E"/>
    <w:rsid w:val="00FF0702"/>
    <w:rsid w:val="00FF0D05"/>
    <w:rsid w:val="00FF22B0"/>
    <w:rsid w:val="00FF464D"/>
    <w:rsid w:val="00FF4CB2"/>
    <w:rsid w:val="00FF5DAB"/>
    <w:rsid w:val="00FF6DCD"/>
    <w:rsid w:val="00FF70C1"/>
    <w:rsid w:val="03B561C0"/>
    <w:rsid w:val="03F22CCA"/>
    <w:rsid w:val="0436651F"/>
    <w:rsid w:val="04397AC7"/>
    <w:rsid w:val="068E2972"/>
    <w:rsid w:val="06CD3785"/>
    <w:rsid w:val="0722039A"/>
    <w:rsid w:val="0AD21906"/>
    <w:rsid w:val="0BED3478"/>
    <w:rsid w:val="0C5E3BDC"/>
    <w:rsid w:val="0C60774B"/>
    <w:rsid w:val="0DEA153C"/>
    <w:rsid w:val="0E4153B4"/>
    <w:rsid w:val="0FBA10DE"/>
    <w:rsid w:val="102F13EF"/>
    <w:rsid w:val="141213B3"/>
    <w:rsid w:val="1499035F"/>
    <w:rsid w:val="15164DB0"/>
    <w:rsid w:val="192E409F"/>
    <w:rsid w:val="19A05834"/>
    <w:rsid w:val="1B5109FA"/>
    <w:rsid w:val="1C031D21"/>
    <w:rsid w:val="1C4F3541"/>
    <w:rsid w:val="1CE8200A"/>
    <w:rsid w:val="1E080372"/>
    <w:rsid w:val="1E457D81"/>
    <w:rsid w:val="1E8618BB"/>
    <w:rsid w:val="1EC23292"/>
    <w:rsid w:val="1F3F2E83"/>
    <w:rsid w:val="1F5F1F58"/>
    <w:rsid w:val="25AA356F"/>
    <w:rsid w:val="25E70D30"/>
    <w:rsid w:val="26D67448"/>
    <w:rsid w:val="278422F1"/>
    <w:rsid w:val="27E66ABE"/>
    <w:rsid w:val="288437B9"/>
    <w:rsid w:val="2AE23E5D"/>
    <w:rsid w:val="2C7331C3"/>
    <w:rsid w:val="2C895B2E"/>
    <w:rsid w:val="2D5E2683"/>
    <w:rsid w:val="2E4228C0"/>
    <w:rsid w:val="2E9C63BD"/>
    <w:rsid w:val="2FB23CE6"/>
    <w:rsid w:val="32A741A8"/>
    <w:rsid w:val="336E764E"/>
    <w:rsid w:val="35D131DB"/>
    <w:rsid w:val="36D058D5"/>
    <w:rsid w:val="39802BB6"/>
    <w:rsid w:val="3B0633D7"/>
    <w:rsid w:val="3FCD6FF3"/>
    <w:rsid w:val="427F7E2D"/>
    <w:rsid w:val="42CB6BCE"/>
    <w:rsid w:val="431818B9"/>
    <w:rsid w:val="46283561"/>
    <w:rsid w:val="492E75BC"/>
    <w:rsid w:val="498D2268"/>
    <w:rsid w:val="4C932889"/>
    <w:rsid w:val="4E68018A"/>
    <w:rsid w:val="5180327A"/>
    <w:rsid w:val="5260267E"/>
    <w:rsid w:val="5403464B"/>
    <w:rsid w:val="547F1FC8"/>
    <w:rsid w:val="553218F0"/>
    <w:rsid w:val="56293EE0"/>
    <w:rsid w:val="56B15604"/>
    <w:rsid w:val="56B45E9F"/>
    <w:rsid w:val="57312049"/>
    <w:rsid w:val="58F06F37"/>
    <w:rsid w:val="5F9B75BB"/>
    <w:rsid w:val="60B4390F"/>
    <w:rsid w:val="657E5DD1"/>
    <w:rsid w:val="65FC3A81"/>
    <w:rsid w:val="667C32D3"/>
    <w:rsid w:val="67CC6DC1"/>
    <w:rsid w:val="68115EB5"/>
    <w:rsid w:val="69B63885"/>
    <w:rsid w:val="6F57754C"/>
    <w:rsid w:val="70BD01B7"/>
    <w:rsid w:val="728A3B01"/>
    <w:rsid w:val="72964259"/>
    <w:rsid w:val="767A052E"/>
    <w:rsid w:val="78E60942"/>
    <w:rsid w:val="79817A0B"/>
    <w:rsid w:val="7B132881"/>
    <w:rsid w:val="7C252BE1"/>
    <w:rsid w:val="7CA57EB5"/>
    <w:rsid w:val="7F0C0DED"/>
    <w:rsid w:val="7FA372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65"/>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4">
    <w:name w:val="toc 7"/>
    <w:basedOn w:val="1"/>
    <w:next w:val="1"/>
    <w:semiHidden/>
    <w:qFormat/>
    <w:uiPriority w:val="0"/>
    <w:pPr>
      <w:tabs>
        <w:tab w:val="right" w:leader="dot" w:pos="9241"/>
      </w:tabs>
      <w:ind w:firstLine="505" w:firstLineChars="500"/>
      <w:jc w:val="left"/>
    </w:pPr>
    <w:rPr>
      <w:rFonts w:ascii="宋体"/>
      <w:szCs w:val="21"/>
    </w:rPr>
  </w:style>
  <w:style w:type="paragraph" w:styleId="5">
    <w:name w:val="index 8"/>
    <w:basedOn w:val="1"/>
    <w:next w:val="1"/>
    <w:qFormat/>
    <w:uiPriority w:val="0"/>
    <w:pPr>
      <w:ind w:left="1680" w:hanging="210"/>
      <w:jc w:val="left"/>
    </w:pPr>
    <w:rPr>
      <w:rFonts w:ascii="Calibri" w:hAnsi="Calibri"/>
      <w:sz w:val="20"/>
      <w:szCs w:val="20"/>
    </w:rPr>
  </w:style>
  <w:style w:type="paragraph" w:styleId="6">
    <w:name w:val="caption"/>
    <w:basedOn w:val="1"/>
    <w:next w:val="1"/>
    <w:qFormat/>
    <w:uiPriority w:val="0"/>
    <w:pPr>
      <w:spacing w:before="152" w:after="160"/>
    </w:pPr>
    <w:rPr>
      <w:rFonts w:ascii="Arial" w:hAnsi="Arial" w:eastAsia="黑体" w:cs="Arial"/>
      <w:sz w:val="20"/>
      <w:szCs w:val="20"/>
    </w:rPr>
  </w:style>
  <w:style w:type="paragraph" w:styleId="7">
    <w:name w:val="index 5"/>
    <w:basedOn w:val="1"/>
    <w:next w:val="1"/>
    <w:qFormat/>
    <w:uiPriority w:val="0"/>
    <w:pPr>
      <w:ind w:left="1050" w:hanging="210"/>
      <w:jc w:val="left"/>
    </w:pPr>
    <w:rPr>
      <w:rFonts w:ascii="Calibri" w:hAnsi="Calibri"/>
      <w:sz w:val="20"/>
      <w:szCs w:val="20"/>
    </w:rPr>
  </w:style>
  <w:style w:type="paragraph" w:styleId="8">
    <w:name w:val="Document Map"/>
    <w:basedOn w:val="1"/>
    <w:semiHidden/>
    <w:qFormat/>
    <w:uiPriority w:val="0"/>
    <w:pPr>
      <w:shd w:val="clear" w:color="auto" w:fill="000080"/>
    </w:pPr>
  </w:style>
  <w:style w:type="paragraph" w:styleId="9">
    <w:name w:val="annotation text"/>
    <w:basedOn w:val="1"/>
    <w:link w:val="149"/>
    <w:qFormat/>
    <w:uiPriority w:val="0"/>
    <w:pPr>
      <w:jc w:val="left"/>
    </w:pPr>
  </w:style>
  <w:style w:type="paragraph" w:styleId="10">
    <w:name w:val="index 6"/>
    <w:basedOn w:val="1"/>
    <w:next w:val="1"/>
    <w:qFormat/>
    <w:uiPriority w:val="0"/>
    <w:pPr>
      <w:ind w:left="1260" w:hanging="210"/>
      <w:jc w:val="left"/>
    </w:pPr>
    <w:rPr>
      <w:rFonts w:ascii="Calibri" w:hAnsi="Calibri"/>
      <w:sz w:val="20"/>
      <w:szCs w:val="20"/>
    </w:rPr>
  </w:style>
  <w:style w:type="paragraph" w:styleId="11">
    <w:name w:val="index 4"/>
    <w:basedOn w:val="1"/>
    <w:next w:val="1"/>
    <w:qFormat/>
    <w:uiPriority w:val="0"/>
    <w:pPr>
      <w:ind w:left="840" w:hanging="210"/>
      <w:jc w:val="left"/>
    </w:pPr>
    <w:rPr>
      <w:rFonts w:ascii="Calibri" w:hAnsi="Calibri"/>
      <w:sz w:val="20"/>
      <w:szCs w:val="20"/>
    </w:rPr>
  </w:style>
  <w:style w:type="paragraph" w:styleId="12">
    <w:name w:val="toc 5"/>
    <w:basedOn w:val="1"/>
    <w:next w:val="1"/>
    <w:semiHidden/>
    <w:qFormat/>
    <w:uiPriority w:val="0"/>
    <w:pPr>
      <w:tabs>
        <w:tab w:val="right" w:leader="dot" w:pos="9241"/>
      </w:tabs>
      <w:ind w:firstLine="300" w:firstLineChars="300"/>
      <w:jc w:val="left"/>
    </w:pPr>
    <w:rPr>
      <w:rFonts w:ascii="宋体"/>
      <w:szCs w:val="21"/>
    </w:rPr>
  </w:style>
  <w:style w:type="paragraph" w:styleId="13">
    <w:name w:val="toc 3"/>
    <w:basedOn w:val="1"/>
    <w:next w:val="1"/>
    <w:semiHidden/>
    <w:qFormat/>
    <w:uiPriority w:val="0"/>
    <w:pPr>
      <w:tabs>
        <w:tab w:val="right" w:leader="dot" w:pos="9241"/>
      </w:tabs>
      <w:ind w:firstLine="102" w:firstLineChars="100"/>
      <w:jc w:val="left"/>
    </w:pPr>
    <w:rPr>
      <w:rFonts w:ascii="宋体"/>
      <w:szCs w:val="21"/>
    </w:rPr>
  </w:style>
  <w:style w:type="paragraph" w:styleId="14">
    <w:name w:val="Plain Text"/>
    <w:basedOn w:val="1"/>
    <w:link w:val="154"/>
    <w:qFormat/>
    <w:uiPriority w:val="0"/>
    <w:rPr>
      <w:rFonts w:ascii="宋体" w:hAnsi="Courier New"/>
      <w:szCs w:val="20"/>
    </w:rPr>
  </w:style>
  <w:style w:type="paragraph" w:styleId="15">
    <w:name w:val="toc 8"/>
    <w:basedOn w:val="1"/>
    <w:next w:val="1"/>
    <w:semiHidden/>
    <w:qFormat/>
    <w:uiPriority w:val="0"/>
    <w:pPr>
      <w:tabs>
        <w:tab w:val="right" w:leader="dot" w:pos="9241"/>
      </w:tabs>
      <w:ind w:firstLine="607" w:firstLineChars="600"/>
      <w:jc w:val="left"/>
    </w:pPr>
    <w:rPr>
      <w:rFonts w:ascii="宋体"/>
      <w:szCs w:val="21"/>
    </w:rPr>
  </w:style>
  <w:style w:type="paragraph" w:styleId="16">
    <w:name w:val="index 3"/>
    <w:basedOn w:val="1"/>
    <w:next w:val="1"/>
    <w:qFormat/>
    <w:uiPriority w:val="0"/>
    <w:pPr>
      <w:ind w:left="630" w:hanging="210"/>
      <w:jc w:val="left"/>
    </w:pPr>
    <w:rPr>
      <w:rFonts w:ascii="Calibri" w:hAnsi="Calibri"/>
      <w:sz w:val="20"/>
      <w:szCs w:val="20"/>
    </w:rPr>
  </w:style>
  <w:style w:type="paragraph" w:styleId="17">
    <w:name w:val="Date"/>
    <w:basedOn w:val="1"/>
    <w:next w:val="1"/>
    <w:link w:val="146"/>
    <w:qFormat/>
    <w:uiPriority w:val="0"/>
    <w:pPr>
      <w:ind w:left="100" w:leftChars="2500"/>
    </w:pPr>
  </w:style>
  <w:style w:type="paragraph" w:styleId="18">
    <w:name w:val="endnote text"/>
    <w:basedOn w:val="1"/>
    <w:semiHidden/>
    <w:qFormat/>
    <w:uiPriority w:val="0"/>
    <w:pPr>
      <w:snapToGrid w:val="0"/>
      <w:jc w:val="left"/>
    </w:pPr>
  </w:style>
  <w:style w:type="paragraph" w:styleId="19">
    <w:name w:val="Balloon Text"/>
    <w:basedOn w:val="1"/>
    <w:semiHidden/>
    <w:qFormat/>
    <w:uiPriority w:val="0"/>
    <w:rPr>
      <w:sz w:val="18"/>
      <w:szCs w:val="18"/>
    </w:rPr>
  </w:style>
  <w:style w:type="paragraph" w:styleId="20">
    <w:name w:val="footer"/>
    <w:basedOn w:val="1"/>
    <w:link w:val="162"/>
    <w:qFormat/>
    <w:uiPriority w:val="99"/>
    <w:pPr>
      <w:snapToGrid w:val="0"/>
      <w:ind w:right="210" w:rightChars="100"/>
      <w:jc w:val="right"/>
    </w:pPr>
    <w:rPr>
      <w:sz w:val="18"/>
      <w:szCs w:val="18"/>
    </w:rPr>
  </w:style>
  <w:style w:type="paragraph" w:styleId="21">
    <w:name w:val="header"/>
    <w:basedOn w:val="1"/>
    <w:link w:val="151"/>
    <w:qFormat/>
    <w:uiPriority w:val="0"/>
    <w:pPr>
      <w:snapToGrid w:val="0"/>
      <w:jc w:val="left"/>
    </w:pPr>
    <w:rPr>
      <w:sz w:val="18"/>
      <w:szCs w:val="18"/>
    </w:rPr>
  </w:style>
  <w:style w:type="paragraph" w:styleId="22">
    <w:name w:val="toc 1"/>
    <w:basedOn w:val="1"/>
    <w:next w:val="1"/>
    <w:qFormat/>
    <w:uiPriority w:val="39"/>
    <w:pPr>
      <w:tabs>
        <w:tab w:val="right" w:leader="dot" w:pos="9241"/>
      </w:tabs>
      <w:spacing w:beforeLines="25" w:afterLines="25"/>
      <w:jc w:val="left"/>
    </w:pPr>
    <w:rPr>
      <w:rFonts w:ascii="宋体"/>
      <w:szCs w:val="21"/>
    </w:rPr>
  </w:style>
  <w:style w:type="paragraph" w:styleId="23">
    <w:name w:val="toc 4"/>
    <w:basedOn w:val="1"/>
    <w:next w:val="1"/>
    <w:semiHidden/>
    <w:qFormat/>
    <w:uiPriority w:val="0"/>
    <w:pPr>
      <w:tabs>
        <w:tab w:val="right" w:leader="dot" w:pos="9241"/>
      </w:tabs>
      <w:ind w:firstLine="198" w:firstLineChars="200"/>
      <w:jc w:val="left"/>
    </w:pPr>
    <w:rPr>
      <w:rFonts w:ascii="宋体"/>
      <w:szCs w:val="21"/>
    </w:rPr>
  </w:style>
  <w:style w:type="paragraph" w:styleId="24">
    <w:name w:val="index heading"/>
    <w:basedOn w:val="1"/>
    <w:next w:val="25"/>
    <w:qFormat/>
    <w:uiPriority w:val="0"/>
    <w:pPr>
      <w:spacing w:before="120" w:after="120"/>
      <w:jc w:val="center"/>
    </w:pPr>
    <w:rPr>
      <w:rFonts w:ascii="Calibri" w:hAnsi="Calibri"/>
      <w:b/>
      <w:bCs/>
      <w:iCs/>
      <w:szCs w:val="20"/>
    </w:rPr>
  </w:style>
  <w:style w:type="paragraph" w:styleId="25">
    <w:name w:val="index 1"/>
    <w:basedOn w:val="1"/>
    <w:next w:val="26"/>
    <w:qFormat/>
    <w:uiPriority w:val="0"/>
    <w:pPr>
      <w:tabs>
        <w:tab w:val="right" w:leader="dot" w:pos="9299"/>
      </w:tabs>
      <w:jc w:val="left"/>
    </w:pPr>
    <w:rPr>
      <w:rFonts w:ascii="宋体"/>
      <w:szCs w:val="21"/>
    </w:rPr>
  </w:style>
  <w:style w:type="paragraph" w:customStyle="1" w:styleId="26">
    <w:name w:val="段"/>
    <w:link w:val="4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7">
    <w:name w:val="footnote text"/>
    <w:basedOn w:val="1"/>
    <w:qFormat/>
    <w:uiPriority w:val="0"/>
    <w:pPr>
      <w:numPr>
        <w:ilvl w:val="0"/>
        <w:numId w:val="1"/>
      </w:numPr>
      <w:snapToGrid w:val="0"/>
      <w:jc w:val="left"/>
    </w:pPr>
    <w:rPr>
      <w:rFonts w:ascii="宋体"/>
      <w:sz w:val="18"/>
      <w:szCs w:val="18"/>
    </w:rPr>
  </w:style>
  <w:style w:type="paragraph" w:styleId="28">
    <w:name w:val="toc 6"/>
    <w:basedOn w:val="1"/>
    <w:next w:val="1"/>
    <w:semiHidden/>
    <w:qFormat/>
    <w:uiPriority w:val="0"/>
    <w:pPr>
      <w:tabs>
        <w:tab w:val="right" w:leader="dot" w:pos="9241"/>
      </w:tabs>
      <w:ind w:firstLine="403" w:firstLineChars="400"/>
      <w:jc w:val="left"/>
    </w:pPr>
    <w:rPr>
      <w:rFonts w:ascii="宋体"/>
      <w:szCs w:val="21"/>
    </w:rPr>
  </w:style>
  <w:style w:type="paragraph" w:styleId="29">
    <w:name w:val="index 7"/>
    <w:basedOn w:val="1"/>
    <w:next w:val="1"/>
    <w:qFormat/>
    <w:uiPriority w:val="0"/>
    <w:pPr>
      <w:ind w:left="1470" w:hanging="210"/>
      <w:jc w:val="left"/>
    </w:pPr>
    <w:rPr>
      <w:rFonts w:ascii="Calibri" w:hAnsi="Calibri"/>
      <w:sz w:val="20"/>
      <w:szCs w:val="20"/>
    </w:rPr>
  </w:style>
  <w:style w:type="paragraph" w:styleId="30">
    <w:name w:val="index 9"/>
    <w:basedOn w:val="1"/>
    <w:next w:val="1"/>
    <w:qFormat/>
    <w:uiPriority w:val="0"/>
    <w:pPr>
      <w:ind w:left="1890" w:hanging="210"/>
      <w:jc w:val="left"/>
    </w:pPr>
    <w:rPr>
      <w:rFonts w:ascii="Calibri" w:hAnsi="Calibri"/>
      <w:sz w:val="20"/>
      <w:szCs w:val="20"/>
    </w:rPr>
  </w:style>
  <w:style w:type="paragraph" w:styleId="31">
    <w:name w:val="toc 2"/>
    <w:basedOn w:val="1"/>
    <w:next w:val="1"/>
    <w:semiHidden/>
    <w:qFormat/>
    <w:uiPriority w:val="0"/>
    <w:pPr>
      <w:tabs>
        <w:tab w:val="right" w:leader="dot" w:pos="9241"/>
      </w:tabs>
    </w:pPr>
    <w:rPr>
      <w:rFonts w:ascii="宋体"/>
      <w:szCs w:val="21"/>
    </w:rPr>
  </w:style>
  <w:style w:type="paragraph" w:styleId="32">
    <w:name w:val="toc 9"/>
    <w:basedOn w:val="1"/>
    <w:next w:val="1"/>
    <w:semiHidden/>
    <w:qFormat/>
    <w:uiPriority w:val="0"/>
    <w:pPr>
      <w:ind w:left="1470"/>
      <w:jc w:val="left"/>
    </w:pPr>
    <w:rPr>
      <w:sz w:val="20"/>
      <w:szCs w:val="20"/>
    </w:rPr>
  </w:style>
  <w:style w:type="paragraph" w:styleId="33">
    <w:name w:val="Normal (Web)"/>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styleId="34">
    <w:name w:val="index 2"/>
    <w:basedOn w:val="1"/>
    <w:next w:val="1"/>
    <w:qFormat/>
    <w:uiPriority w:val="0"/>
    <w:pPr>
      <w:ind w:left="420" w:hanging="210"/>
      <w:jc w:val="left"/>
    </w:pPr>
    <w:rPr>
      <w:rFonts w:ascii="Calibri" w:hAnsi="Calibri"/>
      <w:sz w:val="20"/>
      <w:szCs w:val="20"/>
    </w:rPr>
  </w:style>
  <w:style w:type="paragraph" w:styleId="35">
    <w:name w:val="annotation subject"/>
    <w:basedOn w:val="9"/>
    <w:next w:val="9"/>
    <w:link w:val="150"/>
    <w:qFormat/>
    <w:uiPriority w:val="0"/>
    <w:rPr>
      <w:b/>
      <w:bCs/>
    </w:rPr>
  </w:style>
  <w:style w:type="table" w:styleId="37">
    <w:name w:val="Table Grid"/>
    <w:basedOn w:val="36"/>
    <w:qFormat/>
    <w:uiPriority w:val="3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0"/>
    <w:rPr>
      <w:b/>
    </w:rPr>
  </w:style>
  <w:style w:type="character" w:styleId="40">
    <w:name w:val="endnote reference"/>
    <w:semiHidden/>
    <w:qFormat/>
    <w:uiPriority w:val="0"/>
    <w:rPr>
      <w:vertAlign w:val="superscript"/>
    </w:rPr>
  </w:style>
  <w:style w:type="character" w:styleId="41">
    <w:name w:val="page number"/>
    <w:qFormat/>
    <w:uiPriority w:val="0"/>
    <w:rPr>
      <w:rFonts w:ascii="Times New Roman" w:hAnsi="Times New Roman" w:eastAsia="宋体"/>
      <w:sz w:val="18"/>
    </w:rPr>
  </w:style>
  <w:style w:type="character" w:styleId="42">
    <w:name w:val="FollowedHyperlink"/>
    <w:qFormat/>
    <w:uiPriority w:val="0"/>
    <w:rPr>
      <w:color w:val="800080"/>
      <w:u w:val="single"/>
    </w:rPr>
  </w:style>
  <w:style w:type="character" w:styleId="43">
    <w:name w:val="Emphasis"/>
    <w:basedOn w:val="38"/>
    <w:qFormat/>
    <w:uiPriority w:val="0"/>
    <w:rPr>
      <w:i/>
      <w:iCs/>
    </w:rPr>
  </w:style>
  <w:style w:type="character" w:styleId="44">
    <w:name w:val="Hyperlink"/>
    <w:qFormat/>
    <w:uiPriority w:val="99"/>
    <w:rPr>
      <w:color w:val="0000FF"/>
      <w:spacing w:val="0"/>
      <w:w w:val="100"/>
      <w:szCs w:val="21"/>
      <w:u w:val="single"/>
    </w:rPr>
  </w:style>
  <w:style w:type="character" w:styleId="45">
    <w:name w:val="annotation reference"/>
    <w:qFormat/>
    <w:uiPriority w:val="0"/>
    <w:rPr>
      <w:sz w:val="21"/>
      <w:szCs w:val="21"/>
    </w:rPr>
  </w:style>
  <w:style w:type="character" w:styleId="46">
    <w:name w:val="footnote reference"/>
    <w:semiHidden/>
    <w:qFormat/>
    <w:uiPriority w:val="0"/>
    <w:rPr>
      <w:vertAlign w:val="superscript"/>
    </w:rPr>
  </w:style>
  <w:style w:type="character" w:customStyle="1" w:styleId="47">
    <w:name w:val="段 Char"/>
    <w:link w:val="26"/>
    <w:qFormat/>
    <w:uiPriority w:val="0"/>
    <w:rPr>
      <w:rFonts w:ascii="宋体"/>
      <w:sz w:val="21"/>
      <w:lang w:val="en-US" w:eastAsia="zh-CN" w:bidi="ar-SA"/>
    </w:rPr>
  </w:style>
  <w:style w:type="paragraph" w:customStyle="1" w:styleId="48">
    <w:name w:val="一级条标题"/>
    <w:next w:val="26"/>
    <w:link w:val="147"/>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49">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0">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1">
    <w:name w:val="章标题"/>
    <w:next w:val="26"/>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52">
    <w:name w:val="二级条标题"/>
    <w:basedOn w:val="48"/>
    <w:next w:val="26"/>
    <w:link w:val="148"/>
    <w:qFormat/>
    <w:uiPriority w:val="0"/>
    <w:pPr>
      <w:numPr>
        <w:ilvl w:val="2"/>
      </w:numPr>
      <w:spacing w:before="50" w:after="50"/>
      <w:outlineLvl w:val="3"/>
    </w:pPr>
  </w:style>
  <w:style w:type="paragraph" w:customStyle="1" w:styleId="53">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4">
    <w:name w:val="列项——（一级）"/>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55">
    <w:name w:val="列项●（二级）"/>
    <w:qFormat/>
    <w:uiPriority w:val="0"/>
    <w:pPr>
      <w:numPr>
        <w:ilvl w:val="1"/>
        <w:numId w:val="4"/>
      </w:numPr>
      <w:tabs>
        <w:tab w:val="left" w:pos="840"/>
      </w:tabs>
      <w:jc w:val="both"/>
    </w:pPr>
    <w:rPr>
      <w:rFonts w:ascii="宋体" w:hAnsi="Times New Roman" w:eastAsia="宋体" w:cs="Times New Roman"/>
      <w:sz w:val="21"/>
      <w:lang w:val="en-US" w:eastAsia="zh-CN" w:bidi="ar-SA"/>
    </w:rPr>
  </w:style>
  <w:style w:type="paragraph" w:customStyle="1" w:styleId="56">
    <w:name w:val="目次、标准名称标题"/>
    <w:basedOn w:val="1"/>
    <w:next w:val="26"/>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7">
    <w:name w:val="三级条标题"/>
    <w:basedOn w:val="52"/>
    <w:next w:val="26"/>
    <w:qFormat/>
    <w:uiPriority w:val="0"/>
    <w:pPr>
      <w:numPr>
        <w:ilvl w:val="3"/>
      </w:numPr>
      <w:outlineLvl w:val="4"/>
    </w:pPr>
  </w:style>
  <w:style w:type="paragraph" w:customStyle="1" w:styleId="58">
    <w:name w:val="示例"/>
    <w:next w:val="59"/>
    <w:qFormat/>
    <w:uiPriority w:val="0"/>
    <w:pPr>
      <w:widowControl w:val="0"/>
      <w:ind w:firstLine="363"/>
      <w:jc w:val="both"/>
    </w:pPr>
    <w:rPr>
      <w:rFonts w:ascii="宋体" w:hAnsi="Times New Roman" w:eastAsia="宋体" w:cs="Times New Roman"/>
      <w:sz w:val="18"/>
      <w:szCs w:val="18"/>
      <w:lang w:val="en-US" w:eastAsia="zh-CN" w:bidi="ar-SA"/>
    </w:rPr>
  </w:style>
  <w:style w:type="paragraph" w:customStyle="1" w:styleId="59">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60">
    <w:name w:val="数字编号列项（二级）"/>
    <w:qFormat/>
    <w:uiPriority w:val="0"/>
    <w:pPr>
      <w:numPr>
        <w:ilvl w:val="1"/>
        <w:numId w:val="5"/>
      </w:numPr>
      <w:jc w:val="both"/>
    </w:pPr>
    <w:rPr>
      <w:rFonts w:ascii="宋体" w:hAnsi="Times New Roman" w:eastAsia="宋体" w:cs="Times New Roman"/>
      <w:sz w:val="21"/>
      <w:lang w:val="en-US" w:eastAsia="zh-CN" w:bidi="ar-SA"/>
    </w:rPr>
  </w:style>
  <w:style w:type="paragraph" w:customStyle="1" w:styleId="61">
    <w:name w:val="四级条标题"/>
    <w:basedOn w:val="57"/>
    <w:next w:val="26"/>
    <w:qFormat/>
    <w:uiPriority w:val="0"/>
    <w:pPr>
      <w:numPr>
        <w:ilvl w:val="4"/>
      </w:numPr>
      <w:outlineLvl w:val="5"/>
    </w:pPr>
  </w:style>
  <w:style w:type="paragraph" w:customStyle="1" w:styleId="62">
    <w:name w:val="五级条标题"/>
    <w:basedOn w:val="61"/>
    <w:next w:val="26"/>
    <w:qFormat/>
    <w:uiPriority w:val="0"/>
    <w:pPr>
      <w:numPr>
        <w:ilvl w:val="5"/>
      </w:numPr>
      <w:outlineLvl w:val="6"/>
    </w:pPr>
  </w:style>
  <w:style w:type="paragraph" w:customStyle="1" w:styleId="63">
    <w:name w:val="注："/>
    <w:next w:val="26"/>
    <w:qFormat/>
    <w:uiPriority w:val="0"/>
    <w:pPr>
      <w:widowControl w:val="0"/>
      <w:numPr>
        <w:ilvl w:val="0"/>
        <w:numId w:val="6"/>
      </w:numPr>
      <w:autoSpaceDE w:val="0"/>
      <w:autoSpaceDN w:val="0"/>
      <w:jc w:val="both"/>
    </w:pPr>
    <w:rPr>
      <w:rFonts w:ascii="宋体" w:hAnsi="Times New Roman" w:eastAsia="宋体" w:cs="Times New Roman"/>
      <w:sz w:val="18"/>
      <w:szCs w:val="18"/>
      <w:lang w:val="en-US" w:eastAsia="zh-CN" w:bidi="ar-SA"/>
    </w:rPr>
  </w:style>
  <w:style w:type="paragraph" w:customStyle="1" w:styleId="64">
    <w:name w:val="注×："/>
    <w:qFormat/>
    <w:uiPriority w:val="0"/>
    <w:pPr>
      <w:widowControl w:val="0"/>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65">
    <w:name w:val="字母编号列项（一级）"/>
    <w:qFormat/>
    <w:uiPriority w:val="0"/>
    <w:pPr>
      <w:numPr>
        <w:ilvl w:val="0"/>
        <w:numId w:val="5"/>
      </w:numPr>
      <w:jc w:val="both"/>
    </w:pPr>
    <w:rPr>
      <w:rFonts w:ascii="宋体" w:hAnsi="Times New Roman" w:eastAsia="宋体" w:cs="Times New Roman"/>
      <w:sz w:val="21"/>
      <w:lang w:val="en-US" w:eastAsia="zh-CN" w:bidi="ar-SA"/>
    </w:rPr>
  </w:style>
  <w:style w:type="paragraph" w:customStyle="1" w:styleId="66">
    <w:name w:val="列项◆（三级）"/>
    <w:basedOn w:val="1"/>
    <w:qFormat/>
    <w:uiPriority w:val="0"/>
    <w:pPr>
      <w:numPr>
        <w:ilvl w:val="2"/>
        <w:numId w:val="4"/>
      </w:numPr>
    </w:pPr>
    <w:rPr>
      <w:rFonts w:ascii="宋体"/>
      <w:szCs w:val="21"/>
    </w:rPr>
  </w:style>
  <w:style w:type="paragraph" w:customStyle="1" w:styleId="67">
    <w:name w:val="编号列项（三级）"/>
    <w:qFormat/>
    <w:uiPriority w:val="0"/>
    <w:pPr>
      <w:numPr>
        <w:ilvl w:val="2"/>
        <w:numId w:val="5"/>
      </w:numPr>
    </w:pPr>
    <w:rPr>
      <w:rFonts w:ascii="宋体" w:hAnsi="Times New Roman" w:eastAsia="宋体" w:cs="Times New Roman"/>
      <w:sz w:val="21"/>
      <w:lang w:val="en-US" w:eastAsia="zh-CN" w:bidi="ar-SA"/>
    </w:rPr>
  </w:style>
  <w:style w:type="paragraph" w:customStyle="1" w:styleId="68">
    <w:name w:val="示例×："/>
    <w:basedOn w:val="51"/>
    <w:qFormat/>
    <w:uiPriority w:val="0"/>
    <w:pPr>
      <w:numPr>
        <w:numId w:val="0"/>
      </w:numPr>
      <w:spacing w:beforeLines="0" w:afterLines="0"/>
      <w:ind w:firstLine="363"/>
      <w:outlineLvl w:val="9"/>
    </w:pPr>
    <w:rPr>
      <w:rFonts w:ascii="宋体" w:eastAsia="宋体"/>
      <w:sz w:val="18"/>
      <w:szCs w:val="18"/>
    </w:rPr>
  </w:style>
  <w:style w:type="paragraph" w:customStyle="1" w:styleId="69">
    <w:name w:val="二级无"/>
    <w:basedOn w:val="52"/>
    <w:qFormat/>
    <w:uiPriority w:val="0"/>
    <w:pPr>
      <w:spacing w:beforeLines="0" w:afterLines="0"/>
    </w:pPr>
    <w:rPr>
      <w:rFonts w:ascii="宋体" w:eastAsia="宋体"/>
    </w:rPr>
  </w:style>
  <w:style w:type="paragraph" w:customStyle="1" w:styleId="70">
    <w:name w:val="注：（正文）"/>
    <w:basedOn w:val="63"/>
    <w:next w:val="26"/>
    <w:qFormat/>
    <w:uiPriority w:val="0"/>
  </w:style>
  <w:style w:type="paragraph" w:customStyle="1" w:styleId="71">
    <w:name w:val="注×：（正文）"/>
    <w:qFormat/>
    <w:uiPriority w:val="0"/>
    <w:pPr>
      <w:numPr>
        <w:ilvl w:val="0"/>
        <w:numId w:val="7"/>
      </w:numPr>
      <w:jc w:val="both"/>
    </w:pPr>
    <w:rPr>
      <w:rFonts w:ascii="宋体" w:hAnsi="Times New Roman" w:eastAsia="宋体" w:cs="Times New Roman"/>
      <w:sz w:val="18"/>
      <w:szCs w:val="18"/>
      <w:lang w:val="en-US" w:eastAsia="zh-CN" w:bidi="ar-SA"/>
    </w:rPr>
  </w:style>
  <w:style w:type="paragraph" w:customStyle="1" w:styleId="72">
    <w:name w:val="标准标志"/>
    <w:next w:val="1"/>
    <w:qFormat/>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7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74">
    <w:name w:val="标准书脚_偶数页"/>
    <w:qFormat/>
    <w:uiPriority w:val="0"/>
    <w:pPr>
      <w:spacing w:before="120"/>
      <w:ind w:left="221"/>
    </w:pPr>
    <w:rPr>
      <w:rFonts w:ascii="宋体" w:hAnsi="Times New Roman" w:eastAsia="宋体" w:cs="Times New Roman"/>
      <w:sz w:val="18"/>
      <w:szCs w:val="18"/>
      <w:lang w:val="en-US" w:eastAsia="zh-CN" w:bidi="ar-SA"/>
    </w:rPr>
  </w:style>
  <w:style w:type="paragraph" w:customStyle="1" w:styleId="75">
    <w:name w:val="标准书眉_偶数页"/>
    <w:basedOn w:val="50"/>
    <w:next w:val="1"/>
    <w:qFormat/>
    <w:uiPriority w:val="0"/>
    <w:pPr>
      <w:jc w:val="left"/>
    </w:pPr>
  </w:style>
  <w:style w:type="paragraph" w:customStyle="1" w:styleId="76">
    <w:name w:val="标准书眉一"/>
    <w:qFormat/>
    <w:uiPriority w:val="0"/>
    <w:pPr>
      <w:jc w:val="both"/>
    </w:pPr>
    <w:rPr>
      <w:rFonts w:ascii="Times New Roman" w:hAnsi="Times New Roman" w:eastAsia="宋体" w:cs="Times New Roman"/>
      <w:lang w:val="en-US" w:eastAsia="zh-CN" w:bidi="ar-SA"/>
    </w:rPr>
  </w:style>
  <w:style w:type="paragraph" w:customStyle="1" w:styleId="77">
    <w:name w:val="参考文献"/>
    <w:basedOn w:val="1"/>
    <w:next w:val="26"/>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78">
    <w:name w:val="参考文献、索引标题"/>
    <w:basedOn w:val="1"/>
    <w:next w:val="26"/>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79">
    <w:name w:val="发布"/>
    <w:qFormat/>
    <w:uiPriority w:val="0"/>
    <w:rPr>
      <w:rFonts w:ascii="黑体" w:eastAsia="黑体"/>
      <w:spacing w:val="85"/>
      <w:w w:val="100"/>
      <w:position w:val="3"/>
      <w:sz w:val="28"/>
      <w:szCs w:val="28"/>
    </w:rPr>
  </w:style>
  <w:style w:type="paragraph" w:customStyle="1" w:styleId="80">
    <w:name w:val="发布部门"/>
    <w:next w:val="81"/>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81">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2">
    <w:name w:val="发布日期"/>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83">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8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5">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86">
    <w:name w:val="封面标准英文名称"/>
    <w:basedOn w:val="85"/>
    <w:qFormat/>
    <w:uiPriority w:val="0"/>
    <w:pPr>
      <w:framePr w:wrap="around"/>
      <w:spacing w:before="370" w:line="400" w:lineRule="exact"/>
    </w:pPr>
    <w:rPr>
      <w:rFonts w:ascii="Times New Roman"/>
      <w:sz w:val="28"/>
      <w:szCs w:val="28"/>
    </w:rPr>
  </w:style>
  <w:style w:type="paragraph" w:customStyle="1" w:styleId="87">
    <w:name w:val="封面一致性程度标识"/>
    <w:basedOn w:val="86"/>
    <w:qFormat/>
    <w:uiPriority w:val="0"/>
    <w:pPr>
      <w:framePr w:wrap="around"/>
      <w:spacing w:before="440"/>
    </w:pPr>
    <w:rPr>
      <w:rFonts w:ascii="宋体" w:eastAsia="宋体"/>
    </w:rPr>
  </w:style>
  <w:style w:type="paragraph" w:customStyle="1" w:styleId="88">
    <w:name w:val="封面标准文稿类别"/>
    <w:basedOn w:val="87"/>
    <w:qFormat/>
    <w:uiPriority w:val="0"/>
    <w:pPr>
      <w:framePr w:wrap="around"/>
      <w:spacing w:after="160" w:line="240" w:lineRule="auto"/>
    </w:pPr>
    <w:rPr>
      <w:sz w:val="24"/>
    </w:rPr>
  </w:style>
  <w:style w:type="paragraph" w:customStyle="1" w:styleId="89">
    <w:name w:val="封面标准文稿编辑信息"/>
    <w:basedOn w:val="88"/>
    <w:qFormat/>
    <w:uiPriority w:val="0"/>
    <w:pPr>
      <w:framePr w:wrap="around"/>
      <w:spacing w:before="180" w:line="180" w:lineRule="exact"/>
    </w:pPr>
    <w:rPr>
      <w:sz w:val="21"/>
    </w:rPr>
  </w:style>
  <w:style w:type="paragraph" w:customStyle="1" w:styleId="90">
    <w:name w:val="封面正文"/>
    <w:qFormat/>
    <w:uiPriority w:val="0"/>
    <w:pPr>
      <w:jc w:val="both"/>
    </w:pPr>
    <w:rPr>
      <w:rFonts w:ascii="Times New Roman" w:hAnsi="Times New Roman" w:eastAsia="宋体" w:cs="Times New Roman"/>
      <w:lang w:val="en-US" w:eastAsia="zh-CN" w:bidi="ar-SA"/>
    </w:rPr>
  </w:style>
  <w:style w:type="paragraph" w:customStyle="1" w:styleId="91">
    <w:name w:val="附录标识"/>
    <w:basedOn w:val="1"/>
    <w:next w:val="26"/>
    <w:qFormat/>
    <w:uiPriority w:val="0"/>
    <w:pPr>
      <w:keepNext/>
      <w:widowControl/>
      <w:numPr>
        <w:ilvl w:val="0"/>
        <w:numId w:val="8"/>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92">
    <w:name w:val="附录标题"/>
    <w:basedOn w:val="26"/>
    <w:next w:val="26"/>
    <w:qFormat/>
    <w:uiPriority w:val="0"/>
    <w:pPr>
      <w:ind w:firstLine="0" w:firstLineChars="0"/>
      <w:jc w:val="center"/>
    </w:pPr>
    <w:rPr>
      <w:rFonts w:ascii="黑体" w:eastAsia="黑体"/>
    </w:rPr>
  </w:style>
  <w:style w:type="paragraph" w:customStyle="1" w:styleId="93">
    <w:name w:val="附录表标号"/>
    <w:basedOn w:val="1"/>
    <w:next w:val="26"/>
    <w:qFormat/>
    <w:uiPriority w:val="0"/>
    <w:pPr>
      <w:numPr>
        <w:ilvl w:val="0"/>
        <w:numId w:val="9"/>
      </w:numPr>
      <w:tabs>
        <w:tab w:val="clear" w:pos="0"/>
      </w:tabs>
      <w:spacing w:line="14" w:lineRule="exact"/>
      <w:ind w:left="811" w:hanging="448"/>
      <w:jc w:val="center"/>
      <w:outlineLvl w:val="0"/>
    </w:pPr>
    <w:rPr>
      <w:color w:val="FFFFFF"/>
    </w:rPr>
  </w:style>
  <w:style w:type="paragraph" w:customStyle="1" w:styleId="94">
    <w:name w:val="附录表标题"/>
    <w:basedOn w:val="1"/>
    <w:next w:val="26"/>
    <w:qFormat/>
    <w:uiPriority w:val="0"/>
    <w:pPr>
      <w:numPr>
        <w:ilvl w:val="1"/>
        <w:numId w:val="9"/>
      </w:numPr>
      <w:tabs>
        <w:tab w:val="left" w:pos="180"/>
      </w:tabs>
      <w:spacing w:beforeLines="50" w:afterLines="50"/>
      <w:ind w:left="0" w:firstLine="0"/>
      <w:jc w:val="center"/>
    </w:pPr>
    <w:rPr>
      <w:rFonts w:ascii="黑体" w:eastAsia="黑体"/>
      <w:szCs w:val="21"/>
    </w:rPr>
  </w:style>
  <w:style w:type="paragraph" w:customStyle="1" w:styleId="95">
    <w:name w:val="附录二级条标题"/>
    <w:basedOn w:val="1"/>
    <w:next w:val="26"/>
    <w:qFormat/>
    <w:uiPriority w:val="0"/>
    <w:pPr>
      <w:widowControl/>
      <w:numPr>
        <w:ilvl w:val="3"/>
        <w:numId w:val="8"/>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96">
    <w:name w:val="附录二级无"/>
    <w:basedOn w:val="95"/>
    <w:qFormat/>
    <w:uiPriority w:val="0"/>
    <w:pPr>
      <w:tabs>
        <w:tab w:val="clear" w:pos="360"/>
      </w:tabs>
      <w:spacing w:beforeLines="0" w:afterLines="0"/>
    </w:pPr>
    <w:rPr>
      <w:rFonts w:ascii="宋体" w:eastAsia="宋体"/>
      <w:szCs w:val="21"/>
    </w:rPr>
  </w:style>
  <w:style w:type="paragraph" w:customStyle="1" w:styleId="97">
    <w:name w:val="附录公式"/>
    <w:basedOn w:val="26"/>
    <w:next w:val="26"/>
    <w:link w:val="98"/>
    <w:qFormat/>
    <w:uiPriority w:val="0"/>
  </w:style>
  <w:style w:type="character" w:customStyle="1" w:styleId="98">
    <w:name w:val="附录公式 Char"/>
    <w:basedOn w:val="47"/>
    <w:link w:val="97"/>
    <w:qFormat/>
    <w:uiPriority w:val="0"/>
    <w:rPr>
      <w:rFonts w:ascii="宋体"/>
      <w:sz w:val="21"/>
      <w:lang w:val="en-US" w:eastAsia="zh-CN" w:bidi="ar-SA"/>
    </w:rPr>
  </w:style>
  <w:style w:type="paragraph" w:customStyle="1" w:styleId="99">
    <w:name w:val="附录公式编号制表符"/>
    <w:basedOn w:val="1"/>
    <w:next w:val="26"/>
    <w:qFormat/>
    <w:uiPriority w:val="0"/>
    <w:pPr>
      <w:widowControl/>
      <w:tabs>
        <w:tab w:val="center" w:pos="4201"/>
        <w:tab w:val="right" w:leader="dot" w:pos="9298"/>
      </w:tabs>
      <w:autoSpaceDE w:val="0"/>
      <w:autoSpaceDN w:val="0"/>
    </w:pPr>
    <w:rPr>
      <w:rFonts w:ascii="宋体"/>
      <w:kern w:val="0"/>
      <w:szCs w:val="20"/>
    </w:rPr>
  </w:style>
  <w:style w:type="paragraph" w:customStyle="1" w:styleId="100">
    <w:name w:val="附录三级条标题"/>
    <w:basedOn w:val="95"/>
    <w:next w:val="26"/>
    <w:qFormat/>
    <w:uiPriority w:val="0"/>
    <w:pPr>
      <w:numPr>
        <w:ilvl w:val="4"/>
      </w:numPr>
      <w:outlineLvl w:val="4"/>
    </w:pPr>
  </w:style>
  <w:style w:type="paragraph" w:customStyle="1" w:styleId="101">
    <w:name w:val="附录三级无"/>
    <w:basedOn w:val="100"/>
    <w:qFormat/>
    <w:uiPriority w:val="0"/>
    <w:pPr>
      <w:tabs>
        <w:tab w:val="clear" w:pos="360"/>
      </w:tabs>
      <w:spacing w:beforeLines="0" w:afterLines="0"/>
    </w:pPr>
    <w:rPr>
      <w:rFonts w:ascii="宋体" w:eastAsia="宋体"/>
      <w:szCs w:val="21"/>
    </w:rPr>
  </w:style>
  <w:style w:type="paragraph" w:customStyle="1" w:styleId="102">
    <w:name w:val="附录数字编号列项（二级）"/>
    <w:qFormat/>
    <w:uiPriority w:val="0"/>
    <w:pPr>
      <w:numPr>
        <w:ilvl w:val="1"/>
        <w:numId w:val="10"/>
      </w:numPr>
    </w:pPr>
    <w:rPr>
      <w:rFonts w:ascii="宋体" w:hAnsi="Times New Roman" w:eastAsia="宋体" w:cs="Times New Roman"/>
      <w:sz w:val="21"/>
      <w:lang w:val="en-US" w:eastAsia="zh-CN" w:bidi="ar-SA"/>
    </w:rPr>
  </w:style>
  <w:style w:type="paragraph" w:customStyle="1" w:styleId="103">
    <w:name w:val="附录四级条标题"/>
    <w:basedOn w:val="100"/>
    <w:next w:val="26"/>
    <w:qFormat/>
    <w:uiPriority w:val="0"/>
    <w:pPr>
      <w:numPr>
        <w:ilvl w:val="5"/>
      </w:numPr>
      <w:outlineLvl w:val="5"/>
    </w:pPr>
  </w:style>
  <w:style w:type="paragraph" w:customStyle="1" w:styleId="104">
    <w:name w:val="附录四级无"/>
    <w:basedOn w:val="103"/>
    <w:qFormat/>
    <w:uiPriority w:val="0"/>
    <w:pPr>
      <w:tabs>
        <w:tab w:val="clear" w:pos="360"/>
      </w:tabs>
      <w:spacing w:beforeLines="0" w:afterLines="0"/>
    </w:pPr>
    <w:rPr>
      <w:rFonts w:ascii="宋体" w:eastAsia="宋体"/>
      <w:szCs w:val="21"/>
    </w:rPr>
  </w:style>
  <w:style w:type="paragraph" w:customStyle="1" w:styleId="105">
    <w:name w:val="附录图标号"/>
    <w:basedOn w:val="1"/>
    <w:qFormat/>
    <w:uiPriority w:val="0"/>
    <w:pPr>
      <w:keepNext/>
      <w:pageBreakBefore/>
      <w:widowControl/>
      <w:numPr>
        <w:ilvl w:val="0"/>
        <w:numId w:val="11"/>
      </w:numPr>
      <w:spacing w:line="14" w:lineRule="exact"/>
      <w:ind w:left="0" w:firstLine="363"/>
      <w:jc w:val="center"/>
      <w:outlineLvl w:val="0"/>
    </w:pPr>
    <w:rPr>
      <w:color w:val="FFFFFF"/>
    </w:rPr>
  </w:style>
  <w:style w:type="paragraph" w:customStyle="1" w:styleId="106">
    <w:name w:val="附录图标题"/>
    <w:basedOn w:val="1"/>
    <w:next w:val="26"/>
    <w:qFormat/>
    <w:uiPriority w:val="0"/>
    <w:pPr>
      <w:numPr>
        <w:ilvl w:val="1"/>
        <w:numId w:val="11"/>
      </w:numPr>
      <w:tabs>
        <w:tab w:val="left" w:pos="363"/>
      </w:tabs>
      <w:spacing w:beforeLines="50" w:afterLines="50"/>
      <w:ind w:left="0" w:firstLine="0"/>
      <w:jc w:val="center"/>
    </w:pPr>
    <w:rPr>
      <w:rFonts w:ascii="黑体" w:eastAsia="黑体"/>
      <w:szCs w:val="21"/>
    </w:rPr>
  </w:style>
  <w:style w:type="paragraph" w:customStyle="1" w:styleId="107">
    <w:name w:val="附录五级条标题"/>
    <w:basedOn w:val="103"/>
    <w:next w:val="26"/>
    <w:qFormat/>
    <w:uiPriority w:val="0"/>
    <w:pPr>
      <w:numPr>
        <w:ilvl w:val="6"/>
      </w:numPr>
      <w:outlineLvl w:val="6"/>
    </w:pPr>
  </w:style>
  <w:style w:type="paragraph" w:customStyle="1" w:styleId="108">
    <w:name w:val="附录五级无"/>
    <w:basedOn w:val="107"/>
    <w:qFormat/>
    <w:uiPriority w:val="0"/>
    <w:pPr>
      <w:tabs>
        <w:tab w:val="clear" w:pos="360"/>
      </w:tabs>
      <w:spacing w:beforeLines="0" w:afterLines="0"/>
    </w:pPr>
    <w:rPr>
      <w:rFonts w:ascii="宋体" w:eastAsia="宋体"/>
      <w:szCs w:val="21"/>
    </w:rPr>
  </w:style>
  <w:style w:type="paragraph" w:customStyle="1" w:styleId="109">
    <w:name w:val="附录章标题"/>
    <w:next w:val="26"/>
    <w:qFormat/>
    <w:uiPriority w:val="0"/>
    <w:pPr>
      <w:numPr>
        <w:ilvl w:val="1"/>
        <w:numId w:val="8"/>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110">
    <w:name w:val="附录一级条标题"/>
    <w:basedOn w:val="109"/>
    <w:next w:val="26"/>
    <w:qFormat/>
    <w:uiPriority w:val="0"/>
    <w:pPr>
      <w:numPr>
        <w:ilvl w:val="2"/>
      </w:numPr>
      <w:autoSpaceDN w:val="0"/>
      <w:spacing w:beforeLines="50" w:afterLines="50"/>
      <w:outlineLvl w:val="2"/>
    </w:pPr>
  </w:style>
  <w:style w:type="paragraph" w:customStyle="1" w:styleId="111">
    <w:name w:val="附录一级无"/>
    <w:basedOn w:val="110"/>
    <w:qFormat/>
    <w:uiPriority w:val="0"/>
    <w:pPr>
      <w:tabs>
        <w:tab w:val="clear" w:pos="360"/>
      </w:tabs>
      <w:spacing w:beforeLines="0" w:afterLines="0"/>
    </w:pPr>
    <w:rPr>
      <w:rFonts w:ascii="宋体" w:eastAsia="宋体"/>
      <w:szCs w:val="21"/>
    </w:rPr>
  </w:style>
  <w:style w:type="paragraph" w:customStyle="1" w:styleId="112">
    <w:name w:val="附录字母编号列项（一级）"/>
    <w:qFormat/>
    <w:uiPriority w:val="0"/>
    <w:pPr>
      <w:numPr>
        <w:ilvl w:val="0"/>
        <w:numId w:val="10"/>
      </w:numPr>
    </w:pPr>
    <w:rPr>
      <w:rFonts w:ascii="宋体" w:hAnsi="Times New Roman" w:eastAsia="宋体" w:cs="Times New Roman"/>
      <w:sz w:val="21"/>
      <w:lang w:val="en-US" w:eastAsia="zh-CN" w:bidi="ar-SA"/>
    </w:rPr>
  </w:style>
  <w:style w:type="paragraph" w:customStyle="1" w:styleId="113">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14">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1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16">
    <w:name w:val="其他标准标志"/>
    <w:basedOn w:val="72"/>
    <w:qFormat/>
    <w:uiPriority w:val="0"/>
    <w:pPr>
      <w:framePr w:w="6101" w:wrap="around" w:vAnchor="page" w:hAnchor="page" w:x="4673" w:y="942"/>
    </w:pPr>
    <w:rPr>
      <w:w w:val="130"/>
    </w:rPr>
  </w:style>
  <w:style w:type="paragraph" w:customStyle="1" w:styleId="117">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18">
    <w:name w:val="其他发布部门"/>
    <w:basedOn w:val="80"/>
    <w:qFormat/>
    <w:uiPriority w:val="0"/>
    <w:pPr>
      <w:framePr w:wrap="around" w:y="15310"/>
      <w:spacing w:line="0" w:lineRule="atLeast"/>
    </w:pPr>
    <w:rPr>
      <w:rFonts w:ascii="黑体" w:eastAsia="黑体"/>
      <w:b w:val="0"/>
    </w:rPr>
  </w:style>
  <w:style w:type="paragraph" w:customStyle="1" w:styleId="119">
    <w:name w:val="前言、引言标题"/>
    <w:next w:val="26"/>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20">
    <w:name w:val="三级无"/>
    <w:basedOn w:val="57"/>
    <w:qFormat/>
    <w:uiPriority w:val="0"/>
    <w:pPr>
      <w:spacing w:beforeLines="0" w:afterLines="0"/>
    </w:pPr>
    <w:rPr>
      <w:rFonts w:ascii="宋体" w:eastAsia="宋体"/>
    </w:rPr>
  </w:style>
  <w:style w:type="paragraph" w:customStyle="1" w:styleId="121">
    <w:name w:val="实施日期"/>
    <w:basedOn w:val="82"/>
    <w:qFormat/>
    <w:uiPriority w:val="0"/>
    <w:pPr>
      <w:framePr w:wrap="around" w:vAnchor="page" w:hAnchor="text"/>
      <w:jc w:val="right"/>
    </w:pPr>
  </w:style>
  <w:style w:type="paragraph" w:customStyle="1" w:styleId="122">
    <w:name w:val="示例后文字"/>
    <w:basedOn w:val="26"/>
    <w:next w:val="26"/>
    <w:qFormat/>
    <w:uiPriority w:val="0"/>
    <w:pPr>
      <w:ind w:firstLine="360"/>
    </w:pPr>
    <w:rPr>
      <w:sz w:val="18"/>
    </w:rPr>
  </w:style>
  <w:style w:type="paragraph" w:customStyle="1" w:styleId="123">
    <w:name w:val="首示例"/>
    <w:next w:val="26"/>
    <w:link w:val="124"/>
    <w:qFormat/>
    <w:uiPriority w:val="0"/>
    <w:pPr>
      <w:tabs>
        <w:tab w:val="left" w:pos="360"/>
      </w:tabs>
    </w:pPr>
    <w:rPr>
      <w:rFonts w:ascii="宋体" w:hAnsi="宋体" w:eastAsia="宋体" w:cs="Times New Roman"/>
      <w:kern w:val="2"/>
      <w:sz w:val="18"/>
      <w:szCs w:val="18"/>
      <w:lang w:val="en-US" w:eastAsia="zh-CN" w:bidi="ar-SA"/>
    </w:rPr>
  </w:style>
  <w:style w:type="character" w:customStyle="1" w:styleId="124">
    <w:name w:val="首示例 Char"/>
    <w:link w:val="123"/>
    <w:qFormat/>
    <w:uiPriority w:val="0"/>
    <w:rPr>
      <w:rFonts w:ascii="宋体" w:hAnsi="宋体"/>
      <w:kern w:val="2"/>
      <w:sz w:val="18"/>
      <w:szCs w:val="18"/>
    </w:rPr>
  </w:style>
  <w:style w:type="paragraph" w:customStyle="1" w:styleId="125">
    <w:name w:val="四级无"/>
    <w:basedOn w:val="61"/>
    <w:qFormat/>
    <w:uiPriority w:val="0"/>
    <w:pPr>
      <w:spacing w:beforeLines="0" w:afterLines="0"/>
    </w:pPr>
    <w:rPr>
      <w:rFonts w:ascii="宋体" w:eastAsia="宋体"/>
    </w:rPr>
  </w:style>
  <w:style w:type="paragraph" w:customStyle="1" w:styleId="126">
    <w:name w:val="条文脚注"/>
    <w:basedOn w:val="27"/>
    <w:qFormat/>
    <w:uiPriority w:val="0"/>
    <w:pPr>
      <w:numPr>
        <w:numId w:val="0"/>
      </w:numPr>
      <w:jc w:val="both"/>
    </w:pPr>
  </w:style>
  <w:style w:type="paragraph" w:customStyle="1" w:styleId="127">
    <w:name w:val="图标脚注说明"/>
    <w:basedOn w:val="26"/>
    <w:qFormat/>
    <w:uiPriority w:val="0"/>
    <w:pPr>
      <w:ind w:left="840" w:hanging="420" w:firstLineChars="0"/>
    </w:pPr>
    <w:rPr>
      <w:sz w:val="18"/>
      <w:szCs w:val="18"/>
    </w:rPr>
  </w:style>
  <w:style w:type="paragraph" w:customStyle="1" w:styleId="128">
    <w:name w:val="图表脚注说明"/>
    <w:basedOn w:val="1"/>
    <w:qFormat/>
    <w:uiPriority w:val="0"/>
    <w:pPr>
      <w:ind w:left="544" w:hanging="181"/>
    </w:pPr>
    <w:rPr>
      <w:rFonts w:ascii="宋体"/>
      <w:sz w:val="18"/>
      <w:szCs w:val="18"/>
    </w:rPr>
  </w:style>
  <w:style w:type="paragraph" w:customStyle="1" w:styleId="129">
    <w:name w:val="图的脚注"/>
    <w:next w:val="26"/>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30">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31">
    <w:name w:val="五级无"/>
    <w:basedOn w:val="62"/>
    <w:qFormat/>
    <w:uiPriority w:val="0"/>
    <w:pPr>
      <w:spacing w:beforeLines="0" w:afterLines="0"/>
    </w:pPr>
    <w:rPr>
      <w:rFonts w:ascii="宋体" w:eastAsia="宋体"/>
    </w:rPr>
  </w:style>
  <w:style w:type="paragraph" w:customStyle="1" w:styleId="132">
    <w:name w:val="一级无"/>
    <w:basedOn w:val="48"/>
    <w:qFormat/>
    <w:uiPriority w:val="0"/>
    <w:pPr>
      <w:spacing w:beforeLines="0" w:afterLines="0"/>
    </w:pPr>
    <w:rPr>
      <w:rFonts w:ascii="宋体" w:eastAsia="宋体"/>
    </w:rPr>
  </w:style>
  <w:style w:type="paragraph" w:customStyle="1" w:styleId="133">
    <w:name w:val="正文表标题"/>
    <w:next w:val="26"/>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4">
    <w:name w:val="正文公式编号制表符"/>
    <w:basedOn w:val="26"/>
    <w:next w:val="26"/>
    <w:qFormat/>
    <w:uiPriority w:val="0"/>
    <w:pPr>
      <w:ind w:firstLine="0" w:firstLineChars="0"/>
    </w:pPr>
  </w:style>
  <w:style w:type="paragraph" w:customStyle="1" w:styleId="135">
    <w:name w:val="正文图标题"/>
    <w:next w:val="26"/>
    <w:qFormat/>
    <w:uiPriority w:val="0"/>
    <w:pPr>
      <w:tabs>
        <w:tab w:val="left" w:pos="360"/>
      </w:tabs>
      <w:spacing w:beforeLines="50" w:afterLines="50"/>
      <w:jc w:val="center"/>
    </w:pPr>
    <w:rPr>
      <w:rFonts w:ascii="黑体" w:hAnsi="Times New Roman" w:eastAsia="黑体" w:cs="Times New Roman"/>
      <w:sz w:val="21"/>
      <w:lang w:val="en-US" w:eastAsia="zh-CN" w:bidi="ar-SA"/>
    </w:rPr>
  </w:style>
  <w:style w:type="paragraph" w:customStyle="1" w:styleId="136">
    <w:name w:val="终结线"/>
    <w:basedOn w:val="1"/>
    <w:qFormat/>
    <w:uiPriority w:val="0"/>
    <w:pPr>
      <w:framePr w:hSpace="181" w:vSpace="181" w:wrap="around" w:vAnchor="text" w:hAnchor="margin" w:xAlign="center" w:y="285"/>
    </w:pPr>
  </w:style>
  <w:style w:type="paragraph" w:customStyle="1" w:styleId="137">
    <w:name w:val="其他发布日期"/>
    <w:basedOn w:val="82"/>
    <w:qFormat/>
    <w:uiPriority w:val="0"/>
    <w:pPr>
      <w:framePr w:wrap="around" w:vAnchor="page" w:hAnchor="text" w:x="1419"/>
    </w:pPr>
  </w:style>
  <w:style w:type="paragraph" w:customStyle="1" w:styleId="138">
    <w:name w:val="其他实施日期"/>
    <w:basedOn w:val="121"/>
    <w:qFormat/>
    <w:uiPriority w:val="0"/>
    <w:pPr>
      <w:framePr w:wrap="around"/>
    </w:pPr>
  </w:style>
  <w:style w:type="paragraph" w:customStyle="1" w:styleId="139">
    <w:name w:val="封面标准名称2"/>
    <w:basedOn w:val="85"/>
    <w:qFormat/>
    <w:uiPriority w:val="0"/>
    <w:pPr>
      <w:framePr w:wrap="around" w:y="4469"/>
      <w:spacing w:beforeLines="630"/>
    </w:pPr>
  </w:style>
  <w:style w:type="paragraph" w:customStyle="1" w:styleId="140">
    <w:name w:val="封面标准英文名称2"/>
    <w:basedOn w:val="86"/>
    <w:qFormat/>
    <w:uiPriority w:val="0"/>
    <w:pPr>
      <w:framePr w:wrap="around" w:y="4469"/>
    </w:pPr>
  </w:style>
  <w:style w:type="paragraph" w:customStyle="1" w:styleId="141">
    <w:name w:val="封面一致性程度标识2"/>
    <w:basedOn w:val="87"/>
    <w:qFormat/>
    <w:uiPriority w:val="0"/>
    <w:pPr>
      <w:framePr w:wrap="around" w:y="4469"/>
    </w:pPr>
  </w:style>
  <w:style w:type="paragraph" w:customStyle="1" w:styleId="142">
    <w:name w:val="封面标准文稿类别2"/>
    <w:basedOn w:val="88"/>
    <w:qFormat/>
    <w:uiPriority w:val="0"/>
    <w:pPr>
      <w:framePr w:wrap="around" w:y="4469"/>
    </w:pPr>
  </w:style>
  <w:style w:type="paragraph" w:customStyle="1" w:styleId="143">
    <w:name w:val="封面标准文稿编辑信息2"/>
    <w:basedOn w:val="89"/>
    <w:qFormat/>
    <w:uiPriority w:val="0"/>
    <w:pPr>
      <w:framePr w:wrap="around" w:y="4469"/>
    </w:pPr>
  </w:style>
  <w:style w:type="character" w:customStyle="1" w:styleId="144">
    <w:name w:val="apple-style-span"/>
    <w:basedOn w:val="38"/>
    <w:qFormat/>
    <w:uiPriority w:val="0"/>
  </w:style>
  <w:style w:type="character" w:customStyle="1" w:styleId="145">
    <w:name w:val="footnote_number"/>
    <w:basedOn w:val="38"/>
    <w:qFormat/>
    <w:uiPriority w:val="0"/>
  </w:style>
  <w:style w:type="character" w:customStyle="1" w:styleId="146">
    <w:name w:val="日期 字符"/>
    <w:link w:val="17"/>
    <w:qFormat/>
    <w:uiPriority w:val="0"/>
    <w:rPr>
      <w:kern w:val="2"/>
      <w:sz w:val="21"/>
      <w:szCs w:val="24"/>
    </w:rPr>
  </w:style>
  <w:style w:type="character" w:customStyle="1" w:styleId="147">
    <w:name w:val="一级条标题 Char"/>
    <w:link w:val="48"/>
    <w:qFormat/>
    <w:uiPriority w:val="0"/>
    <w:rPr>
      <w:rFonts w:ascii="黑体" w:eastAsia="黑体"/>
      <w:sz w:val="21"/>
      <w:szCs w:val="21"/>
    </w:rPr>
  </w:style>
  <w:style w:type="character" w:customStyle="1" w:styleId="148">
    <w:name w:val="二级条标题 Char"/>
    <w:basedOn w:val="147"/>
    <w:link w:val="52"/>
    <w:qFormat/>
    <w:uiPriority w:val="0"/>
    <w:rPr>
      <w:rFonts w:ascii="黑体" w:eastAsia="黑体"/>
      <w:sz w:val="21"/>
      <w:szCs w:val="21"/>
    </w:rPr>
  </w:style>
  <w:style w:type="character" w:customStyle="1" w:styleId="149">
    <w:name w:val="批注文字 字符"/>
    <w:link w:val="9"/>
    <w:qFormat/>
    <w:uiPriority w:val="0"/>
    <w:rPr>
      <w:kern w:val="2"/>
      <w:sz w:val="21"/>
      <w:szCs w:val="24"/>
    </w:rPr>
  </w:style>
  <w:style w:type="character" w:customStyle="1" w:styleId="150">
    <w:name w:val="批注主题 字符"/>
    <w:link w:val="35"/>
    <w:qFormat/>
    <w:uiPriority w:val="0"/>
    <w:rPr>
      <w:b/>
      <w:bCs/>
      <w:kern w:val="2"/>
      <w:sz w:val="21"/>
      <w:szCs w:val="24"/>
    </w:rPr>
  </w:style>
  <w:style w:type="character" w:customStyle="1" w:styleId="151">
    <w:name w:val="页眉 字符"/>
    <w:link w:val="21"/>
    <w:qFormat/>
    <w:uiPriority w:val="0"/>
    <w:rPr>
      <w:kern w:val="2"/>
      <w:sz w:val="18"/>
      <w:szCs w:val="18"/>
    </w:rPr>
  </w:style>
  <w:style w:type="paragraph" w:customStyle="1" w:styleId="15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153">
    <w:name w:val="high-light-bg"/>
    <w:basedOn w:val="38"/>
    <w:qFormat/>
    <w:uiPriority w:val="0"/>
  </w:style>
  <w:style w:type="character" w:customStyle="1" w:styleId="154">
    <w:name w:val="纯文本 字符"/>
    <w:basedOn w:val="38"/>
    <w:link w:val="14"/>
    <w:qFormat/>
    <w:uiPriority w:val="0"/>
    <w:rPr>
      <w:rFonts w:ascii="宋体" w:hAnsi="Courier New"/>
      <w:kern w:val="2"/>
      <w:sz w:val="21"/>
    </w:rPr>
  </w:style>
  <w:style w:type="paragraph" w:customStyle="1" w:styleId="155">
    <w:name w:val="图表脚注"/>
    <w:next w:val="26"/>
    <w:qFormat/>
    <w:uiPriority w:val="0"/>
    <w:pPr>
      <w:ind w:left="300" w:leftChars="200" w:hanging="100" w:hangingChars="100"/>
      <w:jc w:val="both"/>
    </w:pPr>
    <w:rPr>
      <w:rFonts w:ascii="宋体" w:hAnsi="Times New Roman" w:eastAsia="宋体" w:cs="Times New Roman"/>
      <w:sz w:val="18"/>
      <w:lang w:val="en-US" w:eastAsia="zh-CN" w:bidi="ar-SA"/>
    </w:rPr>
  </w:style>
  <w:style w:type="paragraph" w:styleId="156">
    <w:name w:val="List Paragraph"/>
    <w:basedOn w:val="1"/>
    <w:qFormat/>
    <w:uiPriority w:val="34"/>
    <w:pPr>
      <w:ind w:firstLine="420" w:firstLineChars="200"/>
    </w:pPr>
  </w:style>
  <w:style w:type="paragraph" w:customStyle="1" w:styleId="157">
    <w:name w:val="列项——"/>
    <w:qFormat/>
    <w:uiPriority w:val="0"/>
    <w:pPr>
      <w:widowControl w:val="0"/>
      <w:numPr>
        <w:ilvl w:val="0"/>
        <w:numId w:val="12"/>
      </w:numPr>
      <w:jc w:val="both"/>
    </w:pPr>
    <w:rPr>
      <w:rFonts w:ascii="宋体" w:hAnsi="Times New Roman" w:eastAsia="宋体" w:cs="Times New Roman"/>
      <w:sz w:val="21"/>
      <w:lang w:val="en-US" w:eastAsia="zh-CN" w:bidi="ar-SA"/>
    </w:rPr>
  </w:style>
  <w:style w:type="paragraph" w:customStyle="1" w:styleId="158">
    <w:name w:val="样式 章标题 + 段前: 0.5 行 段后: 0.5 行"/>
    <w:basedOn w:val="51"/>
    <w:qFormat/>
    <w:uiPriority w:val="0"/>
    <w:pPr>
      <w:numPr>
        <w:ilvl w:val="1"/>
        <w:numId w:val="0"/>
      </w:numPr>
      <w:spacing w:beforeLines="50" w:afterLines="50"/>
    </w:pPr>
    <w:rPr>
      <w:rFonts w:cs="宋体"/>
    </w:rPr>
  </w:style>
  <w:style w:type="character" w:customStyle="1" w:styleId="159">
    <w:name w:val="fontstyle01"/>
    <w:basedOn w:val="38"/>
    <w:qFormat/>
    <w:uiPriority w:val="0"/>
    <w:rPr>
      <w:rFonts w:hint="eastAsia" w:ascii="宋体" w:hAnsi="宋体" w:eastAsia="宋体"/>
      <w:color w:val="000000"/>
      <w:sz w:val="22"/>
      <w:szCs w:val="22"/>
    </w:rPr>
  </w:style>
  <w:style w:type="character" w:styleId="160">
    <w:name w:val="Placeholder Text"/>
    <w:basedOn w:val="38"/>
    <w:semiHidden/>
    <w:qFormat/>
    <w:uiPriority w:val="99"/>
    <w:rPr>
      <w:color w:val="808080"/>
    </w:rPr>
  </w:style>
  <w:style w:type="character" w:customStyle="1" w:styleId="161">
    <w:name w:val="一级条标题 Char Char"/>
    <w:qFormat/>
    <w:uiPriority w:val="0"/>
    <w:rPr>
      <w:rFonts w:ascii="黑体" w:eastAsia="黑体"/>
      <w:sz w:val="21"/>
      <w:szCs w:val="21"/>
      <w:lang w:val="en-US" w:eastAsia="zh-CN" w:bidi="ar-SA"/>
    </w:rPr>
  </w:style>
  <w:style w:type="character" w:customStyle="1" w:styleId="162">
    <w:name w:val="页脚 字符"/>
    <w:basedOn w:val="38"/>
    <w:link w:val="20"/>
    <w:qFormat/>
    <w:uiPriority w:val="99"/>
    <w:rPr>
      <w:kern w:val="2"/>
      <w:sz w:val="18"/>
      <w:szCs w:val="18"/>
    </w:rPr>
  </w:style>
  <w:style w:type="paragraph" w:customStyle="1" w:styleId="163">
    <w:name w:val="标准文件_文件编号"/>
    <w:basedOn w:val="81"/>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64">
    <w:name w:val="标准文件_替换文件编号"/>
    <w:basedOn w:val="163"/>
    <w:qFormat/>
    <w:uiPriority w:val="0"/>
    <w:pPr>
      <w:spacing w:before="57"/>
    </w:pPr>
    <w:rPr>
      <w:sz w:val="21"/>
    </w:rPr>
  </w:style>
  <w:style w:type="character" w:customStyle="1" w:styleId="165">
    <w:name w:val="标题 2 字符"/>
    <w:basedOn w:val="38"/>
    <w:link w:val="3"/>
    <w:semiHidden/>
    <w:qFormat/>
    <w:uiPriority w:val="0"/>
    <w:rPr>
      <w:rFonts w:asciiTheme="majorHAnsi" w:hAnsiTheme="majorHAnsi" w:eastAsiaTheme="majorEastAsia" w:cstheme="majorBidi"/>
      <w:b/>
      <w:bCs/>
      <w:kern w:val="2"/>
      <w:sz w:val="32"/>
      <w:szCs w:val="32"/>
    </w:rPr>
  </w:style>
  <w:style w:type="character" w:customStyle="1" w:styleId="166">
    <w:name w:val="标题 1 字符"/>
    <w:basedOn w:val="38"/>
    <w:link w:val="2"/>
    <w:qFormat/>
    <w:uiPriority w:val="0"/>
    <w:rPr>
      <w:b/>
      <w:bCs/>
      <w:kern w:val="44"/>
      <w:sz w:val="44"/>
      <w:szCs w:val="44"/>
    </w:rPr>
  </w:style>
  <w:style w:type="paragraph" w:customStyle="1" w:styleId="167">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68">
    <w:name w:val="标准文件_文件名称"/>
    <w:basedOn w:val="81"/>
    <w:next w:val="81"/>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2E29DF-747C-45F5-9B12-BB9C22ACF923}">
  <ds:schemaRefs/>
</ds:datastoreItem>
</file>

<file path=docProps/app.xml><?xml version="1.0" encoding="utf-8"?>
<Properties xmlns="http://schemas.openxmlformats.org/officeDocument/2006/extended-properties" xmlns:vt="http://schemas.openxmlformats.org/officeDocument/2006/docPropsVTypes">
  <Template>Normal</Template>
  <Pages>17</Pages>
  <Words>94</Words>
  <Characters>172</Characters>
  <Lines>77</Lines>
  <Paragraphs>21</Paragraphs>
  <TotalTime>410</TotalTime>
  <ScaleCrop>false</ScaleCrop>
  <LinksUpToDate>false</LinksUpToDate>
  <CharactersWithSpaces>189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2019-06-11T07:35:00Z</dcterms:created>
  <dc:creator>Admin</dc:creator>
  <cp:lastModifiedBy>Julian</cp:lastModifiedBy>
  <cp:lastPrinted>2013-11-12T08:38:00Z</cp:lastPrinted>
  <dcterms:modified xsi:type="dcterms:W3CDTF">2026-10-26T08:56:31Z</dcterms:modified>
  <dc:title>标准名称</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eyJoZGlkIjoiOGI4NjI5OTBmMDM1ODFlMDkzNDFlZTFiMWNhZWU5ZTMiLCJ1c2VySWQiOiIzMDk3NTI4ODEifQ==</vt:lpwstr>
  </property>
  <property fmtid="{D5CDD505-2E9C-101B-9397-08002B2CF9AE}" pid="4" name="ICV">
    <vt:lpwstr>E6816287D75F4B148B9A4DA135D77A1F_13</vt:lpwstr>
  </property>
</Properties>
</file>