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B73E40">
      <w:pPr>
        <w:jc w:val="center"/>
        <w:rPr>
          <w:rFonts w:eastAsia="黑体"/>
          <w:b w:val="0"/>
          <w:bCs w:val="0"/>
          <w:sz w:val="32"/>
          <w:szCs w:val="32"/>
        </w:rPr>
      </w:pPr>
      <w:r>
        <w:rPr>
          <w:rFonts w:hint="default" w:ascii="Times New Roman" w:hAnsi="Times New Roman" w:eastAsia="黑体" w:cs="Times New Roman"/>
          <w:b w:val="0"/>
          <w:bCs w:val="0"/>
          <w:sz w:val="32"/>
          <w:szCs w:val="32"/>
          <w:lang w:eastAsia="zh-CN"/>
        </w:rPr>
        <w:t>《</w:t>
      </w:r>
      <w:r>
        <w:rPr>
          <w:rFonts w:hint="default" w:ascii="Times New Roman" w:hAnsi="Times New Roman" w:eastAsia="黑体" w:cs="Times New Roman"/>
          <w:b w:val="0"/>
          <w:bCs w:val="0"/>
          <w:sz w:val="32"/>
          <w:szCs w:val="32"/>
        </w:rPr>
        <w:t>递送用纳米载体材料包封率表征 超滤法</w:t>
      </w:r>
      <w:r>
        <w:rPr>
          <w:rFonts w:hint="default" w:ascii="Times New Roman" w:hAnsi="Times New Roman" w:eastAsia="黑体" w:cs="Times New Roman"/>
          <w:b w:val="0"/>
          <w:bCs w:val="0"/>
          <w:sz w:val="32"/>
          <w:szCs w:val="32"/>
          <w:lang w:eastAsia="zh-CN"/>
        </w:rPr>
        <w:t>（</w:t>
      </w:r>
      <w:r>
        <w:rPr>
          <w:rFonts w:hint="default" w:ascii="Times New Roman" w:hAnsi="Times New Roman" w:eastAsia="黑体" w:cs="Times New Roman"/>
          <w:b w:val="0"/>
          <w:bCs w:val="0"/>
          <w:sz w:val="32"/>
          <w:szCs w:val="32"/>
          <w:lang w:val="en-US" w:eastAsia="zh-CN"/>
        </w:rPr>
        <w:t>征求意见稿）</w:t>
      </w:r>
      <w:r>
        <w:rPr>
          <w:rFonts w:hint="default" w:ascii="Times New Roman" w:hAnsi="Times New Roman" w:eastAsia="黑体" w:cs="Times New Roman"/>
          <w:b w:val="0"/>
          <w:bCs w:val="0"/>
          <w:sz w:val="32"/>
          <w:szCs w:val="32"/>
          <w:lang w:eastAsia="zh-CN"/>
        </w:rPr>
        <w:t>》</w:t>
      </w:r>
      <w:r>
        <w:rPr>
          <w:rFonts w:hint="default" w:ascii="Times New Roman" w:hAnsi="Times New Roman" w:eastAsia="黑体" w:cs="Times New Roman"/>
          <w:b w:val="0"/>
          <w:bCs w:val="0"/>
          <w:sz w:val="32"/>
          <w:szCs w:val="32"/>
        </w:rPr>
        <w:t>编制说明</w:t>
      </w:r>
    </w:p>
    <w:p w14:paraId="2A2B6472">
      <w:pPr>
        <w:numPr>
          <w:ilvl w:val="0"/>
          <w:numId w:val="9"/>
        </w:numPr>
        <w:spacing w:before="156" w:beforeLines="50" w:after="156" w:afterLines="50" w:line="360" w:lineRule="auto"/>
        <w:jc w:val="both"/>
        <w:rPr>
          <w:rFonts w:hint="eastAsia" w:eastAsia="黑体"/>
          <w:b/>
          <w:sz w:val="24"/>
        </w:rPr>
      </w:pPr>
      <w:r>
        <w:rPr>
          <w:rFonts w:hint="eastAsia" w:eastAsia="黑体"/>
          <w:b/>
          <w:sz w:val="24"/>
        </w:rPr>
        <w:t>工作简况</w:t>
      </w:r>
    </w:p>
    <w:p w14:paraId="12C65A53">
      <w:pPr>
        <w:widowControl/>
        <w:spacing w:before="156" w:beforeLines="50" w:after="156" w:afterLines="50" w:line="360" w:lineRule="auto"/>
        <w:jc w:val="left"/>
        <w:rPr>
          <w:rFonts w:ascii="宋体" w:hAnsi="宋体" w:cs="宋体"/>
          <w:b/>
          <w:sz w:val="24"/>
        </w:rPr>
      </w:pPr>
      <w:r>
        <w:rPr>
          <w:rFonts w:hint="eastAsia" w:ascii="宋体" w:hAnsi="宋体" w:cs="宋体"/>
          <w:b/>
          <w:sz w:val="24"/>
          <w:lang w:val="en-US" w:eastAsia="zh-CN"/>
        </w:rPr>
        <w:t>1</w:t>
      </w:r>
      <w:r>
        <w:rPr>
          <w:rFonts w:hint="eastAsia" w:ascii="宋体" w:hAnsi="宋体" w:cs="宋体"/>
          <w:b/>
          <w:sz w:val="24"/>
        </w:rPr>
        <w:t>、任务来源</w:t>
      </w:r>
    </w:p>
    <w:p w14:paraId="370CBB20">
      <w:pPr>
        <w:pStyle w:val="25"/>
        <w:spacing w:line="360" w:lineRule="auto"/>
        <w:ind w:firstLine="480"/>
        <w:rPr>
          <w:rFonts w:ascii="Times New Roman"/>
          <w:sz w:val="24"/>
          <w:szCs w:val="24"/>
        </w:rPr>
      </w:pPr>
      <w:r>
        <w:rPr>
          <w:rFonts w:hint="eastAsia" w:ascii="Times New Roman"/>
          <w:sz w:val="24"/>
          <w:szCs w:val="24"/>
        </w:rPr>
        <w:t>立项名称：递送用纳米载体材料包封率表征 超滤法</w:t>
      </w:r>
    </w:p>
    <w:p w14:paraId="212C4CC9">
      <w:pPr>
        <w:pStyle w:val="25"/>
        <w:spacing w:line="360" w:lineRule="auto"/>
        <w:ind w:firstLine="480"/>
        <w:rPr>
          <w:rFonts w:ascii="Times New Roman"/>
          <w:sz w:val="24"/>
          <w:szCs w:val="24"/>
        </w:rPr>
      </w:pPr>
      <w:r>
        <w:rPr>
          <w:rFonts w:hint="eastAsia" w:ascii="Times New Roman"/>
          <w:sz w:val="24"/>
          <w:szCs w:val="24"/>
        </w:rPr>
        <w:t>项目支撑：</w:t>
      </w:r>
      <w:r>
        <w:rPr>
          <w:rFonts w:hint="eastAsia" w:ascii="Times New Roman"/>
          <w:sz w:val="24"/>
        </w:rPr>
        <w:t>国家重点研发计划纳米前沿重点专项“重要纳米技术应用中关键性能的计量标准研究”</w:t>
      </w:r>
    </w:p>
    <w:p w14:paraId="40B42E5E">
      <w:pPr>
        <w:pStyle w:val="25"/>
        <w:spacing w:line="360" w:lineRule="auto"/>
        <w:ind w:firstLine="480"/>
        <w:rPr>
          <w:rFonts w:ascii="Times New Roman"/>
          <w:color w:val="auto"/>
          <w:sz w:val="24"/>
        </w:rPr>
      </w:pPr>
      <w:r>
        <w:rPr>
          <w:rFonts w:ascii="Times New Roman"/>
          <w:color w:val="auto"/>
          <w:sz w:val="24"/>
        </w:rPr>
        <w:t>任务来源：</w:t>
      </w:r>
      <w:r>
        <w:rPr>
          <w:rFonts w:hint="eastAsia" w:ascii="Times New Roman"/>
          <w:color w:val="auto"/>
          <w:sz w:val="24"/>
        </w:rPr>
        <w:t>中国生物材料学会</w:t>
      </w:r>
      <w:r>
        <w:rPr>
          <w:rFonts w:ascii="Times New Roman"/>
          <w:color w:val="auto"/>
          <w:sz w:val="24"/>
        </w:rPr>
        <w:t>，</w:t>
      </w:r>
      <w:bookmarkStart w:id="0" w:name="OLE_LINK30"/>
      <w:r>
        <w:rPr>
          <w:rFonts w:ascii="Times New Roman"/>
          <w:color w:val="auto"/>
          <w:sz w:val="24"/>
        </w:rPr>
        <w:t>立项批准号：</w:t>
      </w:r>
      <w:bookmarkEnd w:id="0"/>
      <w:r>
        <w:rPr>
          <w:rFonts w:hint="eastAsia" w:ascii="Times New Roman"/>
          <w:color w:val="auto"/>
          <w:sz w:val="24"/>
          <w:lang w:val="en-US" w:eastAsia="zh-CN"/>
        </w:rPr>
        <w:t>见中生材学会〔2025〕</w:t>
      </w:r>
      <w:r>
        <w:rPr>
          <w:rFonts w:hint="default" w:ascii="Times New Roman"/>
          <w:color w:val="auto"/>
          <w:sz w:val="24"/>
          <w:lang w:val="en-US" w:eastAsia="zh-CN"/>
        </w:rPr>
        <w:t xml:space="preserve">25 </w:t>
      </w:r>
      <w:r>
        <w:rPr>
          <w:rFonts w:hint="eastAsia" w:ascii="Times New Roman"/>
          <w:color w:val="auto"/>
          <w:sz w:val="24"/>
          <w:lang w:val="en-US" w:eastAsia="zh-CN"/>
        </w:rPr>
        <w:t>号</w:t>
      </w:r>
      <w:r>
        <w:rPr>
          <w:rFonts w:ascii="Times New Roman"/>
          <w:color w:val="auto"/>
          <w:sz w:val="24"/>
        </w:rPr>
        <w:t>。</w:t>
      </w:r>
    </w:p>
    <w:p w14:paraId="5BCB628E">
      <w:pPr>
        <w:pStyle w:val="25"/>
        <w:spacing w:line="360" w:lineRule="auto"/>
        <w:ind w:firstLine="480"/>
        <w:rPr>
          <w:rFonts w:hint="eastAsia" w:ascii="Times New Roman" w:eastAsia="宋体"/>
          <w:sz w:val="24"/>
          <w:lang w:eastAsia="zh-CN"/>
        </w:rPr>
      </w:pPr>
      <w:r>
        <w:rPr>
          <w:rFonts w:ascii="Times New Roman"/>
          <w:sz w:val="24"/>
        </w:rPr>
        <w:t>归口单位：</w:t>
      </w:r>
      <w:r>
        <w:rPr>
          <w:rFonts w:hint="eastAsia" w:ascii="Times New Roman"/>
          <w:sz w:val="24"/>
        </w:rPr>
        <w:t>中国生物材料学会标准</w:t>
      </w:r>
      <w:r>
        <w:rPr>
          <w:rFonts w:hint="eastAsia" w:ascii="Times New Roman"/>
          <w:sz w:val="24"/>
          <w:lang w:val="en-US" w:eastAsia="zh-CN"/>
        </w:rPr>
        <w:t>工作</w:t>
      </w:r>
      <w:r>
        <w:rPr>
          <w:rFonts w:hint="eastAsia" w:ascii="Times New Roman"/>
          <w:sz w:val="24"/>
        </w:rPr>
        <w:t>委员会</w:t>
      </w:r>
      <w:r>
        <w:rPr>
          <w:rFonts w:hint="eastAsia" w:ascii="Times New Roman"/>
          <w:sz w:val="24"/>
          <w:lang w:eastAsia="zh-CN"/>
        </w:rPr>
        <w:t>。</w:t>
      </w:r>
    </w:p>
    <w:p w14:paraId="4267E083">
      <w:pPr>
        <w:pStyle w:val="25"/>
        <w:spacing w:line="360" w:lineRule="auto"/>
        <w:ind w:firstLine="480"/>
        <w:rPr>
          <w:rFonts w:hint="eastAsia" w:eastAsia="黑体"/>
          <w:b/>
          <w:sz w:val="24"/>
        </w:rPr>
      </w:pPr>
      <w:r>
        <w:rPr>
          <w:rFonts w:ascii="Times New Roman"/>
          <w:sz w:val="24"/>
        </w:rPr>
        <w:t>起草单位：</w:t>
      </w:r>
      <w:r>
        <w:rPr>
          <w:rFonts w:hint="eastAsia" w:ascii="Times New Roman" w:hAnsi="Times New Roman"/>
          <w:bCs/>
          <w:sz w:val="24"/>
        </w:rPr>
        <w:t>国家纳米科学中心等</w:t>
      </w:r>
      <w:r>
        <w:rPr>
          <w:rFonts w:hint="eastAsia" w:ascii="Times New Roman"/>
          <w:sz w:val="24"/>
          <w:lang w:eastAsia="zh-CN"/>
        </w:rPr>
        <w:t>。</w:t>
      </w:r>
    </w:p>
    <w:p w14:paraId="08698368">
      <w:pPr>
        <w:widowControl/>
        <w:spacing w:before="156" w:beforeLines="50" w:after="156" w:afterLines="50" w:line="360" w:lineRule="auto"/>
        <w:jc w:val="left"/>
        <w:rPr>
          <w:rFonts w:hint="eastAsia" w:ascii="宋体" w:hAnsi="宋体" w:eastAsia="宋体" w:cs="宋体"/>
          <w:b/>
          <w:sz w:val="24"/>
          <w:lang w:val="en-US" w:eastAsia="zh-CN"/>
        </w:rPr>
      </w:pPr>
      <w:r>
        <w:rPr>
          <w:rFonts w:hint="eastAsia" w:ascii="宋体" w:hAnsi="宋体" w:cs="宋体"/>
          <w:b/>
          <w:sz w:val="24"/>
          <w:lang w:val="en-US" w:eastAsia="zh-CN"/>
        </w:rPr>
        <w:t>2</w:t>
      </w:r>
      <w:r>
        <w:rPr>
          <w:rFonts w:hint="eastAsia" w:ascii="宋体" w:hAnsi="宋体" w:cs="宋体"/>
          <w:b/>
          <w:sz w:val="24"/>
        </w:rPr>
        <w:t>、制定</w:t>
      </w:r>
      <w:r>
        <w:rPr>
          <w:rFonts w:hint="eastAsia" w:ascii="宋体" w:hAnsi="宋体" w:cs="宋体"/>
          <w:b/>
          <w:sz w:val="24"/>
          <w:lang w:eastAsia="zh-CN"/>
        </w:rPr>
        <w:t>背景</w:t>
      </w:r>
    </w:p>
    <w:p w14:paraId="754C312B">
      <w:pPr>
        <w:pStyle w:val="8"/>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kern w:val="0"/>
          <w:sz w:val="24"/>
          <w:szCs w:val="24"/>
          <w:lang w:val="en-US" w:eastAsia="zh-CN" w:bidi="ar"/>
        </w:rPr>
      </w:pPr>
      <w:r>
        <w:rPr>
          <w:rFonts w:hint="eastAsia" w:ascii="Times New Roman" w:hAnsi="Times New Roman" w:eastAsia="宋体" w:cs="Times New Roman"/>
          <w:kern w:val="0"/>
          <w:sz w:val="24"/>
          <w:szCs w:val="24"/>
          <w:lang w:val="en-US" w:eastAsia="zh-CN" w:bidi="ar"/>
        </w:rPr>
        <w:t>递送用纳米载体材料，包括脂质体、胶束等，在抗肿瘤药物以及非病毒载体基因药物领域的研究和开发，已成为当前国际医药学界的前沿和热点，是纳米科技中最接近产业化、最具发展前景的方面之一，</w:t>
      </w:r>
    </w:p>
    <w:p w14:paraId="0194E00A">
      <w:pPr>
        <w:pStyle w:val="8"/>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kern w:val="0"/>
          <w:sz w:val="24"/>
          <w:szCs w:val="24"/>
          <w:lang w:val="en-US" w:eastAsia="zh-CN" w:bidi="ar"/>
        </w:rPr>
      </w:pPr>
      <w:r>
        <w:rPr>
          <w:rFonts w:hint="eastAsia" w:ascii="Times New Roman" w:hAnsi="Times New Roman" w:eastAsia="宋体" w:cs="Times New Roman"/>
          <w:kern w:val="0"/>
          <w:sz w:val="24"/>
          <w:szCs w:val="24"/>
          <w:lang w:val="en-US" w:eastAsia="zh-CN" w:bidi="ar"/>
        </w:rPr>
        <w:t>2019年爆发的COVID-19新型冠状肺炎疫情期间，美国Moderna公司成功研发了mRNA疫苗，这是一种脂质体包裹的核酸疫苗，属于以脂质体作为递送材料的新型疫苗。截至目前，我国已经有50多个以纳米材料作为递送载体的医药产品上市，涉及到的递送用纳米材料主要包括多种脂质体（活性成分包括阿糖</w:t>
      </w:r>
      <w:r>
        <w:rPr>
          <w:rFonts w:hint="eastAsia" w:ascii="Times New Roman" w:hAnsi="Times New Roman" w:cs="Times New Roman"/>
          <w:kern w:val="0"/>
          <w:sz w:val="24"/>
          <w:szCs w:val="24"/>
          <w:lang w:val="en-US" w:eastAsia="zh-CN" w:bidi="ar"/>
        </w:rPr>
        <w:t>胞</w:t>
      </w:r>
      <w:r>
        <w:rPr>
          <w:rFonts w:hint="eastAsia" w:ascii="Times New Roman" w:hAnsi="Times New Roman" w:eastAsia="宋体" w:cs="Times New Roman"/>
          <w:kern w:val="0"/>
          <w:sz w:val="24"/>
          <w:szCs w:val="24"/>
          <w:lang w:val="en-US" w:eastAsia="zh-CN" w:bidi="ar"/>
        </w:rPr>
        <w:t>苷、阿霉素、长春新碱、伊立替康、两性霉素B等）、PEG化胶束（活性成分包括紫杉醇、多西他赛、多柔比星、伊立替康等）、氧化铁纳米颗粒、共轭高分子蛋白以及白蛋白结合型纳米分散分子。我国在递送用纳米载体材料领域的研究正处于从量的增加到质的转变关键阶段，未来将有更多产品陆续上市。</w:t>
      </w:r>
    </w:p>
    <w:p w14:paraId="6A879C46">
      <w:pPr>
        <w:pStyle w:val="8"/>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kern w:val="0"/>
          <w:sz w:val="24"/>
          <w:szCs w:val="24"/>
          <w:lang w:val="en-US" w:eastAsia="zh-CN" w:bidi="ar"/>
        </w:rPr>
      </w:pPr>
      <w:r>
        <w:rPr>
          <w:rFonts w:hint="eastAsia" w:ascii="Times New Roman" w:hAnsi="Times New Roman" w:eastAsia="宋体" w:cs="Times New Roman"/>
          <w:kern w:val="0"/>
          <w:sz w:val="24"/>
          <w:szCs w:val="24"/>
          <w:lang w:val="en-US" w:eastAsia="zh-CN" w:bidi="ar"/>
        </w:rPr>
        <w:t>包封率是评价递送用纳米载体材料质量和工艺优劣的重要指标。包封率是指纳米载体材料包封的有效成分量与有效成分总量的比值。包封率测定的关键是分离游离的有效成分，超滤法是一种有效的分离游离分子的方法，但是目前仍缺乏利用超滤法表征递送用纳米载体材料的方法标准。</w:t>
      </w:r>
    </w:p>
    <w:p w14:paraId="459684BC">
      <w:pPr>
        <w:widowControl/>
        <w:spacing w:before="156" w:beforeLines="50" w:after="156" w:afterLines="50" w:line="360" w:lineRule="auto"/>
        <w:jc w:val="left"/>
        <w:rPr>
          <w:rFonts w:ascii="Times New Roman" w:hAnsi="Times New Roman" w:cs="Times New Roman"/>
          <w:b/>
          <w:sz w:val="24"/>
        </w:rPr>
      </w:pPr>
      <w:r>
        <w:rPr>
          <w:rFonts w:ascii="Times New Roman" w:hAnsi="Times New Roman" w:cs="Times New Roman"/>
          <w:b/>
          <w:sz w:val="24"/>
        </w:rPr>
        <w:t>3、编制和协作单位</w:t>
      </w:r>
    </w:p>
    <w:p w14:paraId="14A2CF5D">
      <w:pPr>
        <w:spacing w:line="360" w:lineRule="auto"/>
        <w:ind w:firstLine="480" w:firstLineChars="200"/>
        <w:rPr>
          <w:rFonts w:hint="eastAsia" w:ascii="Times New Roman" w:hAnsi="Times New Roman"/>
          <w:bCs/>
          <w:sz w:val="24"/>
        </w:rPr>
      </w:pPr>
      <w:r>
        <w:rPr>
          <w:rFonts w:ascii="Times New Roman" w:hAnsi="Times New Roman"/>
          <w:bCs/>
          <w:sz w:val="24"/>
        </w:rPr>
        <w:t>国家纳米科学中心</w:t>
      </w:r>
      <w:r>
        <w:rPr>
          <w:rFonts w:hint="eastAsia" w:ascii="Times New Roman" w:hAnsi="Times New Roman"/>
          <w:bCs/>
          <w:sz w:val="24"/>
        </w:rPr>
        <w:t>（以下简称：</w:t>
      </w:r>
      <w:r>
        <w:rPr>
          <w:rFonts w:ascii="Times New Roman" w:hAnsi="Times New Roman"/>
          <w:bCs/>
          <w:sz w:val="24"/>
        </w:rPr>
        <w:t>纳米中心</w:t>
      </w:r>
      <w:r>
        <w:rPr>
          <w:rFonts w:hint="eastAsia" w:ascii="Times New Roman" w:hAnsi="Times New Roman"/>
          <w:bCs/>
          <w:sz w:val="24"/>
        </w:rPr>
        <w:t>）</w:t>
      </w:r>
      <w:r>
        <w:rPr>
          <w:rFonts w:ascii="Times New Roman" w:hAnsi="Times New Roman"/>
          <w:bCs/>
          <w:sz w:val="24"/>
        </w:rPr>
        <w:t>是国家级创新单位和</w:t>
      </w:r>
      <w:r>
        <w:rPr>
          <w:rFonts w:ascii="Times New Roman" w:hAnsi="Times New Roman"/>
          <w:sz w:val="24"/>
        </w:rPr>
        <w:t>综合性研究中心，其战略定位是纳米科学的基础研究和应用研究，</w:t>
      </w:r>
      <w:r>
        <w:rPr>
          <w:rFonts w:ascii="Times New Roman" w:hAnsi="Times New Roman"/>
          <w:bCs/>
          <w:sz w:val="24"/>
        </w:rPr>
        <w:t>拥有我国纳米科学领域一流水平的研究平台和研究基地，并负责纳米技术领域的国家标准制订以及纳米检测实验室的认证。全国纳米技术标准化技术委员会（SAC/TC279）和中国合格评定国家认可委员会技术委员会纳米技术专门委员会（CNAS/TC/SC13）均挂靠在纳米中心。</w:t>
      </w:r>
      <w:r>
        <w:rPr>
          <w:rFonts w:ascii="Times New Roman" w:hAnsi="Times New Roman"/>
          <w:sz w:val="24"/>
        </w:rPr>
        <w:t>国家纳米科学中心纳米标准研究室，也是</w:t>
      </w:r>
      <w:r>
        <w:rPr>
          <w:rFonts w:hint="eastAsia" w:ascii="Times New Roman" w:hAnsi="Times New Roman"/>
          <w:sz w:val="24"/>
          <w:lang w:eastAsia="zh-CN"/>
        </w:rPr>
        <w:t>“</w:t>
      </w:r>
      <w:r>
        <w:rPr>
          <w:rFonts w:ascii="Times New Roman" w:hAnsi="Times New Roman"/>
          <w:sz w:val="24"/>
        </w:rPr>
        <w:t>中科院纳米标准与检测重点实验室</w:t>
      </w:r>
      <w:r>
        <w:rPr>
          <w:rFonts w:hint="eastAsia" w:ascii="Times New Roman" w:hAnsi="Times New Roman"/>
          <w:sz w:val="24"/>
          <w:lang w:eastAsia="zh-CN"/>
        </w:rPr>
        <w:t>”</w:t>
      </w:r>
      <w:r>
        <w:rPr>
          <w:rFonts w:ascii="Times New Roman" w:hAnsi="Times New Roman"/>
          <w:sz w:val="24"/>
        </w:rPr>
        <w:t>的主要组成部分，主要从事纳米技术标准化的研究，如纳米检测技术标准化、纳米标准物质与样品的研制、纳米计量溯源等工作；承担了多项纳米技术相关国家标准的制定、标准样品/标准物质的</w:t>
      </w:r>
      <w:r>
        <w:rPr>
          <w:rFonts w:hint="eastAsia" w:ascii="Times New Roman" w:hAnsi="Times New Roman"/>
          <w:sz w:val="24"/>
          <w:lang w:eastAsia="zh-CN"/>
        </w:rPr>
        <w:t>研究</w:t>
      </w:r>
      <w:r>
        <w:rPr>
          <w:rFonts w:ascii="Times New Roman" w:hAnsi="Times New Roman"/>
          <w:sz w:val="24"/>
        </w:rPr>
        <w:t>、复制项目；开展与纳米检测技术相关的可溯源性研究工作；参与国内外纳米试样物理化学特性的检测对比，通过了全国纳米检测实验室认证认可；同时纳米标准研究室积极参加ISO、IEC等国际标准化组织纳米技术分会的会议并参与纳米材料国际标准的制定，</w:t>
      </w:r>
      <w:r>
        <w:rPr>
          <w:rFonts w:ascii="Times New Roman" w:hAnsi="Times New Roman"/>
          <w:bCs/>
          <w:sz w:val="24"/>
        </w:rPr>
        <w:t>这些都为标准的制定和实施打下了良好的工作基础。</w:t>
      </w:r>
    </w:p>
    <w:p w14:paraId="2B792735">
      <w:pPr>
        <w:widowControl/>
        <w:spacing w:before="156" w:beforeLines="50" w:after="156" w:afterLines="50" w:line="360" w:lineRule="auto"/>
        <w:jc w:val="left"/>
        <w:rPr>
          <w:rFonts w:ascii="Times New Roman" w:hAnsi="Times New Roman" w:cs="Times New Roman"/>
          <w:b/>
          <w:sz w:val="24"/>
        </w:rPr>
      </w:pPr>
      <w:r>
        <w:rPr>
          <w:rFonts w:hint="eastAsia" w:ascii="Times New Roman" w:hAnsi="Times New Roman" w:cs="Times New Roman"/>
          <w:b/>
          <w:sz w:val="24"/>
        </w:rPr>
        <w:t>4、</w:t>
      </w:r>
      <w:r>
        <w:rPr>
          <w:rFonts w:hint="eastAsia" w:ascii="Times New Roman" w:hAnsi="Times New Roman" w:cs="Times New Roman"/>
          <w:b/>
          <w:sz w:val="24"/>
          <w:lang w:eastAsia="zh-CN"/>
        </w:rPr>
        <w:t>起草</w:t>
      </w:r>
      <w:r>
        <w:rPr>
          <w:rFonts w:ascii="Times New Roman" w:hAnsi="Times New Roman" w:cs="Times New Roman"/>
          <w:b/>
          <w:sz w:val="24"/>
        </w:rPr>
        <w:t>过程</w:t>
      </w:r>
    </w:p>
    <w:p w14:paraId="28116766">
      <w:pPr>
        <w:adjustRightInd w:val="0"/>
        <w:snapToGrid w:val="0"/>
        <w:spacing w:line="360" w:lineRule="auto"/>
        <w:ind w:firstLine="480" w:firstLineChars="200"/>
        <w:rPr>
          <w:rFonts w:ascii="Times New Roman" w:hAnsi="Times New Roman"/>
          <w:sz w:val="24"/>
        </w:rPr>
      </w:pPr>
      <w:r>
        <w:rPr>
          <w:rFonts w:ascii="Times New Roman" w:hAnsi="宋体"/>
          <w:sz w:val="24"/>
        </w:rPr>
        <w:t>20</w:t>
      </w:r>
      <w:r>
        <w:rPr>
          <w:rFonts w:hint="eastAsia" w:ascii="Times New Roman" w:hAnsi="宋体"/>
          <w:sz w:val="24"/>
        </w:rPr>
        <w:t>2</w:t>
      </w:r>
      <w:r>
        <w:rPr>
          <w:rFonts w:hint="eastAsia" w:ascii="Times New Roman" w:hAnsi="宋体"/>
          <w:sz w:val="24"/>
          <w:lang w:val="en-US" w:eastAsia="zh-CN"/>
        </w:rPr>
        <w:t>4</w:t>
      </w:r>
      <w:r>
        <w:rPr>
          <w:rFonts w:ascii="Times New Roman" w:hAnsi="宋体"/>
          <w:sz w:val="24"/>
        </w:rPr>
        <w:t>年</w:t>
      </w:r>
      <w:r>
        <w:rPr>
          <w:rFonts w:hint="eastAsia" w:ascii="Times New Roman" w:hAnsi="宋体"/>
          <w:sz w:val="24"/>
          <w:lang w:val="en-US" w:eastAsia="zh-CN"/>
        </w:rPr>
        <w:t>3</w:t>
      </w:r>
      <w:r>
        <w:rPr>
          <w:rFonts w:ascii="Times New Roman" w:hAnsi="宋体"/>
          <w:sz w:val="24"/>
        </w:rPr>
        <w:t>月组建了标准起草工作组，由</w:t>
      </w:r>
      <w:r>
        <w:rPr>
          <w:rFonts w:hint="eastAsia" w:ascii="Times New Roman" w:hAnsi="Times New Roman"/>
          <w:bCs/>
          <w:sz w:val="24"/>
        </w:rPr>
        <w:t>国家纳米科学中心、石药控股集团有限公司、中国药品检定研究院、浙江理工大学、北京君全智药生物科技有限公司、广东粤港澳大湾区国家纳米科技创新研究院</w:t>
      </w:r>
      <w:r>
        <w:rPr>
          <w:rFonts w:hint="eastAsia" w:ascii="Times New Roman"/>
          <w:sz w:val="24"/>
        </w:rPr>
        <w:t>等单位</w:t>
      </w:r>
      <w:r>
        <w:rPr>
          <w:rFonts w:ascii="Times New Roman" w:hAnsi="宋体"/>
          <w:sz w:val="24"/>
          <w:szCs w:val="24"/>
        </w:rPr>
        <w:t>的工作人员</w:t>
      </w:r>
      <w:r>
        <w:rPr>
          <w:rFonts w:ascii="Times New Roman" w:hAnsi="宋体"/>
          <w:sz w:val="24"/>
        </w:rPr>
        <w:t>组成。随后，起草工作组收集、查阅了大量有</w:t>
      </w:r>
      <w:r>
        <w:rPr>
          <w:rFonts w:hint="eastAsia" w:ascii="Times New Roman" w:hAnsi="宋体"/>
          <w:sz w:val="24"/>
        </w:rPr>
        <w:t>关递送用纳米载体材料包封率表征的</w:t>
      </w:r>
      <w:r>
        <w:rPr>
          <w:rFonts w:ascii="Times New Roman" w:hAnsi="宋体"/>
          <w:sz w:val="24"/>
        </w:rPr>
        <w:t>文献，拟定了标准起草计划。</w:t>
      </w:r>
    </w:p>
    <w:p w14:paraId="1C900F44">
      <w:pPr>
        <w:adjustRightInd w:val="0"/>
        <w:snapToGrid w:val="0"/>
        <w:spacing w:line="360" w:lineRule="auto"/>
        <w:ind w:firstLine="480" w:firstLineChars="200"/>
        <w:rPr>
          <w:rFonts w:ascii="Times New Roman" w:hAnsi="宋体"/>
          <w:color w:val="auto"/>
          <w:sz w:val="24"/>
        </w:rPr>
      </w:pPr>
      <w:r>
        <w:rPr>
          <w:rFonts w:ascii="Times New Roman" w:hAnsi="Times New Roman"/>
          <w:color w:val="auto"/>
          <w:sz w:val="24"/>
        </w:rPr>
        <w:t>20</w:t>
      </w:r>
      <w:r>
        <w:rPr>
          <w:rFonts w:hint="eastAsia" w:ascii="Times New Roman" w:hAnsi="Times New Roman"/>
          <w:color w:val="auto"/>
          <w:sz w:val="24"/>
        </w:rPr>
        <w:t>2</w:t>
      </w:r>
      <w:r>
        <w:rPr>
          <w:rFonts w:hint="eastAsia" w:ascii="Times New Roman" w:hAnsi="Times New Roman"/>
          <w:color w:val="auto"/>
          <w:sz w:val="24"/>
          <w:lang w:val="en-US" w:eastAsia="zh-CN"/>
        </w:rPr>
        <w:t>4</w:t>
      </w:r>
      <w:r>
        <w:rPr>
          <w:rFonts w:ascii="Times New Roman" w:hAnsi="宋体"/>
          <w:color w:val="auto"/>
          <w:sz w:val="24"/>
        </w:rPr>
        <w:t>年</w:t>
      </w:r>
      <w:r>
        <w:rPr>
          <w:rFonts w:hint="eastAsia" w:ascii="Times New Roman" w:hAnsi="宋体"/>
          <w:sz w:val="24"/>
          <w:lang w:val="en-US" w:eastAsia="zh-CN"/>
        </w:rPr>
        <w:t>4</w:t>
      </w:r>
      <w:r>
        <w:rPr>
          <w:rFonts w:ascii="Times New Roman" w:hAnsi="宋体"/>
          <w:sz w:val="24"/>
        </w:rPr>
        <w:t>月至</w:t>
      </w:r>
      <w:r>
        <w:rPr>
          <w:rFonts w:hint="eastAsia" w:ascii="Times New Roman" w:hAnsi="宋体"/>
          <w:sz w:val="24"/>
          <w:lang w:val="en-US" w:eastAsia="zh-CN"/>
        </w:rPr>
        <w:t>2025年3</w:t>
      </w:r>
      <w:r>
        <w:rPr>
          <w:rFonts w:ascii="Times New Roman" w:hAnsi="宋体"/>
          <w:sz w:val="24"/>
        </w:rPr>
        <w:t>月</w:t>
      </w:r>
      <w:r>
        <w:rPr>
          <w:rFonts w:ascii="Times New Roman" w:hAnsi="宋体"/>
          <w:color w:val="auto"/>
          <w:sz w:val="24"/>
        </w:rPr>
        <w:t>期间，</w:t>
      </w:r>
      <w:r>
        <w:rPr>
          <w:rFonts w:ascii="Times New Roman" w:hAnsi="宋体"/>
          <w:sz w:val="24"/>
        </w:rPr>
        <w:t>广泛收集标准相关资料，</w:t>
      </w:r>
      <w:r>
        <w:rPr>
          <w:rFonts w:hint="eastAsia" w:ascii="Times New Roman" w:hAnsi="宋体"/>
          <w:sz w:val="24"/>
        </w:rPr>
        <w:t>拟定标准起草计划，</w:t>
      </w:r>
      <w:r>
        <w:rPr>
          <w:rFonts w:ascii="Times New Roman" w:hAnsi="宋体"/>
          <w:bCs/>
          <w:sz w:val="24"/>
        </w:rPr>
        <w:t>进行标</w:t>
      </w:r>
      <w:r>
        <w:rPr>
          <w:rFonts w:ascii="Times New Roman" w:hAnsi="宋体"/>
          <w:bCs/>
          <w:color w:val="auto"/>
          <w:sz w:val="24"/>
        </w:rPr>
        <w:t>准的起草工作，形成标准草稿</w:t>
      </w:r>
      <w:r>
        <w:rPr>
          <w:rFonts w:ascii="Times New Roman" w:hAnsi="宋体"/>
          <w:color w:val="auto"/>
          <w:sz w:val="24"/>
        </w:rPr>
        <w:t>。</w:t>
      </w:r>
    </w:p>
    <w:p w14:paraId="4D9836E8">
      <w:pPr>
        <w:adjustRightInd w:val="0"/>
        <w:snapToGrid w:val="0"/>
        <w:spacing w:line="360" w:lineRule="auto"/>
        <w:ind w:firstLine="480" w:firstLineChars="200"/>
        <w:rPr>
          <w:rFonts w:hint="eastAsia" w:ascii="Times New Roman" w:hAnsi="Times New Roman" w:eastAsia="宋体"/>
          <w:color w:val="auto"/>
          <w:sz w:val="24"/>
          <w:lang w:eastAsia="zh-CN"/>
        </w:rPr>
      </w:pPr>
      <w:r>
        <w:rPr>
          <w:rFonts w:hint="eastAsia" w:ascii="Times New Roman" w:hAnsi="Times New Roman"/>
          <w:color w:val="auto"/>
          <w:sz w:val="24"/>
        </w:rPr>
        <w:t>202</w:t>
      </w:r>
      <w:r>
        <w:rPr>
          <w:rFonts w:hint="eastAsia" w:ascii="Times New Roman" w:hAnsi="Times New Roman"/>
          <w:color w:val="auto"/>
          <w:sz w:val="24"/>
          <w:lang w:val="en-US" w:eastAsia="zh-CN"/>
        </w:rPr>
        <w:t>5</w:t>
      </w:r>
      <w:r>
        <w:rPr>
          <w:rFonts w:ascii="Times New Roman" w:hAnsi="宋体"/>
          <w:color w:val="auto"/>
          <w:sz w:val="24"/>
        </w:rPr>
        <w:t>年</w:t>
      </w:r>
      <w:r>
        <w:rPr>
          <w:rFonts w:hint="eastAsia" w:ascii="Times New Roman" w:hAnsi="Times New Roman"/>
          <w:color w:val="auto"/>
          <w:sz w:val="24"/>
          <w:lang w:val="en-US" w:eastAsia="zh-CN"/>
        </w:rPr>
        <w:t>4</w:t>
      </w:r>
      <w:r>
        <w:rPr>
          <w:rFonts w:hint="eastAsia" w:ascii="Times New Roman" w:hAnsi="Times New Roman"/>
          <w:color w:val="auto"/>
          <w:sz w:val="24"/>
          <w:lang w:eastAsia="zh-CN"/>
        </w:rPr>
        <w:t>月</w:t>
      </w:r>
      <w:r>
        <w:rPr>
          <w:rFonts w:hint="eastAsia" w:ascii="Times New Roman" w:hAnsi="Times New Roman"/>
          <w:color w:val="auto"/>
          <w:sz w:val="24"/>
          <w:lang w:val="en-US" w:eastAsia="zh-CN"/>
        </w:rPr>
        <w:t>23</w:t>
      </w:r>
      <w:r>
        <w:rPr>
          <w:rFonts w:hint="eastAsia" w:ascii="Times New Roman" w:hAnsi="Times New Roman"/>
          <w:color w:val="auto"/>
          <w:sz w:val="24"/>
          <w:lang w:eastAsia="zh-CN"/>
        </w:rPr>
        <w:t>日</w:t>
      </w:r>
      <w:r>
        <w:rPr>
          <w:rFonts w:hint="eastAsia" w:ascii="Times New Roman" w:hAnsi="Times New Roman"/>
          <w:color w:val="auto"/>
          <w:sz w:val="24"/>
          <w:lang w:val="en-US" w:eastAsia="zh-CN"/>
        </w:rPr>
        <w:t>获得立项批准</w:t>
      </w:r>
      <w:r>
        <w:rPr>
          <w:rFonts w:hint="eastAsia" w:ascii="Times New Roman"/>
          <w:color w:val="auto"/>
          <w:sz w:val="24"/>
          <w:lang w:eastAsia="zh-CN"/>
        </w:rPr>
        <w:t>。</w:t>
      </w:r>
    </w:p>
    <w:p w14:paraId="5C2FB278">
      <w:pPr>
        <w:adjustRightInd w:val="0"/>
        <w:snapToGrid w:val="0"/>
        <w:spacing w:line="360" w:lineRule="auto"/>
        <w:ind w:firstLine="480" w:firstLineChars="200"/>
        <w:rPr>
          <w:rFonts w:ascii="Times New Roman" w:hAnsi="宋体"/>
          <w:color w:val="auto"/>
          <w:sz w:val="24"/>
        </w:rPr>
      </w:pPr>
      <w:r>
        <w:rPr>
          <w:rFonts w:ascii="Times New Roman" w:hAnsi="Times New Roman"/>
          <w:color w:val="auto"/>
          <w:sz w:val="24"/>
        </w:rPr>
        <w:t>20</w:t>
      </w:r>
      <w:r>
        <w:rPr>
          <w:rFonts w:hint="eastAsia" w:ascii="Times New Roman" w:hAnsi="Times New Roman"/>
          <w:color w:val="auto"/>
          <w:sz w:val="24"/>
        </w:rPr>
        <w:t>2</w:t>
      </w:r>
      <w:r>
        <w:rPr>
          <w:rFonts w:hint="eastAsia" w:ascii="Times New Roman" w:hAnsi="Times New Roman"/>
          <w:color w:val="auto"/>
          <w:sz w:val="24"/>
          <w:lang w:val="en-US" w:eastAsia="zh-CN"/>
        </w:rPr>
        <w:t>5</w:t>
      </w:r>
      <w:r>
        <w:rPr>
          <w:rFonts w:ascii="Times New Roman" w:hAnsi="宋体"/>
          <w:color w:val="auto"/>
          <w:sz w:val="24"/>
        </w:rPr>
        <w:t>年</w:t>
      </w:r>
      <w:r>
        <w:rPr>
          <w:rFonts w:hint="eastAsia" w:ascii="Times New Roman" w:hAnsi="Times New Roman"/>
          <w:color w:val="auto"/>
          <w:sz w:val="24"/>
          <w:lang w:val="en-US" w:eastAsia="zh-CN"/>
        </w:rPr>
        <w:t>5</w:t>
      </w:r>
      <w:r>
        <w:rPr>
          <w:rFonts w:ascii="Times New Roman" w:hAnsi="宋体"/>
          <w:sz w:val="24"/>
        </w:rPr>
        <w:t>至</w:t>
      </w:r>
      <w:r>
        <w:rPr>
          <w:rFonts w:ascii="Times New Roman" w:hAnsi="Times New Roman"/>
          <w:color w:val="auto"/>
          <w:sz w:val="24"/>
        </w:rPr>
        <w:t>20</w:t>
      </w:r>
      <w:r>
        <w:rPr>
          <w:rFonts w:hint="eastAsia" w:ascii="Times New Roman" w:hAnsi="Times New Roman"/>
          <w:color w:val="auto"/>
          <w:sz w:val="24"/>
        </w:rPr>
        <w:t>2</w:t>
      </w:r>
      <w:r>
        <w:rPr>
          <w:rFonts w:hint="eastAsia" w:ascii="Times New Roman" w:hAnsi="Times New Roman"/>
          <w:color w:val="auto"/>
          <w:sz w:val="24"/>
          <w:lang w:val="en-US" w:eastAsia="zh-CN"/>
        </w:rPr>
        <w:t>6</w:t>
      </w:r>
      <w:r>
        <w:rPr>
          <w:rFonts w:ascii="Times New Roman" w:hAnsi="宋体"/>
          <w:color w:val="auto"/>
          <w:sz w:val="24"/>
        </w:rPr>
        <w:t>年</w:t>
      </w:r>
      <w:r>
        <w:rPr>
          <w:rFonts w:hint="eastAsia" w:ascii="Times New Roman" w:hAnsi="Times New Roman"/>
          <w:color w:val="auto"/>
          <w:sz w:val="24"/>
          <w:lang w:val="en-US" w:eastAsia="zh-CN"/>
        </w:rPr>
        <w:t>3</w:t>
      </w:r>
      <w:r>
        <w:rPr>
          <w:rFonts w:ascii="Times New Roman" w:hAnsi="宋体"/>
          <w:color w:val="auto"/>
          <w:sz w:val="24"/>
        </w:rPr>
        <w:t>月以讨论稿形式多次进行标准起草小组内讨论，收集和整理讨论意见</w:t>
      </w:r>
      <w:r>
        <w:rPr>
          <w:rFonts w:hint="eastAsia" w:ascii="Times New Roman" w:hAnsi="宋体"/>
          <w:color w:val="auto"/>
          <w:sz w:val="24"/>
        </w:rPr>
        <w:t>、</w:t>
      </w:r>
      <w:r>
        <w:rPr>
          <w:rFonts w:ascii="Times New Roman" w:hAnsi="宋体"/>
          <w:color w:val="auto"/>
          <w:sz w:val="24"/>
        </w:rPr>
        <w:t>修改讨论稿</w:t>
      </w:r>
      <w:r>
        <w:rPr>
          <w:rFonts w:hint="eastAsia" w:ascii="Times New Roman" w:hAnsi="宋体"/>
          <w:color w:val="auto"/>
          <w:sz w:val="24"/>
        </w:rPr>
        <w:t>、</w:t>
      </w:r>
      <w:r>
        <w:rPr>
          <w:rFonts w:ascii="Times New Roman" w:hAnsi="宋体"/>
          <w:color w:val="auto"/>
          <w:sz w:val="24"/>
        </w:rPr>
        <w:t>完善草案，</w:t>
      </w:r>
      <w:r>
        <w:rPr>
          <w:rFonts w:hint="eastAsia" w:ascii="Times New Roman" w:hAnsi="宋体"/>
          <w:color w:val="auto"/>
          <w:sz w:val="24"/>
          <w:lang w:val="en-US" w:eastAsia="zh-CN"/>
        </w:rPr>
        <w:t>拟定验证实验方案，</w:t>
      </w:r>
      <w:r>
        <w:rPr>
          <w:rFonts w:ascii="Times New Roman" w:hAnsi="宋体"/>
          <w:color w:val="auto"/>
          <w:sz w:val="24"/>
        </w:rPr>
        <w:t>并起草标准编制说明。</w:t>
      </w:r>
    </w:p>
    <w:p w14:paraId="6920D230">
      <w:pPr>
        <w:adjustRightInd w:val="0"/>
        <w:snapToGrid w:val="0"/>
        <w:spacing w:line="360" w:lineRule="auto"/>
        <w:ind w:firstLine="480" w:firstLineChars="200"/>
        <w:rPr>
          <w:rFonts w:hint="default" w:ascii="Times New Roman" w:hAnsi="宋体" w:eastAsia="宋体"/>
          <w:color w:val="auto"/>
          <w:sz w:val="24"/>
          <w:lang w:val="en-US" w:eastAsia="zh-CN"/>
        </w:rPr>
      </w:pPr>
      <w:r>
        <w:rPr>
          <w:rFonts w:ascii="Times New Roman" w:hAnsi="Times New Roman"/>
          <w:color w:val="auto"/>
          <w:sz w:val="24"/>
        </w:rPr>
        <w:t>20</w:t>
      </w:r>
      <w:r>
        <w:rPr>
          <w:rFonts w:hint="eastAsia" w:ascii="Times New Roman" w:hAnsi="Times New Roman"/>
          <w:color w:val="auto"/>
          <w:sz w:val="24"/>
        </w:rPr>
        <w:t>2</w:t>
      </w:r>
      <w:r>
        <w:rPr>
          <w:rFonts w:hint="eastAsia" w:ascii="Times New Roman" w:hAnsi="Times New Roman"/>
          <w:color w:val="auto"/>
          <w:sz w:val="24"/>
          <w:lang w:val="en-US" w:eastAsia="zh-CN"/>
        </w:rPr>
        <w:t>6</w:t>
      </w:r>
      <w:r>
        <w:rPr>
          <w:rFonts w:ascii="Times New Roman" w:hAnsi="宋体"/>
          <w:color w:val="auto"/>
          <w:sz w:val="24"/>
        </w:rPr>
        <w:t>年</w:t>
      </w:r>
      <w:r>
        <w:rPr>
          <w:rFonts w:hint="eastAsia" w:ascii="Times New Roman" w:hAnsi="Times New Roman"/>
          <w:color w:val="auto"/>
          <w:sz w:val="24"/>
          <w:lang w:val="en-US" w:eastAsia="zh-CN"/>
        </w:rPr>
        <w:t>4</w:t>
      </w:r>
      <w:r>
        <w:rPr>
          <w:rFonts w:ascii="Times New Roman" w:hAnsi="宋体"/>
          <w:color w:val="auto"/>
          <w:sz w:val="24"/>
        </w:rPr>
        <w:t>月</w:t>
      </w:r>
      <w:r>
        <w:rPr>
          <w:rFonts w:hint="eastAsia" w:ascii="Times New Roman" w:hAnsi="Times New Roman"/>
          <w:color w:val="auto"/>
          <w:sz w:val="24"/>
          <w:lang w:val="en-US" w:eastAsia="zh-CN"/>
        </w:rPr>
        <w:t>-8</w:t>
      </w:r>
      <w:r>
        <w:rPr>
          <w:rFonts w:ascii="Times New Roman" w:hAnsi="宋体"/>
          <w:color w:val="auto"/>
          <w:sz w:val="24"/>
        </w:rPr>
        <w:t>月开展验证试验，并进行</w:t>
      </w:r>
      <w:r>
        <w:rPr>
          <w:rFonts w:hint="eastAsia" w:ascii="Times New Roman" w:hAnsi="宋体"/>
          <w:color w:val="auto"/>
          <w:sz w:val="24"/>
        </w:rPr>
        <w:t>数据整理和</w:t>
      </w:r>
      <w:r>
        <w:rPr>
          <w:rFonts w:ascii="Times New Roman" w:hAnsi="宋体"/>
          <w:color w:val="auto"/>
          <w:sz w:val="24"/>
        </w:rPr>
        <w:t>数据分析工作。</w:t>
      </w:r>
    </w:p>
    <w:p w14:paraId="044BB944">
      <w:pPr>
        <w:adjustRightInd w:val="0"/>
        <w:snapToGrid w:val="0"/>
        <w:spacing w:before="156" w:beforeLines="50" w:after="156" w:afterLines="50" w:line="360" w:lineRule="auto"/>
        <w:rPr>
          <w:rFonts w:ascii="Times New Roman" w:hAnsi="Times New Roman"/>
          <w:b/>
          <w:sz w:val="24"/>
          <w:szCs w:val="24"/>
        </w:rPr>
      </w:pPr>
      <w:r>
        <w:rPr>
          <w:rFonts w:hint="eastAsia" w:ascii="Times New Roman" w:hAnsi="Times New Roman"/>
          <w:b/>
          <w:sz w:val="24"/>
          <w:szCs w:val="24"/>
        </w:rPr>
        <w:t>5、</w:t>
      </w:r>
      <w:r>
        <w:rPr>
          <w:rFonts w:ascii="Times New Roman" w:hAnsi="Times New Roman"/>
          <w:b/>
          <w:sz w:val="24"/>
          <w:szCs w:val="24"/>
        </w:rPr>
        <w:t>主要起草人及其工作内容</w:t>
      </w:r>
    </w:p>
    <w:p w14:paraId="02EC80E0">
      <w:pPr>
        <w:adjustRightInd w:val="0"/>
        <w:snapToGrid w:val="0"/>
        <w:spacing w:line="360" w:lineRule="auto"/>
        <w:ind w:firstLine="480" w:firstLineChars="200"/>
        <w:rPr>
          <w:rFonts w:hint="eastAsia" w:eastAsia="宋体"/>
          <w:sz w:val="24"/>
          <w:szCs w:val="24"/>
        </w:rPr>
      </w:pPr>
      <w:r>
        <w:rPr>
          <w:rFonts w:hint="eastAsia" w:eastAsia="宋体"/>
          <w:sz w:val="24"/>
          <w:szCs w:val="24"/>
        </w:rPr>
        <w:t>标准起草工作由国家纳米科学中心等单位的工作人员承担，具体工作组成员名单及分工见下表：</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441"/>
        <w:gridCol w:w="1961"/>
        <w:gridCol w:w="2126"/>
        <w:gridCol w:w="2035"/>
      </w:tblGrid>
      <w:tr w14:paraId="58FAD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525B85A">
            <w:pPr>
              <w:keepNext w:val="0"/>
              <w:keepLines w:val="0"/>
              <w:suppressLineNumbers w:val="0"/>
              <w:adjustRightInd w:val="0"/>
              <w:snapToGrid w:val="0"/>
              <w:spacing w:before="0" w:beforeAutospacing="0" w:after="0" w:afterAutospacing="0"/>
              <w:ind w:left="0" w:right="0"/>
              <w:jc w:val="center"/>
              <w:rPr>
                <w:rFonts w:hint="default" w:ascii="宋体" w:hAnsi="宋体"/>
                <w:b/>
                <w:bCs/>
                <w:szCs w:val="24"/>
              </w:rPr>
            </w:pPr>
            <w:r>
              <w:rPr>
                <w:rFonts w:hint="default" w:ascii="宋体" w:hAnsi="宋体"/>
                <w:b/>
                <w:bCs/>
                <w:szCs w:val="24"/>
              </w:rPr>
              <w:t>姓名</w:t>
            </w:r>
          </w:p>
        </w:tc>
        <w:tc>
          <w:tcPr>
            <w:tcW w:w="1441" w:type="dxa"/>
            <w:tcBorders>
              <w:top w:val="single" w:color="auto" w:sz="4" w:space="0"/>
              <w:left w:val="single" w:color="auto" w:sz="4" w:space="0"/>
              <w:bottom w:val="single" w:color="auto" w:sz="4" w:space="0"/>
              <w:right w:val="single" w:color="auto" w:sz="4" w:space="0"/>
            </w:tcBorders>
            <w:vAlign w:val="center"/>
          </w:tcPr>
          <w:p w14:paraId="569662D8">
            <w:pPr>
              <w:keepNext w:val="0"/>
              <w:keepLines w:val="0"/>
              <w:suppressLineNumbers w:val="0"/>
              <w:adjustRightInd w:val="0"/>
              <w:snapToGrid w:val="0"/>
              <w:spacing w:before="0" w:beforeAutospacing="0" w:after="0" w:afterAutospacing="0"/>
              <w:ind w:left="0" w:right="0"/>
              <w:jc w:val="center"/>
              <w:rPr>
                <w:rFonts w:hint="default" w:ascii="宋体" w:hAnsi="宋体"/>
                <w:b/>
                <w:bCs/>
                <w:szCs w:val="24"/>
              </w:rPr>
            </w:pPr>
            <w:r>
              <w:rPr>
                <w:rFonts w:hint="default" w:ascii="宋体" w:hAnsi="宋体"/>
                <w:b/>
                <w:bCs/>
                <w:szCs w:val="24"/>
              </w:rPr>
              <w:t>职称/职务</w:t>
            </w:r>
          </w:p>
        </w:tc>
        <w:tc>
          <w:tcPr>
            <w:tcW w:w="1961" w:type="dxa"/>
            <w:tcBorders>
              <w:top w:val="single" w:color="auto" w:sz="4" w:space="0"/>
              <w:left w:val="single" w:color="auto" w:sz="4" w:space="0"/>
              <w:bottom w:val="single" w:color="auto" w:sz="4" w:space="0"/>
              <w:right w:val="single" w:color="auto" w:sz="4" w:space="0"/>
            </w:tcBorders>
            <w:vAlign w:val="center"/>
          </w:tcPr>
          <w:p w14:paraId="2069FB23">
            <w:pPr>
              <w:keepNext w:val="0"/>
              <w:keepLines w:val="0"/>
              <w:suppressLineNumbers w:val="0"/>
              <w:adjustRightInd w:val="0"/>
              <w:snapToGrid w:val="0"/>
              <w:spacing w:before="0" w:beforeAutospacing="0" w:after="0" w:afterAutospacing="0"/>
              <w:ind w:left="0" w:right="0"/>
              <w:jc w:val="center"/>
              <w:rPr>
                <w:rFonts w:hint="default" w:ascii="宋体" w:hAnsi="宋体"/>
                <w:b/>
                <w:bCs/>
                <w:szCs w:val="24"/>
              </w:rPr>
            </w:pPr>
            <w:r>
              <w:rPr>
                <w:rFonts w:hint="default" w:ascii="宋体" w:hAnsi="宋体"/>
                <w:b/>
                <w:bCs/>
                <w:szCs w:val="24"/>
              </w:rPr>
              <w:t>单位</w:t>
            </w:r>
          </w:p>
        </w:tc>
        <w:tc>
          <w:tcPr>
            <w:tcW w:w="2126" w:type="dxa"/>
            <w:tcBorders>
              <w:top w:val="single" w:color="auto" w:sz="4" w:space="0"/>
              <w:left w:val="single" w:color="auto" w:sz="4" w:space="0"/>
              <w:bottom w:val="single" w:color="auto" w:sz="4" w:space="0"/>
              <w:right w:val="single" w:color="auto" w:sz="4" w:space="0"/>
            </w:tcBorders>
            <w:vAlign w:val="center"/>
          </w:tcPr>
          <w:p w14:paraId="150FED9B">
            <w:pPr>
              <w:keepNext w:val="0"/>
              <w:keepLines w:val="0"/>
              <w:suppressLineNumbers w:val="0"/>
              <w:adjustRightInd w:val="0"/>
              <w:snapToGrid w:val="0"/>
              <w:spacing w:before="0" w:beforeAutospacing="0" w:after="0" w:afterAutospacing="0"/>
              <w:ind w:left="0" w:right="0"/>
              <w:jc w:val="center"/>
              <w:rPr>
                <w:rFonts w:hint="default" w:ascii="Times New Roman" w:hAnsi="Times New Roman"/>
                <w:b/>
                <w:bCs/>
                <w:szCs w:val="24"/>
              </w:rPr>
            </w:pPr>
            <w:r>
              <w:rPr>
                <w:rFonts w:hint="default" w:ascii="Times New Roman" w:hAnsi="宋体"/>
                <w:b/>
                <w:bCs/>
                <w:szCs w:val="24"/>
              </w:rPr>
              <w:t>联系方式</w:t>
            </w:r>
          </w:p>
        </w:tc>
        <w:tc>
          <w:tcPr>
            <w:tcW w:w="2035" w:type="dxa"/>
            <w:tcBorders>
              <w:top w:val="single" w:color="auto" w:sz="4" w:space="0"/>
              <w:left w:val="single" w:color="auto" w:sz="4" w:space="0"/>
              <w:bottom w:val="single" w:color="auto" w:sz="4" w:space="0"/>
              <w:right w:val="single" w:color="auto" w:sz="4" w:space="0"/>
            </w:tcBorders>
            <w:vAlign w:val="center"/>
          </w:tcPr>
          <w:p w14:paraId="5048C82A">
            <w:pPr>
              <w:keepNext w:val="0"/>
              <w:keepLines w:val="0"/>
              <w:suppressLineNumbers w:val="0"/>
              <w:adjustRightInd w:val="0"/>
              <w:snapToGrid w:val="0"/>
              <w:spacing w:before="0" w:beforeAutospacing="0" w:after="0" w:afterAutospacing="0"/>
              <w:ind w:left="0" w:right="0"/>
              <w:jc w:val="center"/>
              <w:rPr>
                <w:rFonts w:hint="default" w:ascii="宋体" w:hAnsi="宋体"/>
                <w:b/>
                <w:bCs/>
                <w:szCs w:val="24"/>
              </w:rPr>
            </w:pPr>
            <w:r>
              <w:rPr>
                <w:rFonts w:hint="default" w:ascii="宋体" w:hAnsi="宋体"/>
                <w:b/>
                <w:bCs/>
                <w:szCs w:val="24"/>
              </w:rPr>
              <w:t>职责</w:t>
            </w:r>
          </w:p>
        </w:tc>
      </w:tr>
      <w:tr w14:paraId="6DFD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7E8F805C">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r>
              <w:rPr>
                <w:rFonts w:hint="eastAsia" w:ascii="宋体" w:hAnsi="宋体" w:eastAsia="宋体"/>
                <w:szCs w:val="24"/>
                <w:lang w:val="en-US" w:eastAsia="zh-CN"/>
              </w:rPr>
              <w:t>张东慧</w:t>
            </w:r>
          </w:p>
        </w:tc>
        <w:tc>
          <w:tcPr>
            <w:tcW w:w="1441" w:type="dxa"/>
            <w:tcBorders>
              <w:top w:val="single" w:color="auto" w:sz="4" w:space="0"/>
              <w:left w:val="single" w:color="auto" w:sz="4" w:space="0"/>
              <w:bottom w:val="single" w:color="auto" w:sz="4" w:space="0"/>
              <w:right w:val="single" w:color="auto" w:sz="4" w:space="0"/>
            </w:tcBorders>
            <w:vAlign w:val="center"/>
          </w:tcPr>
          <w:p w14:paraId="7A15D047">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r>
              <w:rPr>
                <w:rFonts w:hint="eastAsia" w:ascii="宋体" w:hAnsi="宋体" w:eastAsia="宋体"/>
                <w:szCs w:val="24"/>
                <w:lang w:eastAsia="zh-CN"/>
              </w:rPr>
              <w:t>正高级工程师</w:t>
            </w:r>
          </w:p>
        </w:tc>
        <w:tc>
          <w:tcPr>
            <w:tcW w:w="1961" w:type="dxa"/>
            <w:tcBorders>
              <w:top w:val="single" w:color="auto" w:sz="4" w:space="0"/>
              <w:left w:val="single" w:color="auto" w:sz="4" w:space="0"/>
              <w:bottom w:val="single" w:color="auto" w:sz="4" w:space="0"/>
              <w:right w:val="single" w:color="auto" w:sz="4" w:space="0"/>
            </w:tcBorders>
            <w:vAlign w:val="center"/>
          </w:tcPr>
          <w:p w14:paraId="4818169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r>
              <w:rPr>
                <w:rFonts w:hint="eastAsia" w:ascii="宋体" w:hAnsi="宋体" w:eastAsia="宋体"/>
                <w:szCs w:val="24"/>
                <w:lang w:eastAsia="zh-CN"/>
              </w:rPr>
              <w:t>国家纳米科学中心</w:t>
            </w:r>
          </w:p>
        </w:tc>
        <w:tc>
          <w:tcPr>
            <w:tcW w:w="2126" w:type="dxa"/>
            <w:tcBorders>
              <w:top w:val="single" w:color="auto" w:sz="4" w:space="0"/>
              <w:left w:val="single" w:color="auto" w:sz="4" w:space="0"/>
              <w:bottom w:val="single" w:color="auto" w:sz="4" w:space="0"/>
              <w:right w:val="single" w:color="auto" w:sz="4" w:space="0"/>
            </w:tcBorders>
            <w:vAlign w:val="center"/>
          </w:tcPr>
          <w:p w14:paraId="4D647A6E">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r>
              <w:rPr>
                <w:rFonts w:hint="default" w:ascii="宋体" w:hAnsi="宋体" w:eastAsia="宋体"/>
                <w:szCs w:val="24"/>
                <w:lang w:val="en-US" w:eastAsia="zh-CN"/>
              </w:rPr>
              <w:t>zhangdh@nanoctr.cn</w:t>
            </w:r>
          </w:p>
        </w:tc>
        <w:tc>
          <w:tcPr>
            <w:tcW w:w="2035" w:type="dxa"/>
            <w:tcBorders>
              <w:top w:val="single" w:color="auto" w:sz="4" w:space="0"/>
              <w:left w:val="single" w:color="auto" w:sz="4" w:space="0"/>
              <w:bottom w:val="single" w:color="auto" w:sz="4" w:space="0"/>
              <w:right w:val="single" w:color="auto" w:sz="4" w:space="0"/>
            </w:tcBorders>
            <w:vAlign w:val="center"/>
          </w:tcPr>
          <w:p w14:paraId="5D984066">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r>
              <w:rPr>
                <w:rFonts w:hint="default" w:ascii="宋体" w:hAnsi="宋体" w:eastAsia="宋体"/>
                <w:szCs w:val="24"/>
              </w:rPr>
              <w:t>负责</w:t>
            </w:r>
            <w:r>
              <w:rPr>
                <w:rFonts w:hint="eastAsia" w:ascii="宋体" w:hAnsi="宋体" w:eastAsia="宋体"/>
                <w:szCs w:val="24"/>
              </w:rPr>
              <w:t>总体</w:t>
            </w:r>
            <w:r>
              <w:rPr>
                <w:rFonts w:hint="default" w:ascii="宋体" w:hAnsi="宋体" w:eastAsia="宋体"/>
                <w:szCs w:val="24"/>
              </w:rPr>
              <w:t>推进标准</w:t>
            </w:r>
            <w:r>
              <w:rPr>
                <w:rFonts w:hint="eastAsia" w:ascii="宋体" w:hAnsi="宋体" w:eastAsia="宋体"/>
                <w:szCs w:val="24"/>
              </w:rPr>
              <w:t>的制定，包括立项申请和答辩、起草和完善</w:t>
            </w:r>
            <w:r>
              <w:rPr>
                <w:rFonts w:hint="default" w:ascii="宋体" w:hAnsi="宋体" w:eastAsia="宋体"/>
                <w:szCs w:val="24"/>
              </w:rPr>
              <w:t>标准草案</w:t>
            </w:r>
            <w:r>
              <w:rPr>
                <w:rFonts w:hint="eastAsia" w:ascii="宋体" w:hAnsi="宋体" w:eastAsia="宋体"/>
                <w:szCs w:val="24"/>
              </w:rPr>
              <w:t>等文件</w:t>
            </w:r>
            <w:r>
              <w:rPr>
                <w:rFonts w:hint="default" w:ascii="宋体" w:hAnsi="宋体" w:eastAsia="宋体"/>
                <w:szCs w:val="24"/>
              </w:rPr>
              <w:t>、</w:t>
            </w:r>
            <w:r>
              <w:rPr>
                <w:rFonts w:hint="eastAsia" w:ascii="宋体" w:hAnsi="宋体" w:eastAsia="宋体"/>
                <w:szCs w:val="24"/>
              </w:rPr>
              <w:t>意见</w:t>
            </w:r>
            <w:r>
              <w:rPr>
                <w:rFonts w:hint="default" w:ascii="宋体" w:hAnsi="宋体" w:eastAsia="宋体"/>
                <w:szCs w:val="24"/>
              </w:rPr>
              <w:t>征集意见</w:t>
            </w:r>
            <w:r>
              <w:rPr>
                <w:rFonts w:hint="eastAsia" w:ascii="宋体" w:hAnsi="宋体" w:eastAsia="宋体"/>
                <w:szCs w:val="24"/>
              </w:rPr>
              <w:t>和答复</w:t>
            </w:r>
            <w:r>
              <w:rPr>
                <w:rFonts w:hint="default" w:ascii="宋体" w:hAnsi="宋体" w:eastAsia="宋体"/>
                <w:szCs w:val="24"/>
              </w:rPr>
              <w:t>、</w:t>
            </w:r>
            <w:r>
              <w:rPr>
                <w:rFonts w:hint="eastAsia" w:ascii="宋体" w:hAnsi="宋体" w:eastAsia="宋体"/>
                <w:szCs w:val="24"/>
                <w:lang w:val="en-US" w:eastAsia="zh-CN"/>
              </w:rPr>
              <w:t>组织相关方研讨、</w:t>
            </w:r>
            <w:r>
              <w:rPr>
                <w:rFonts w:hint="eastAsia" w:ascii="宋体" w:hAnsi="宋体" w:eastAsia="宋体"/>
                <w:szCs w:val="24"/>
              </w:rPr>
              <w:t>审查会答辩等</w:t>
            </w:r>
            <w:r>
              <w:rPr>
                <w:rFonts w:hint="default" w:ascii="宋体" w:hAnsi="宋体" w:eastAsia="宋体"/>
                <w:szCs w:val="24"/>
              </w:rPr>
              <w:t>。</w:t>
            </w:r>
          </w:p>
        </w:tc>
      </w:tr>
      <w:tr w14:paraId="71379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66E65E64">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3F422412">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961" w:type="dxa"/>
            <w:tcBorders>
              <w:top w:val="single" w:color="auto" w:sz="4" w:space="0"/>
              <w:left w:val="single" w:color="auto" w:sz="4" w:space="0"/>
              <w:bottom w:val="single" w:color="auto" w:sz="4" w:space="0"/>
              <w:right w:val="single" w:color="auto" w:sz="4" w:space="0"/>
            </w:tcBorders>
            <w:vAlign w:val="center"/>
          </w:tcPr>
          <w:p w14:paraId="3D2A1501">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0CDE48D">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00FCE7F2">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39C83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4240D3E4">
            <w:pPr>
              <w:keepNext w:val="0"/>
              <w:keepLines w:val="0"/>
              <w:suppressLineNumbers w:val="0"/>
              <w:adjustRightInd w:val="0"/>
              <w:snapToGrid w:val="0"/>
              <w:spacing w:before="0" w:beforeAutospacing="0" w:after="0" w:afterAutospacing="0"/>
              <w:ind w:left="0" w:leftChars="0" w:right="0" w:rightChars="0"/>
              <w:jc w:val="center"/>
              <w:rPr>
                <w:rFonts w:hint="default" w:ascii="宋体" w:hAnsi="宋体" w:eastAsia="宋体" w:cs="Calibri"/>
                <w:kern w:val="2"/>
                <w:sz w:val="21"/>
                <w:szCs w:val="24"/>
                <w:lang w:val="en-US" w:eastAsia="zh-CN" w:bidi="ar-SA"/>
              </w:rPr>
            </w:pP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6B60AFCA">
            <w:pPr>
              <w:keepNext w:val="0"/>
              <w:keepLines w:val="0"/>
              <w:suppressLineNumbers w:val="0"/>
              <w:adjustRightInd w:val="0"/>
              <w:snapToGrid w:val="0"/>
              <w:spacing w:before="0" w:beforeAutospacing="0" w:after="0" w:afterAutospacing="0"/>
              <w:ind w:left="0" w:leftChars="0" w:right="0" w:rightChars="0"/>
              <w:jc w:val="center"/>
              <w:rPr>
                <w:rFonts w:hint="default" w:ascii="宋体" w:hAnsi="宋体" w:eastAsia="宋体" w:cs="Calibri"/>
                <w:kern w:val="2"/>
                <w:sz w:val="21"/>
                <w:szCs w:val="24"/>
                <w:lang w:val="en-US" w:eastAsia="zh-CN" w:bidi="ar-SA"/>
              </w:rPr>
            </w:pPr>
          </w:p>
        </w:tc>
        <w:tc>
          <w:tcPr>
            <w:tcW w:w="1961" w:type="dxa"/>
            <w:tcBorders>
              <w:top w:val="single" w:color="auto" w:sz="4" w:space="0"/>
              <w:left w:val="single" w:color="auto" w:sz="4" w:space="0"/>
              <w:bottom w:val="single" w:color="auto" w:sz="4" w:space="0"/>
              <w:right w:val="single" w:color="auto" w:sz="4" w:space="0"/>
            </w:tcBorders>
            <w:shd w:val="clear" w:color="auto" w:fill="auto"/>
            <w:vAlign w:val="center"/>
          </w:tcPr>
          <w:p w14:paraId="0BFFC4AA">
            <w:pPr>
              <w:keepNext w:val="0"/>
              <w:keepLines w:val="0"/>
              <w:suppressLineNumbers w:val="0"/>
              <w:adjustRightInd w:val="0"/>
              <w:snapToGrid w:val="0"/>
              <w:spacing w:before="0" w:beforeAutospacing="0" w:after="0" w:afterAutospacing="0"/>
              <w:ind w:left="0" w:leftChars="0" w:right="0" w:rightChars="0"/>
              <w:jc w:val="center"/>
              <w:rPr>
                <w:rFonts w:hint="default" w:ascii="宋体" w:hAnsi="宋体" w:eastAsia="宋体" w:cs="Calibri"/>
                <w:kern w:val="2"/>
                <w:sz w:val="21"/>
                <w:szCs w:val="24"/>
                <w:lang w:val="en-US" w:eastAsia="zh-CN" w:bidi="ar-SA"/>
              </w:rPr>
            </w:pP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14:paraId="2AEF5240">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14:paraId="239F6FB5">
            <w:pPr>
              <w:keepNext w:val="0"/>
              <w:keepLines w:val="0"/>
              <w:suppressLineNumbers w:val="0"/>
              <w:adjustRightInd w:val="0"/>
              <w:snapToGrid w:val="0"/>
              <w:spacing w:before="0" w:beforeAutospacing="0" w:after="0" w:afterAutospacing="0"/>
              <w:ind w:left="0" w:leftChars="0" w:right="0" w:rightChars="0"/>
              <w:jc w:val="center"/>
              <w:rPr>
                <w:rFonts w:hint="default" w:ascii="宋体" w:hAnsi="宋体" w:eastAsia="宋体" w:cs="Calibri"/>
                <w:kern w:val="2"/>
                <w:sz w:val="21"/>
                <w:szCs w:val="24"/>
                <w:lang w:val="en-US" w:eastAsia="zh-CN" w:bidi="ar-SA"/>
              </w:rPr>
            </w:pPr>
          </w:p>
        </w:tc>
      </w:tr>
      <w:tr w14:paraId="2FA1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55747CE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6FB77A43">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961" w:type="dxa"/>
            <w:tcBorders>
              <w:top w:val="single" w:color="auto" w:sz="4" w:space="0"/>
              <w:left w:val="single" w:color="auto" w:sz="4" w:space="0"/>
              <w:bottom w:val="single" w:color="auto" w:sz="4" w:space="0"/>
              <w:right w:val="single" w:color="auto" w:sz="4" w:space="0"/>
            </w:tcBorders>
            <w:vAlign w:val="center"/>
          </w:tcPr>
          <w:p w14:paraId="68873DC2">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1D8D8F43">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3B38F789">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1DD44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F64C7B0">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2AF4D6CC">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961" w:type="dxa"/>
            <w:tcBorders>
              <w:top w:val="single" w:color="auto" w:sz="4" w:space="0"/>
              <w:left w:val="single" w:color="auto" w:sz="4" w:space="0"/>
              <w:bottom w:val="single" w:color="auto" w:sz="4" w:space="0"/>
              <w:right w:val="single" w:color="auto" w:sz="4" w:space="0"/>
            </w:tcBorders>
            <w:vAlign w:val="center"/>
          </w:tcPr>
          <w:p w14:paraId="17A2C27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BE893F3">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342A55A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49AB7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5342C7D">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221D0638">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961" w:type="dxa"/>
            <w:tcBorders>
              <w:top w:val="single" w:color="auto" w:sz="4" w:space="0"/>
              <w:left w:val="single" w:color="auto" w:sz="4" w:space="0"/>
              <w:bottom w:val="single" w:color="auto" w:sz="4" w:space="0"/>
              <w:right w:val="single" w:color="auto" w:sz="4" w:space="0"/>
            </w:tcBorders>
            <w:vAlign w:val="center"/>
          </w:tcPr>
          <w:p w14:paraId="77458A40">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2508B2F8">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2B8B252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4F3F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F568550">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77269AEF">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961" w:type="dxa"/>
            <w:tcBorders>
              <w:top w:val="single" w:color="auto" w:sz="4" w:space="0"/>
              <w:left w:val="single" w:color="auto" w:sz="4" w:space="0"/>
              <w:bottom w:val="single" w:color="auto" w:sz="4" w:space="0"/>
              <w:right w:val="single" w:color="auto" w:sz="4" w:space="0"/>
            </w:tcBorders>
            <w:vAlign w:val="center"/>
          </w:tcPr>
          <w:p w14:paraId="27BAAED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D3FBB49">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0DBCF4B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711B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2408F5D2">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4C683C1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1961" w:type="dxa"/>
            <w:tcBorders>
              <w:top w:val="single" w:color="auto" w:sz="4" w:space="0"/>
              <w:left w:val="single" w:color="auto" w:sz="4" w:space="0"/>
              <w:bottom w:val="single" w:color="auto" w:sz="4" w:space="0"/>
              <w:right w:val="single" w:color="auto" w:sz="4" w:space="0"/>
            </w:tcBorders>
            <w:vAlign w:val="center"/>
          </w:tcPr>
          <w:p w14:paraId="7745BE52">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126" w:type="dxa"/>
            <w:tcBorders>
              <w:top w:val="single" w:color="auto" w:sz="4" w:space="0"/>
              <w:left w:val="single" w:color="auto" w:sz="4" w:space="0"/>
              <w:bottom w:val="single" w:color="auto" w:sz="4" w:space="0"/>
              <w:right w:val="single" w:color="auto" w:sz="4" w:space="0"/>
            </w:tcBorders>
            <w:vAlign w:val="center"/>
          </w:tcPr>
          <w:p w14:paraId="4DCDF22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52712CE8">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r>
      <w:tr w14:paraId="651E7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02A6A86B">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2C89AE34">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1961" w:type="dxa"/>
            <w:tcBorders>
              <w:top w:val="single" w:color="auto" w:sz="4" w:space="0"/>
              <w:left w:val="single" w:color="auto" w:sz="4" w:space="0"/>
              <w:bottom w:val="single" w:color="auto" w:sz="4" w:space="0"/>
              <w:right w:val="single" w:color="auto" w:sz="4" w:space="0"/>
            </w:tcBorders>
            <w:vAlign w:val="center"/>
          </w:tcPr>
          <w:p w14:paraId="40B726B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126" w:type="dxa"/>
            <w:tcBorders>
              <w:top w:val="single" w:color="auto" w:sz="4" w:space="0"/>
              <w:left w:val="single" w:color="auto" w:sz="4" w:space="0"/>
              <w:bottom w:val="single" w:color="auto" w:sz="4" w:space="0"/>
              <w:right w:val="single" w:color="auto" w:sz="4" w:space="0"/>
            </w:tcBorders>
            <w:vAlign w:val="center"/>
          </w:tcPr>
          <w:p w14:paraId="62E312C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349B8C9D">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r>
      <w:tr w14:paraId="1E56F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32D2283">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1441" w:type="dxa"/>
            <w:tcBorders>
              <w:top w:val="single" w:color="auto" w:sz="4" w:space="0"/>
              <w:left w:val="single" w:color="auto" w:sz="4" w:space="0"/>
              <w:bottom w:val="single" w:color="auto" w:sz="4" w:space="0"/>
              <w:right w:val="single" w:color="auto" w:sz="4" w:space="0"/>
            </w:tcBorders>
            <w:vAlign w:val="center"/>
          </w:tcPr>
          <w:p w14:paraId="576FC8FF">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961" w:type="dxa"/>
            <w:tcBorders>
              <w:top w:val="single" w:color="auto" w:sz="4" w:space="0"/>
              <w:left w:val="single" w:color="auto" w:sz="4" w:space="0"/>
              <w:bottom w:val="single" w:color="auto" w:sz="4" w:space="0"/>
              <w:right w:val="single" w:color="auto" w:sz="4" w:space="0"/>
            </w:tcBorders>
            <w:vAlign w:val="center"/>
          </w:tcPr>
          <w:p w14:paraId="4DB411C8">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2C1CC273">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509FDD6E">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6A85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2017CA69">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3E03C6F4">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1961" w:type="dxa"/>
            <w:tcBorders>
              <w:top w:val="single" w:color="auto" w:sz="4" w:space="0"/>
              <w:left w:val="single" w:color="auto" w:sz="4" w:space="0"/>
              <w:bottom w:val="single" w:color="auto" w:sz="4" w:space="0"/>
              <w:right w:val="single" w:color="auto" w:sz="4" w:space="0"/>
            </w:tcBorders>
            <w:vAlign w:val="center"/>
          </w:tcPr>
          <w:p w14:paraId="66379C1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1EBBA3A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47902DE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33D1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1E2724C6">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1441" w:type="dxa"/>
            <w:tcBorders>
              <w:top w:val="single" w:color="auto" w:sz="4" w:space="0"/>
              <w:left w:val="single" w:color="auto" w:sz="4" w:space="0"/>
              <w:bottom w:val="single" w:color="auto" w:sz="4" w:space="0"/>
              <w:right w:val="single" w:color="auto" w:sz="4" w:space="0"/>
            </w:tcBorders>
            <w:vAlign w:val="center"/>
          </w:tcPr>
          <w:p w14:paraId="6BB2F07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1961" w:type="dxa"/>
            <w:tcBorders>
              <w:top w:val="single" w:color="auto" w:sz="4" w:space="0"/>
              <w:left w:val="single" w:color="auto" w:sz="4" w:space="0"/>
              <w:bottom w:val="single" w:color="auto" w:sz="4" w:space="0"/>
              <w:right w:val="single" w:color="auto" w:sz="4" w:space="0"/>
            </w:tcBorders>
            <w:vAlign w:val="center"/>
          </w:tcPr>
          <w:p w14:paraId="493AD738">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21ED9704">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00B23E0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49D24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16DAC7B4">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3F7215C1">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1961" w:type="dxa"/>
            <w:tcBorders>
              <w:top w:val="single" w:color="auto" w:sz="4" w:space="0"/>
              <w:left w:val="single" w:color="auto" w:sz="4" w:space="0"/>
              <w:bottom w:val="single" w:color="auto" w:sz="4" w:space="0"/>
              <w:right w:val="single" w:color="auto" w:sz="4" w:space="0"/>
            </w:tcBorders>
            <w:vAlign w:val="center"/>
          </w:tcPr>
          <w:p w14:paraId="6C31E602">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53E254A0">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0B8F6A28">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7F57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1D8D1D2">
            <w:pPr>
              <w:keepNext w:val="0"/>
              <w:keepLines w:val="0"/>
              <w:suppressLineNumbers w:val="0"/>
              <w:adjustRightInd w:val="0"/>
              <w:snapToGrid w:val="0"/>
              <w:spacing w:before="0" w:beforeAutospacing="0" w:after="0" w:afterAutospacing="0"/>
              <w:ind w:left="0" w:right="0"/>
              <w:jc w:val="center"/>
              <w:rPr>
                <w:rFonts w:hint="eastAsia" w:ascii="Times New Roman" w:hAnsi="宋体"/>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586BB21C">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1961" w:type="dxa"/>
            <w:tcBorders>
              <w:top w:val="single" w:color="auto" w:sz="4" w:space="0"/>
              <w:left w:val="single" w:color="auto" w:sz="4" w:space="0"/>
              <w:bottom w:val="single" w:color="auto" w:sz="4" w:space="0"/>
              <w:right w:val="single" w:color="auto" w:sz="4" w:space="0"/>
            </w:tcBorders>
            <w:vAlign w:val="center"/>
          </w:tcPr>
          <w:p w14:paraId="46F6719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DBC716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lang w:val="en-US" w:eastAsia="zh-CN"/>
              </w:rPr>
            </w:pPr>
          </w:p>
        </w:tc>
        <w:tc>
          <w:tcPr>
            <w:tcW w:w="2035" w:type="dxa"/>
            <w:tcBorders>
              <w:top w:val="single" w:color="auto" w:sz="4" w:space="0"/>
              <w:left w:val="single" w:color="auto" w:sz="4" w:space="0"/>
              <w:bottom w:val="single" w:color="auto" w:sz="4" w:space="0"/>
              <w:right w:val="single" w:color="auto" w:sz="4" w:space="0"/>
            </w:tcBorders>
            <w:vAlign w:val="center"/>
          </w:tcPr>
          <w:p w14:paraId="36DDC01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r w14:paraId="28F1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5BD4DCD7">
            <w:pPr>
              <w:keepNext w:val="0"/>
              <w:keepLines w:val="0"/>
              <w:suppressLineNumbers w:val="0"/>
              <w:adjustRightInd w:val="0"/>
              <w:snapToGrid w:val="0"/>
              <w:spacing w:before="0" w:beforeAutospacing="0" w:after="0" w:afterAutospacing="0"/>
              <w:ind w:left="0" w:right="0"/>
              <w:jc w:val="center"/>
              <w:rPr>
                <w:rFonts w:hint="eastAsia" w:ascii="Times New Roman" w:hAnsi="宋体"/>
                <w:lang w:val="en-US" w:eastAsia="zh-CN"/>
              </w:rPr>
            </w:pPr>
          </w:p>
        </w:tc>
        <w:tc>
          <w:tcPr>
            <w:tcW w:w="1441" w:type="dxa"/>
            <w:tcBorders>
              <w:top w:val="single" w:color="auto" w:sz="4" w:space="0"/>
              <w:left w:val="single" w:color="auto" w:sz="4" w:space="0"/>
              <w:bottom w:val="single" w:color="auto" w:sz="4" w:space="0"/>
              <w:right w:val="single" w:color="auto" w:sz="4" w:space="0"/>
            </w:tcBorders>
            <w:vAlign w:val="center"/>
          </w:tcPr>
          <w:p w14:paraId="5D390AB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1961" w:type="dxa"/>
            <w:tcBorders>
              <w:top w:val="single" w:color="auto" w:sz="4" w:space="0"/>
              <w:left w:val="single" w:color="auto" w:sz="4" w:space="0"/>
              <w:bottom w:val="single" w:color="auto" w:sz="4" w:space="0"/>
              <w:right w:val="single" w:color="auto" w:sz="4" w:space="0"/>
            </w:tcBorders>
            <w:vAlign w:val="center"/>
          </w:tcPr>
          <w:p w14:paraId="08AD96B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49D2D170">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c>
          <w:tcPr>
            <w:tcW w:w="2035" w:type="dxa"/>
            <w:tcBorders>
              <w:top w:val="single" w:color="auto" w:sz="4" w:space="0"/>
              <w:left w:val="single" w:color="auto" w:sz="4" w:space="0"/>
              <w:bottom w:val="single" w:color="auto" w:sz="4" w:space="0"/>
              <w:right w:val="single" w:color="auto" w:sz="4" w:space="0"/>
            </w:tcBorders>
            <w:vAlign w:val="center"/>
          </w:tcPr>
          <w:p w14:paraId="24D69FB0">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4"/>
              </w:rPr>
            </w:pPr>
          </w:p>
        </w:tc>
      </w:tr>
    </w:tbl>
    <w:p w14:paraId="36491EAC">
      <w:pPr>
        <w:numPr>
          <w:ilvl w:val="0"/>
          <w:numId w:val="10"/>
        </w:numPr>
        <w:spacing w:before="156" w:beforeLines="50" w:after="156" w:afterLines="50" w:line="360" w:lineRule="auto"/>
        <w:rPr>
          <w:rFonts w:eastAsia="黑体"/>
          <w:bCs/>
          <w:sz w:val="24"/>
        </w:rPr>
      </w:pPr>
      <w:r>
        <w:rPr>
          <w:rFonts w:hint="eastAsia" w:eastAsia="黑体"/>
          <w:bCs/>
          <w:sz w:val="24"/>
        </w:rPr>
        <w:t>编制原则、主要内容及其确定依据</w:t>
      </w:r>
    </w:p>
    <w:p w14:paraId="38F44BCB">
      <w:pPr>
        <w:adjustRightInd w:val="0"/>
        <w:snapToGrid w:val="0"/>
        <w:spacing w:line="360" w:lineRule="auto"/>
        <w:rPr>
          <w:b/>
          <w:bCs/>
          <w:sz w:val="24"/>
          <w:szCs w:val="24"/>
        </w:rPr>
      </w:pPr>
      <w:bookmarkStart w:id="1" w:name="OLE_LINK13"/>
      <w:r>
        <w:rPr>
          <w:rFonts w:ascii="Times New Roman" w:hAnsi="Times New Roman" w:cs="Times New Roman"/>
          <w:b/>
          <w:bCs/>
          <w:sz w:val="24"/>
          <w:szCs w:val="24"/>
        </w:rPr>
        <w:t>1</w:t>
      </w:r>
      <w:r>
        <w:rPr>
          <w:rFonts w:hint="eastAsia"/>
          <w:b/>
          <w:bCs/>
          <w:sz w:val="24"/>
          <w:szCs w:val="24"/>
        </w:rPr>
        <w:t>、编制主要原则</w:t>
      </w:r>
    </w:p>
    <w:bookmarkEnd w:id="1"/>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4"/>
        <w:gridCol w:w="2333"/>
        <w:gridCol w:w="3962"/>
      </w:tblGrid>
      <w:tr w14:paraId="637B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5" w:type="pct"/>
            <w:vAlign w:val="center"/>
          </w:tcPr>
          <w:p w14:paraId="32553EE9">
            <w:pPr>
              <w:keepNext w:val="0"/>
              <w:keepLines w:val="0"/>
              <w:widowControl/>
              <w:suppressLineNumbers w:val="0"/>
              <w:spacing w:before="0" w:beforeAutospacing="0" w:after="0" w:afterAutospacing="0"/>
              <w:ind w:left="0" w:right="0"/>
              <w:jc w:val="center"/>
              <w:rPr>
                <w:rFonts w:hint="default" w:ascii="Times New Roman" w:hAnsi="Times New Roman"/>
                <w:b/>
                <w:bCs w:val="0"/>
                <w:sz w:val="22"/>
                <w:szCs w:val="24"/>
              </w:rPr>
            </w:pPr>
            <w:r>
              <w:rPr>
                <w:rFonts w:hint="default" w:ascii="Times New Roman" w:hAnsi="Times New Roman"/>
                <w:b/>
                <w:bCs w:val="0"/>
                <w:sz w:val="22"/>
                <w:szCs w:val="24"/>
              </w:rPr>
              <w:t>本标准中相应的部分</w:t>
            </w:r>
          </w:p>
        </w:tc>
        <w:tc>
          <w:tcPr>
            <w:tcW w:w="1369" w:type="pct"/>
            <w:vAlign w:val="center"/>
          </w:tcPr>
          <w:p w14:paraId="52BA9C4C">
            <w:pPr>
              <w:keepNext w:val="0"/>
              <w:keepLines w:val="0"/>
              <w:widowControl/>
              <w:suppressLineNumbers w:val="0"/>
              <w:spacing w:before="0" w:beforeAutospacing="0" w:after="0" w:afterAutospacing="0"/>
              <w:ind w:left="0" w:right="0"/>
              <w:jc w:val="center"/>
              <w:rPr>
                <w:rFonts w:hint="default" w:ascii="Times New Roman" w:hAnsi="Times New Roman"/>
                <w:b/>
                <w:bCs w:val="0"/>
                <w:sz w:val="22"/>
                <w:szCs w:val="24"/>
              </w:rPr>
            </w:pPr>
            <w:r>
              <w:rPr>
                <w:rFonts w:hint="default" w:ascii="Times New Roman" w:hAnsi="Times New Roman"/>
                <w:b/>
                <w:bCs w:val="0"/>
                <w:sz w:val="22"/>
                <w:szCs w:val="24"/>
              </w:rPr>
              <w:t>依据的国家标准编号</w:t>
            </w:r>
          </w:p>
        </w:tc>
        <w:tc>
          <w:tcPr>
            <w:tcW w:w="2325" w:type="pct"/>
            <w:vAlign w:val="center"/>
          </w:tcPr>
          <w:p w14:paraId="35B7C7D4">
            <w:pPr>
              <w:keepNext w:val="0"/>
              <w:keepLines w:val="0"/>
              <w:widowControl/>
              <w:suppressLineNumbers w:val="0"/>
              <w:spacing w:before="0" w:beforeAutospacing="0" w:after="0" w:afterAutospacing="0"/>
              <w:ind w:left="0" w:right="0"/>
              <w:jc w:val="center"/>
              <w:rPr>
                <w:rFonts w:hint="default" w:ascii="Times New Roman" w:hAnsi="Times New Roman"/>
                <w:b/>
                <w:bCs w:val="0"/>
                <w:sz w:val="22"/>
                <w:szCs w:val="24"/>
              </w:rPr>
            </w:pPr>
            <w:r>
              <w:rPr>
                <w:rFonts w:hint="default" w:ascii="Times New Roman" w:hAnsi="Times New Roman"/>
                <w:b/>
                <w:bCs w:val="0"/>
                <w:sz w:val="22"/>
                <w:szCs w:val="24"/>
              </w:rPr>
              <w:t>依据的国家标准名称</w:t>
            </w:r>
          </w:p>
        </w:tc>
      </w:tr>
      <w:tr w14:paraId="2687E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5" w:type="pct"/>
            <w:vAlign w:val="center"/>
          </w:tcPr>
          <w:p w14:paraId="2070E537">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default" w:ascii="Times New Roman" w:hAnsi="Times New Roman"/>
                <w:bCs/>
                <w:sz w:val="22"/>
                <w:szCs w:val="24"/>
              </w:rPr>
              <w:t>标准的结构</w:t>
            </w:r>
          </w:p>
        </w:tc>
        <w:tc>
          <w:tcPr>
            <w:tcW w:w="1369" w:type="pct"/>
            <w:vAlign w:val="center"/>
          </w:tcPr>
          <w:p w14:paraId="422D6AA8">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default" w:ascii="Times New Roman" w:hAnsi="Times New Roman"/>
                <w:bCs/>
                <w:sz w:val="22"/>
                <w:szCs w:val="24"/>
              </w:rPr>
              <w:t>GB/T 1.1 – 20</w:t>
            </w:r>
            <w:r>
              <w:rPr>
                <w:rFonts w:hint="eastAsia" w:ascii="Times New Roman" w:hAnsi="Times New Roman"/>
                <w:bCs/>
                <w:sz w:val="22"/>
                <w:szCs w:val="24"/>
              </w:rPr>
              <w:t>20</w:t>
            </w:r>
          </w:p>
        </w:tc>
        <w:tc>
          <w:tcPr>
            <w:tcW w:w="2325" w:type="pct"/>
            <w:vAlign w:val="center"/>
          </w:tcPr>
          <w:p w14:paraId="15DD3BC3">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default" w:ascii="Times New Roman" w:hAnsi="Times New Roman"/>
                <w:bCs/>
                <w:sz w:val="22"/>
                <w:szCs w:val="24"/>
              </w:rPr>
              <w:t>标准化工作导则</w:t>
            </w:r>
            <w:r>
              <w:rPr>
                <w:rFonts w:hint="eastAsia" w:ascii="Times New Roman" w:hAnsi="Times New Roman"/>
                <w:bCs/>
                <w:sz w:val="22"/>
                <w:szCs w:val="24"/>
              </w:rPr>
              <w:t xml:space="preserve"> </w:t>
            </w:r>
            <w:r>
              <w:rPr>
                <w:rFonts w:hint="default" w:ascii="Times New Roman" w:hAnsi="Times New Roman"/>
                <w:bCs/>
                <w:sz w:val="22"/>
                <w:szCs w:val="24"/>
              </w:rPr>
              <w:t>第1部分：标准</w:t>
            </w:r>
            <w:r>
              <w:rPr>
                <w:rFonts w:hint="eastAsia" w:ascii="Times New Roman" w:hAnsi="Times New Roman"/>
                <w:bCs/>
                <w:sz w:val="22"/>
                <w:szCs w:val="24"/>
              </w:rPr>
              <w:t>化文件的</w:t>
            </w:r>
            <w:r>
              <w:rPr>
                <w:rFonts w:hint="default" w:ascii="Times New Roman" w:hAnsi="Times New Roman"/>
                <w:bCs/>
                <w:sz w:val="22"/>
                <w:szCs w:val="24"/>
              </w:rPr>
              <w:t>结构和</w:t>
            </w:r>
            <w:r>
              <w:rPr>
                <w:rFonts w:hint="eastAsia" w:ascii="Times New Roman" w:hAnsi="Times New Roman"/>
                <w:bCs/>
                <w:sz w:val="22"/>
                <w:szCs w:val="24"/>
              </w:rPr>
              <w:t>起草规则</w:t>
            </w:r>
          </w:p>
        </w:tc>
      </w:tr>
      <w:tr w14:paraId="2887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5" w:type="pct"/>
            <w:vAlign w:val="center"/>
          </w:tcPr>
          <w:p w14:paraId="42D1BFE8">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eastAsia" w:ascii="Times New Roman" w:hAnsi="Times New Roman"/>
                <w:bCs/>
                <w:sz w:val="22"/>
                <w:szCs w:val="24"/>
              </w:rPr>
              <w:t>“定义”的编写</w:t>
            </w:r>
          </w:p>
        </w:tc>
        <w:tc>
          <w:tcPr>
            <w:tcW w:w="1369" w:type="pct"/>
            <w:vAlign w:val="center"/>
          </w:tcPr>
          <w:p w14:paraId="758E4A33">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eastAsia" w:ascii="Times New Roman" w:hAnsi="Times New Roman"/>
                <w:bCs/>
                <w:sz w:val="22"/>
                <w:szCs w:val="24"/>
              </w:rPr>
              <w:t>GB/T 20001.1-2015</w:t>
            </w:r>
          </w:p>
        </w:tc>
        <w:tc>
          <w:tcPr>
            <w:tcW w:w="2325" w:type="pct"/>
            <w:vAlign w:val="center"/>
          </w:tcPr>
          <w:p w14:paraId="42BB0F9D">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eastAsia" w:ascii="Times New Roman" w:hAnsi="Times New Roman"/>
                <w:bCs/>
                <w:sz w:val="22"/>
                <w:szCs w:val="24"/>
              </w:rPr>
              <w:t>标准编写规则 第1部分：术语标准</w:t>
            </w:r>
          </w:p>
        </w:tc>
      </w:tr>
      <w:tr w14:paraId="2BA3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5" w:type="pct"/>
            <w:vAlign w:val="center"/>
          </w:tcPr>
          <w:p w14:paraId="452F69BB">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eastAsia" w:ascii="Times New Roman" w:hAnsi="Times New Roman"/>
                <w:bCs/>
                <w:sz w:val="22"/>
                <w:szCs w:val="24"/>
              </w:rPr>
              <w:t>采用国际标准规则</w:t>
            </w:r>
          </w:p>
        </w:tc>
        <w:tc>
          <w:tcPr>
            <w:tcW w:w="1369" w:type="pct"/>
            <w:vAlign w:val="center"/>
          </w:tcPr>
          <w:p w14:paraId="37C27A61">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eastAsia" w:ascii="Times New Roman" w:hAnsi="Times New Roman"/>
                <w:bCs/>
                <w:sz w:val="22"/>
                <w:szCs w:val="24"/>
              </w:rPr>
              <w:t>GB/T 1.2</w:t>
            </w:r>
            <w:r>
              <w:rPr>
                <w:rFonts w:hint="default" w:ascii="Times New Roman" w:hAnsi="Times New Roman"/>
                <w:bCs/>
                <w:sz w:val="22"/>
                <w:szCs w:val="24"/>
              </w:rPr>
              <w:t>-20</w:t>
            </w:r>
            <w:r>
              <w:rPr>
                <w:rFonts w:hint="eastAsia" w:ascii="Times New Roman" w:hAnsi="Times New Roman"/>
                <w:bCs/>
                <w:sz w:val="22"/>
                <w:szCs w:val="24"/>
              </w:rPr>
              <w:t>20</w:t>
            </w:r>
          </w:p>
        </w:tc>
        <w:tc>
          <w:tcPr>
            <w:tcW w:w="2325" w:type="pct"/>
            <w:vAlign w:val="center"/>
          </w:tcPr>
          <w:p w14:paraId="390CD414">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eastAsia" w:ascii="Times New Roman" w:hAnsi="Times New Roman"/>
                <w:bCs/>
                <w:sz w:val="22"/>
                <w:szCs w:val="24"/>
              </w:rPr>
              <w:t>标准化工作导则 第2部分：以ISO/IEC标准化文件为基础的标准化文件起草规则</w:t>
            </w:r>
          </w:p>
        </w:tc>
      </w:tr>
      <w:tr w14:paraId="5DAEE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05" w:type="pct"/>
            <w:vAlign w:val="center"/>
          </w:tcPr>
          <w:p w14:paraId="55C90DEA">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eastAsia" w:ascii="Times New Roman" w:hAnsi="Times New Roman"/>
                <w:bCs/>
                <w:sz w:val="22"/>
                <w:szCs w:val="24"/>
              </w:rPr>
              <w:t>“</w:t>
            </w:r>
            <w:r>
              <w:rPr>
                <w:rFonts w:hint="default" w:ascii="Times New Roman" w:hAnsi="Times New Roman"/>
                <w:bCs/>
                <w:sz w:val="22"/>
                <w:szCs w:val="24"/>
              </w:rPr>
              <w:t>参考文献</w:t>
            </w:r>
            <w:r>
              <w:rPr>
                <w:rFonts w:hint="eastAsia" w:ascii="Times New Roman" w:hAnsi="Times New Roman"/>
                <w:bCs/>
                <w:sz w:val="22"/>
                <w:szCs w:val="24"/>
              </w:rPr>
              <w:t>”</w:t>
            </w:r>
            <w:r>
              <w:rPr>
                <w:rFonts w:hint="default" w:ascii="Times New Roman" w:hAnsi="Times New Roman"/>
                <w:bCs/>
                <w:sz w:val="22"/>
                <w:szCs w:val="24"/>
              </w:rPr>
              <w:t>的编写</w:t>
            </w:r>
          </w:p>
        </w:tc>
        <w:tc>
          <w:tcPr>
            <w:tcW w:w="1369" w:type="pct"/>
            <w:vAlign w:val="center"/>
          </w:tcPr>
          <w:p w14:paraId="4D6C6BBB">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default" w:ascii="Times New Roman" w:hAnsi="Times New Roman"/>
                <w:bCs/>
                <w:sz w:val="22"/>
                <w:szCs w:val="24"/>
              </w:rPr>
              <w:t>GB/T 7714-2005</w:t>
            </w:r>
          </w:p>
        </w:tc>
        <w:tc>
          <w:tcPr>
            <w:tcW w:w="2325" w:type="pct"/>
            <w:vAlign w:val="center"/>
          </w:tcPr>
          <w:p w14:paraId="7E80E64D">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default" w:ascii="Times New Roman" w:hAnsi="Times New Roman"/>
                <w:bCs/>
                <w:sz w:val="22"/>
                <w:szCs w:val="24"/>
              </w:rPr>
              <w:t>文后参考文献著录规则</w:t>
            </w:r>
          </w:p>
        </w:tc>
      </w:tr>
      <w:tr w14:paraId="68C4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5" w:type="pct"/>
            <w:vAlign w:val="center"/>
          </w:tcPr>
          <w:p w14:paraId="138652AF">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default" w:ascii="Times New Roman" w:hAnsi="Times New Roman"/>
                <w:bCs/>
                <w:sz w:val="22"/>
                <w:szCs w:val="24"/>
              </w:rPr>
              <w:t>有关</w:t>
            </w:r>
            <w:r>
              <w:rPr>
                <w:rFonts w:hint="eastAsia" w:ascii="Times New Roman" w:hAnsi="Times New Roman"/>
                <w:bCs/>
                <w:sz w:val="22"/>
                <w:szCs w:val="24"/>
                <w:lang w:eastAsia="zh-CN"/>
              </w:rPr>
              <w:t>测试</w:t>
            </w:r>
            <w:r>
              <w:rPr>
                <w:rFonts w:hint="default" w:ascii="Times New Roman" w:hAnsi="Times New Roman"/>
                <w:bCs/>
                <w:sz w:val="22"/>
                <w:szCs w:val="24"/>
              </w:rPr>
              <w:t>方面的术语</w:t>
            </w:r>
          </w:p>
        </w:tc>
        <w:tc>
          <w:tcPr>
            <w:tcW w:w="1369" w:type="pct"/>
            <w:vAlign w:val="center"/>
          </w:tcPr>
          <w:p w14:paraId="1D08E6F2">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default" w:ascii="Times New Roman" w:hAnsi="Calibri" w:eastAsia="宋体" w:cs="Times New Roman"/>
                <w:kern w:val="2"/>
                <w:sz w:val="21"/>
                <w:szCs w:val="21"/>
                <w:lang w:val="en-US" w:eastAsia="zh-CN" w:bidi="ar"/>
              </w:rPr>
              <w:t xml:space="preserve">GB/T 50902—2013 </w:t>
            </w:r>
          </w:p>
        </w:tc>
        <w:tc>
          <w:tcPr>
            <w:tcW w:w="2325" w:type="pct"/>
            <w:vAlign w:val="center"/>
          </w:tcPr>
          <w:p w14:paraId="68CE0657">
            <w:pPr>
              <w:keepNext w:val="0"/>
              <w:keepLines w:val="0"/>
              <w:widowControl/>
              <w:suppressLineNumbers w:val="0"/>
              <w:spacing w:before="0" w:beforeAutospacing="0" w:after="0" w:afterAutospacing="0"/>
              <w:ind w:left="0" w:right="0"/>
              <w:jc w:val="center"/>
              <w:rPr>
                <w:rFonts w:hint="default" w:ascii="Times New Roman" w:hAnsi="Times New Roman"/>
                <w:bCs/>
                <w:sz w:val="22"/>
                <w:szCs w:val="24"/>
              </w:rPr>
            </w:pPr>
            <w:r>
              <w:rPr>
                <w:rFonts w:hint="eastAsia" w:ascii="Times New Roman" w:hAnsi="Calibri" w:eastAsia="宋体" w:cs="Times New Roman"/>
                <w:kern w:val="2"/>
                <w:sz w:val="21"/>
                <w:szCs w:val="21"/>
                <w:lang w:val="en-US" w:eastAsia="zh-CN" w:bidi="ar"/>
              </w:rPr>
              <w:t>医药工程基本术语标准</w:t>
            </w:r>
          </w:p>
        </w:tc>
      </w:tr>
    </w:tbl>
    <w:p w14:paraId="6C270632">
      <w:pPr>
        <w:adjustRightInd w:val="0"/>
        <w:snapToGrid w:val="0"/>
        <w:spacing w:line="360" w:lineRule="auto"/>
        <w:rPr>
          <w:rFonts w:ascii="Times New Roman" w:hAnsi="Times New Roman" w:cs="Times New Roman"/>
          <w:b/>
          <w:bCs/>
          <w:sz w:val="24"/>
          <w:szCs w:val="24"/>
        </w:rPr>
      </w:pPr>
    </w:p>
    <w:p w14:paraId="19C8FEC6">
      <w:pPr>
        <w:numPr>
          <w:ilvl w:val="0"/>
          <w:numId w:val="0"/>
        </w:numPr>
        <w:adjustRightInd w:val="0"/>
        <w:snapToGrid w:val="0"/>
        <w:spacing w:line="360" w:lineRule="auto"/>
        <w:rPr>
          <w:rFonts w:ascii="Times New Roman" w:hAnsi="Times New Roman" w:cs="Times New Roman"/>
          <w:b/>
          <w:bCs/>
          <w:sz w:val="24"/>
          <w:szCs w:val="24"/>
        </w:rPr>
      </w:pPr>
      <w:r>
        <w:rPr>
          <w:rFonts w:hint="eastAsia" w:ascii="Times New Roman" w:hAnsi="Times New Roman" w:cs="Times New Roman"/>
          <w:b/>
          <w:bCs/>
          <w:sz w:val="24"/>
          <w:szCs w:val="24"/>
          <w:lang w:val="en-US" w:eastAsia="zh-CN"/>
        </w:rPr>
        <w:t>2、</w:t>
      </w:r>
      <w:r>
        <w:rPr>
          <w:rFonts w:hint="eastAsia" w:ascii="Times New Roman" w:hAnsi="Times New Roman" w:cs="Times New Roman"/>
          <w:b/>
          <w:bCs/>
          <w:sz w:val="24"/>
          <w:szCs w:val="24"/>
        </w:rPr>
        <w:t>编制主要内容</w:t>
      </w:r>
    </w:p>
    <w:p w14:paraId="23352805">
      <w:pPr>
        <w:adjustRightInd w:val="0"/>
        <w:snapToGrid w:val="0"/>
        <w:spacing w:line="360" w:lineRule="auto"/>
        <w:ind w:firstLine="480" w:firstLineChars="200"/>
        <w:rPr>
          <w:rFonts w:ascii="Times New Roman" w:hAnsi="Times New Roman" w:cs="Times New Roman"/>
          <w:sz w:val="24"/>
          <w:szCs w:val="24"/>
        </w:rPr>
      </w:pPr>
      <w:bookmarkStart w:id="2" w:name="OLE_LINK8"/>
      <w:r>
        <w:rPr>
          <w:rFonts w:hint="eastAsia" w:ascii="Times New Roman" w:hAnsi="Times New Roman" w:cs="Times New Roman"/>
          <w:sz w:val="24"/>
          <w:szCs w:val="24"/>
        </w:rPr>
        <w:t>主要内容包括：</w:t>
      </w:r>
    </w:p>
    <w:bookmarkEnd w:id="2"/>
    <w:p w14:paraId="37AE711E">
      <w:pPr>
        <w:adjustRightInd w:val="0"/>
        <w:snapToGrid w:val="0"/>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1</w:t>
      </w:r>
      <w:r>
        <w:rPr>
          <w:rFonts w:hint="eastAsia"/>
          <w:sz w:val="24"/>
        </w:rPr>
        <w:t>）</w:t>
      </w:r>
      <w:r>
        <w:rPr>
          <w:rFonts w:hint="eastAsia" w:ascii="Times New Roman" w:hAnsi="Times New Roman" w:cs="Times New Roman"/>
          <w:sz w:val="24"/>
          <w:szCs w:val="24"/>
        </w:rPr>
        <w:t>范围；</w:t>
      </w:r>
    </w:p>
    <w:p w14:paraId="7CA33F60">
      <w:pPr>
        <w:adjustRightInd w:val="0"/>
        <w:snapToGrid w:val="0"/>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2</w:t>
      </w:r>
      <w:r>
        <w:rPr>
          <w:rFonts w:hint="eastAsia"/>
          <w:sz w:val="24"/>
        </w:rPr>
        <w:t>）</w:t>
      </w:r>
      <w:r>
        <w:rPr>
          <w:rFonts w:hint="eastAsia" w:ascii="Times New Roman" w:hAnsi="Times New Roman" w:cs="Times New Roman"/>
          <w:sz w:val="24"/>
          <w:szCs w:val="24"/>
        </w:rPr>
        <w:t>规范性引用文件；</w:t>
      </w:r>
    </w:p>
    <w:p w14:paraId="78ACE643">
      <w:pPr>
        <w:adjustRightInd w:val="0"/>
        <w:snapToGrid w:val="0"/>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3</w:t>
      </w:r>
      <w:r>
        <w:rPr>
          <w:rFonts w:hint="eastAsia"/>
          <w:sz w:val="24"/>
        </w:rPr>
        <w:t>）</w:t>
      </w:r>
      <w:r>
        <w:rPr>
          <w:rFonts w:hint="eastAsia" w:ascii="Times New Roman" w:hAnsi="Times New Roman" w:cs="Times New Roman"/>
          <w:sz w:val="24"/>
          <w:szCs w:val="24"/>
        </w:rPr>
        <w:t>术语和定义；</w:t>
      </w:r>
    </w:p>
    <w:p w14:paraId="64DDF248">
      <w:pPr>
        <w:adjustRightInd w:val="0"/>
        <w:snapToGrid w:val="0"/>
        <w:spacing w:line="360" w:lineRule="auto"/>
        <w:ind w:firstLine="480" w:firstLineChars="200"/>
        <w:rPr>
          <w:rFonts w:hint="eastAsia" w:ascii="Times New Roman" w:hAnsi="Times New Roman" w:eastAsia="宋体" w:cs="Times New Roman"/>
          <w:sz w:val="24"/>
          <w:szCs w:val="24"/>
          <w:lang w:eastAsia="zh-CN"/>
        </w:rPr>
      </w:pPr>
      <w:bookmarkStart w:id="3" w:name="OLE_LINK43"/>
      <w:r>
        <w:rPr>
          <w:rFonts w:hint="eastAsia" w:ascii="Times New Roman" w:hAnsi="Times New Roman" w:cs="Times New Roman"/>
          <w:sz w:val="24"/>
          <w:szCs w:val="24"/>
        </w:rPr>
        <w:t>4</w:t>
      </w:r>
      <w:r>
        <w:rPr>
          <w:rFonts w:hint="eastAsia"/>
          <w:sz w:val="24"/>
        </w:rPr>
        <w:t>）</w:t>
      </w:r>
      <w:bookmarkEnd w:id="3"/>
      <w:r>
        <w:rPr>
          <w:rFonts w:hint="eastAsia" w:ascii="Times New Roman" w:hAnsi="Times New Roman" w:cs="Times New Roman"/>
          <w:sz w:val="24"/>
          <w:szCs w:val="24"/>
          <w:lang w:eastAsia="zh-CN"/>
        </w:rPr>
        <w:t>原理</w:t>
      </w:r>
    </w:p>
    <w:p w14:paraId="51E6C0D2">
      <w:pPr>
        <w:adjustRightInd w:val="0"/>
        <w:snapToGrid w:val="0"/>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5</w:t>
      </w:r>
      <w:r>
        <w:rPr>
          <w:rFonts w:hint="default" w:ascii="Times New Roman" w:hAnsi="Times New Roman" w:cs="Times New Roman"/>
          <w:sz w:val="24"/>
        </w:rPr>
        <w:t>）</w:t>
      </w:r>
      <w:r>
        <w:rPr>
          <w:rFonts w:hint="default" w:ascii="Times New Roman" w:hAnsi="Times New Roman" w:cs="Times New Roman"/>
          <w:sz w:val="24"/>
          <w:szCs w:val="24"/>
        </w:rPr>
        <w:t>仪器和试剂</w:t>
      </w:r>
    </w:p>
    <w:p w14:paraId="1BA66D96">
      <w:pPr>
        <w:adjustRightInd w:val="0"/>
        <w:snapToGrid w:val="0"/>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6</w:t>
      </w:r>
      <w:r>
        <w:rPr>
          <w:rFonts w:hint="default" w:ascii="Times New Roman" w:hAnsi="Times New Roman" w:cs="Times New Roman"/>
          <w:sz w:val="24"/>
        </w:rPr>
        <w:t>）</w:t>
      </w:r>
      <w:r>
        <w:rPr>
          <w:rFonts w:hint="default" w:ascii="Times New Roman" w:hAnsi="Times New Roman" w:cs="Times New Roman"/>
          <w:sz w:val="24"/>
          <w:szCs w:val="24"/>
        </w:rPr>
        <w:t>测试步骤</w:t>
      </w:r>
    </w:p>
    <w:p w14:paraId="6DF776DD">
      <w:pPr>
        <w:adjustRightInd w:val="0"/>
        <w:snapToGrid w:val="0"/>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7</w:t>
      </w:r>
      <w:r>
        <w:rPr>
          <w:rFonts w:hint="default" w:ascii="Times New Roman" w:hAnsi="Times New Roman" w:cs="Times New Roman"/>
          <w:sz w:val="24"/>
        </w:rPr>
        <w:t>）</w:t>
      </w:r>
      <w:r>
        <w:rPr>
          <w:rFonts w:hint="default" w:ascii="Times New Roman" w:hAnsi="Times New Roman" w:cs="Times New Roman"/>
          <w:sz w:val="24"/>
          <w:szCs w:val="24"/>
        </w:rPr>
        <w:t>数据分析及结果表达</w:t>
      </w:r>
    </w:p>
    <w:p w14:paraId="304C6067">
      <w:pPr>
        <w:adjustRightInd w:val="0"/>
        <w:snapToGrid w:val="0"/>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8</w:t>
      </w:r>
      <w:r>
        <w:rPr>
          <w:rFonts w:hint="default" w:ascii="Times New Roman" w:hAnsi="Times New Roman" w:cs="Times New Roman"/>
          <w:sz w:val="24"/>
        </w:rPr>
        <w:t>）</w:t>
      </w:r>
      <w:r>
        <w:rPr>
          <w:rFonts w:hint="default" w:ascii="Times New Roman" w:hAnsi="Times New Roman" w:cs="Times New Roman"/>
          <w:sz w:val="24"/>
          <w:szCs w:val="24"/>
        </w:rPr>
        <w:t>不确定度</w:t>
      </w:r>
    </w:p>
    <w:p w14:paraId="72572398">
      <w:pPr>
        <w:adjustRightInd w:val="0"/>
        <w:snapToGrid w:val="0"/>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9</w:t>
      </w:r>
      <w:r>
        <w:rPr>
          <w:rFonts w:hint="default" w:ascii="Times New Roman" w:hAnsi="Times New Roman" w:cs="Times New Roman"/>
          <w:sz w:val="24"/>
        </w:rPr>
        <w:t>）</w:t>
      </w:r>
      <w:r>
        <w:rPr>
          <w:rFonts w:hint="default" w:ascii="Times New Roman" w:hAnsi="Times New Roman" w:cs="Times New Roman"/>
          <w:sz w:val="24"/>
          <w:szCs w:val="24"/>
        </w:rPr>
        <w:t>测试报告</w:t>
      </w:r>
    </w:p>
    <w:p w14:paraId="663619EF">
      <w:pPr>
        <w:adjustRightInd w:val="0"/>
        <w:snapToGrid w:val="0"/>
        <w:spacing w:line="360" w:lineRule="auto"/>
        <w:ind w:firstLine="480" w:firstLineChars="200"/>
        <w:rPr>
          <w:rFonts w:hint="eastAsia" w:ascii="Times New Roman" w:hAnsi="Times New Roman" w:cs="Times New Roman"/>
          <w:sz w:val="24"/>
          <w:szCs w:val="24"/>
        </w:rPr>
      </w:pPr>
      <w:r>
        <w:rPr>
          <w:rFonts w:hint="default" w:ascii="Times New Roman" w:hAnsi="Times New Roman" w:cs="Times New Roman"/>
          <w:sz w:val="24"/>
          <w:lang w:val="en-US" w:eastAsia="zh-CN"/>
        </w:rPr>
        <w:t>10</w:t>
      </w:r>
      <w:r>
        <w:rPr>
          <w:rFonts w:hint="default" w:ascii="Times New Roman" w:hAnsi="Times New Roman" w:cs="Times New Roman"/>
          <w:sz w:val="24"/>
        </w:rPr>
        <w:t>）</w:t>
      </w:r>
      <w:r>
        <w:rPr>
          <w:rFonts w:hint="eastAsia" w:ascii="Times New Roman" w:hAnsi="Times New Roman" w:cs="Times New Roman"/>
          <w:sz w:val="24"/>
          <w:szCs w:val="24"/>
        </w:rPr>
        <w:t>附录A（资料性）  递送用纳米载体材料包封率测量</w:t>
      </w:r>
      <w:r>
        <w:rPr>
          <w:rFonts w:hint="eastAsia" w:ascii="Times New Roman" w:hAnsi="Times New Roman" w:cs="Times New Roman"/>
          <w:sz w:val="24"/>
          <w:szCs w:val="24"/>
          <w:lang w:val="en-US" w:eastAsia="zh-CN"/>
        </w:rPr>
        <w:t>示</w:t>
      </w:r>
      <w:r>
        <w:rPr>
          <w:rFonts w:hint="eastAsia" w:ascii="Times New Roman" w:hAnsi="Times New Roman" w:cs="Times New Roman"/>
          <w:sz w:val="24"/>
          <w:szCs w:val="24"/>
        </w:rPr>
        <w:t>例</w:t>
      </w:r>
    </w:p>
    <w:p w14:paraId="62BEFEEF">
      <w:pPr>
        <w:numPr>
          <w:ilvl w:val="0"/>
          <w:numId w:val="0"/>
        </w:numPr>
        <w:adjustRightInd w:val="0"/>
        <w:snapToGrid w:val="0"/>
        <w:spacing w:line="360" w:lineRule="auto"/>
        <w:rPr>
          <w:rFonts w:hint="eastAsia" w:ascii="Times New Roman" w:hAnsi="Times New Roman" w:eastAsia="宋体" w:cs="Times New Roman"/>
          <w:b/>
          <w:bCs/>
          <w:sz w:val="24"/>
          <w:szCs w:val="24"/>
          <w:lang w:eastAsia="zh-CN"/>
        </w:rPr>
      </w:pPr>
      <w:r>
        <w:rPr>
          <w:rFonts w:hint="eastAsia" w:ascii="Times New Roman" w:hAnsi="Times New Roman" w:cs="Times New Roman"/>
          <w:b/>
          <w:bCs/>
          <w:sz w:val="24"/>
          <w:szCs w:val="24"/>
          <w:lang w:val="en-US" w:eastAsia="zh-CN"/>
        </w:rPr>
        <w:t>3、</w:t>
      </w:r>
      <w:r>
        <w:rPr>
          <w:rFonts w:hint="eastAsia" w:ascii="Times New Roman" w:hAnsi="Times New Roman" w:cs="Times New Roman"/>
          <w:b/>
          <w:bCs/>
          <w:sz w:val="24"/>
          <w:szCs w:val="24"/>
          <w:lang w:eastAsia="zh-CN"/>
        </w:rPr>
        <w:t>确定依据</w:t>
      </w:r>
    </w:p>
    <w:p w14:paraId="7611C275">
      <w:pPr>
        <w:adjustRightInd w:val="0"/>
        <w:snapToGrid w:val="0"/>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lang w:eastAsia="zh-CN"/>
        </w:rPr>
        <w:t>）</w:t>
      </w:r>
      <w:r>
        <w:rPr>
          <w:rFonts w:hint="eastAsia" w:ascii="Times New Roman" w:hAnsi="Times New Roman" w:cs="Times New Roman"/>
          <w:sz w:val="24"/>
          <w:szCs w:val="24"/>
        </w:rPr>
        <w:t>标准对象确定依据</w:t>
      </w:r>
    </w:p>
    <w:p w14:paraId="48F37DAC">
      <w:pPr>
        <w:adjustRightInd w:val="0"/>
        <w:snapToGrid w:val="0"/>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纳米医学必将带来更好的医疗保健，我国在递送用纳米载体材料领域正处于从量的增加到质的转</w:t>
      </w:r>
      <w:r>
        <w:rPr>
          <w:rFonts w:hint="eastAsia" w:ascii="Times New Roman" w:hAnsi="Times New Roman" w:cs="Times New Roman"/>
          <w:sz w:val="24"/>
          <w:szCs w:val="24"/>
          <w:lang w:eastAsia="zh-CN"/>
        </w:rPr>
        <w:t>变的</w:t>
      </w:r>
      <w:r>
        <w:rPr>
          <w:rFonts w:hint="eastAsia" w:ascii="Times New Roman" w:hAnsi="Times New Roman" w:cs="Times New Roman"/>
          <w:sz w:val="24"/>
          <w:szCs w:val="24"/>
        </w:rPr>
        <w:t>关键阶段，已经有50多个以纳米材料作为递送载体的相关医药产品上市，涉及到的递送用纳米载体材料主要包括多种脂质体（活性成分包括阿</w:t>
      </w:r>
      <w:r>
        <w:rPr>
          <w:rFonts w:hint="eastAsia" w:ascii="Times New Roman" w:hAnsi="Times New Roman" w:cs="Times New Roman"/>
          <w:sz w:val="24"/>
          <w:szCs w:val="24"/>
          <w:lang w:val="en-US" w:eastAsia="zh-CN"/>
        </w:rPr>
        <w:t>糖胞</w:t>
      </w:r>
      <w:r>
        <w:rPr>
          <w:rFonts w:hint="eastAsia" w:ascii="Times New Roman" w:hAnsi="Times New Roman" w:cs="Times New Roman"/>
          <w:sz w:val="24"/>
          <w:szCs w:val="24"/>
        </w:rPr>
        <w:t>苷、阿霉素、长春新碱、伊立替康、两性霉素B等）、PEG化胶束（活性成分包括紫杉醇、多西他赛、多柔比星、伊立替康等）、氧化铁纳米颗粒、共轭高分子蛋白以及白蛋白结合型纳米分散分子等。美国研制的COVID-19新型冠状肺炎mRNA疫苗，也是一种脂质体包裹的核酸疫苗，属于以纳米材料做递送载体的新型疫苗。包封率是评价递送用纳米载体材料质量和工艺优劣的重要指标。针对递送用纳米载体材料包封率测量开发特性方法并推广应用，对推进纳米载体材料的应用有重要的意义。</w:t>
      </w:r>
    </w:p>
    <w:p w14:paraId="6074ADC2">
      <w:pPr>
        <w:adjustRightInd w:val="0"/>
        <w:snapToGrid w:val="0"/>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2</w:t>
      </w:r>
      <w:r>
        <w:rPr>
          <w:rFonts w:hint="eastAsia" w:ascii="Times New Roman" w:hAnsi="Times New Roman" w:cs="Times New Roman"/>
          <w:sz w:val="24"/>
          <w:szCs w:val="24"/>
          <w:lang w:eastAsia="zh-CN"/>
        </w:rPr>
        <w:t>）</w:t>
      </w:r>
      <w:r>
        <w:rPr>
          <w:rFonts w:hint="eastAsia" w:ascii="Times New Roman" w:hAnsi="Times New Roman" w:cs="Times New Roman"/>
          <w:sz w:val="24"/>
          <w:szCs w:val="24"/>
        </w:rPr>
        <w:t>测试方法确定依据</w:t>
      </w:r>
    </w:p>
    <w:p w14:paraId="273F0C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sz w:val="24"/>
          <w:szCs w:val="24"/>
        </w:rPr>
      </w:pPr>
      <w:r>
        <w:rPr>
          <w:rFonts w:hint="eastAsia" w:ascii="Times New Roman" w:hAnsi="Times New Roman" w:cs="Times New Roman"/>
          <w:sz w:val="24"/>
          <w:szCs w:val="24"/>
        </w:rPr>
        <w:t>包封率是指纳米载体材料包封的有效成分量与有效成分总量的比值。包封率测定的关键是分离游离的有效成分，超滤法是一种有效的分离游离分子的方法，但是目前仍缺乏利用超滤法表征递送用纳米载体材料的方法标准。</w:t>
      </w:r>
    </w:p>
    <w:p w14:paraId="0D94528E">
      <w:pPr>
        <w:numPr>
          <w:ilvl w:val="0"/>
          <w:numId w:val="10"/>
        </w:numPr>
        <w:spacing w:before="156" w:beforeLines="50" w:after="156" w:afterLines="50" w:line="360" w:lineRule="auto"/>
        <w:ind w:left="0" w:leftChars="0" w:firstLine="0" w:firstLineChars="0"/>
        <w:rPr>
          <w:rFonts w:hint="eastAsia" w:ascii="黑体" w:hAnsi="宋体" w:eastAsia="黑体"/>
          <w:b/>
          <w:sz w:val="24"/>
        </w:rPr>
      </w:pPr>
      <w:r>
        <w:rPr>
          <w:rFonts w:hint="eastAsia" w:ascii="黑体" w:hAnsi="宋体" w:eastAsia="黑体"/>
          <w:b/>
          <w:sz w:val="24"/>
        </w:rPr>
        <w:t>试验验证的分析、综述报告，技术经济论证，预期的经济效益、社会效益和生态效益</w:t>
      </w:r>
      <w:bookmarkStart w:id="4" w:name="OLE_LINK6"/>
    </w:p>
    <w:p w14:paraId="1B8B25E8">
      <w:pPr>
        <w:pStyle w:val="50"/>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sz w:val="24"/>
          <w:szCs w:val="24"/>
        </w:rPr>
      </w:pPr>
      <w:bookmarkStart w:id="5" w:name="_Toc10929"/>
      <w:bookmarkStart w:id="6" w:name="_Toc4595"/>
      <w:bookmarkStart w:id="7" w:name="_Toc224738375"/>
      <w:r>
        <w:rPr>
          <w:rFonts w:hint="default" w:ascii="Times New Roman" w:hAnsi="Times New Roman" w:cs="Times New Roman"/>
          <w:sz w:val="24"/>
          <w:szCs w:val="24"/>
        </w:rPr>
        <w:t>1. 验证目的</w:t>
      </w:r>
    </w:p>
    <w:p w14:paraId="5F7ECC5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rPr>
        <w:t>本报告旨在验证《递送用纳米载体材料包封率表征 超滤法》中所规定的测定方法的合理性、可行性和可靠性。</w:t>
      </w:r>
    </w:p>
    <w:p w14:paraId="11D460DA">
      <w:pPr>
        <w:pStyle w:val="50"/>
        <w:keepNext w:val="0"/>
        <w:keepLines w:val="0"/>
        <w:pageBreakBefore w:val="0"/>
        <w:widowControl w:val="0"/>
        <w:kinsoku/>
        <w:wordWrap/>
        <w:overflowPunct/>
        <w:topLinePunct w:val="0"/>
        <w:autoSpaceDE/>
        <w:autoSpaceDN/>
        <w:bidi w:val="0"/>
        <w:adjustRightInd/>
        <w:snapToGrid/>
        <w:spacing w:line="360" w:lineRule="auto"/>
        <w:textAlignment w:val="auto"/>
        <w:outlineLvl w:val="0"/>
        <w:rPr>
          <w:sz w:val="24"/>
          <w:szCs w:val="24"/>
        </w:rPr>
      </w:pPr>
      <w:r>
        <w:rPr>
          <w:rFonts w:hint="default" w:ascii="Times New Roman" w:hAnsi="Times New Roman" w:cs="Times New Roman"/>
          <w:sz w:val="24"/>
          <w:szCs w:val="24"/>
        </w:rPr>
        <w:t xml:space="preserve">2. </w:t>
      </w:r>
      <w:r>
        <w:rPr>
          <w:rFonts w:hint="eastAsia"/>
          <w:sz w:val="24"/>
          <w:szCs w:val="24"/>
        </w:rPr>
        <w:t>验证内容</w:t>
      </w:r>
    </w:p>
    <w:p w14:paraId="090734D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 w:val="24"/>
          <w:szCs w:val="24"/>
        </w:rPr>
      </w:pPr>
      <w:r>
        <w:rPr>
          <w:rFonts w:hint="eastAsia"/>
          <w:sz w:val="24"/>
          <w:szCs w:val="24"/>
        </w:rPr>
        <w:t>验证内容为</w:t>
      </w:r>
      <w:r>
        <w:rPr>
          <w:sz w:val="24"/>
          <w:szCs w:val="24"/>
        </w:rPr>
        <w:t>《</w:t>
      </w:r>
      <w:r>
        <w:rPr>
          <w:rFonts w:hint="eastAsia"/>
          <w:sz w:val="24"/>
          <w:szCs w:val="24"/>
        </w:rPr>
        <w:t>递送用纳米载体材料包封率表征 超滤法</w:t>
      </w:r>
      <w:r>
        <w:rPr>
          <w:rFonts w:hint="default" w:ascii="Times New Roman" w:hAnsi="Times New Roman" w:cs="Times New Roman"/>
          <w:sz w:val="24"/>
          <w:szCs w:val="24"/>
        </w:rPr>
        <w:t>》第8章包含的方法步骤，包括8.1样品制备、8.2超滤分离、8.3有效成分含量测定、8.4包封率测定及8.5分析结果表述。按照不同载体类型（纳米胶束、脂质体、核酸、白蛋白类）分别设计验证试验，考察方法的合理性、可靠性、可行性。</w:t>
      </w:r>
    </w:p>
    <w:p w14:paraId="2C686925">
      <w:pPr>
        <w:spacing w:line="360" w:lineRule="auto"/>
        <w:jc w:val="center"/>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表</w:t>
      </w:r>
      <w:r>
        <w:rPr>
          <w:rFonts w:hint="default" w:ascii="Times New Roman" w:hAnsi="Times New Roman" w:cs="Times New Roman"/>
          <w:b/>
          <w:bCs/>
          <w:sz w:val="21"/>
          <w:szCs w:val="21"/>
          <w:lang w:val="en-US" w:eastAsia="zh-CN"/>
        </w:rPr>
        <w:t>2-1</w:t>
      </w:r>
      <w:r>
        <w:rPr>
          <w:rFonts w:hint="default" w:ascii="Times New Roman" w:hAnsi="Times New Roman" w:cs="Times New Roman"/>
          <w:b/>
          <w:bCs/>
          <w:sz w:val="21"/>
          <w:szCs w:val="21"/>
        </w:rPr>
        <w:t xml:space="preserve"> 样品类型（共4种载体，一次发放）</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672"/>
        <w:gridCol w:w="1372"/>
        <w:gridCol w:w="1490"/>
        <w:gridCol w:w="1456"/>
        <w:gridCol w:w="1614"/>
        <w:gridCol w:w="1890"/>
      </w:tblGrid>
      <w:tr w14:paraId="75A8F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jc w:val="center"/>
        </w:trPr>
        <w:tc>
          <w:tcPr>
            <w:tcW w:w="672" w:type="dxa"/>
            <w:tcBorders>
              <w:top w:val="single" w:color="000000" w:sz="4" w:space="0"/>
              <w:left w:val="single" w:color="000000" w:sz="4" w:space="0"/>
              <w:bottom w:val="single" w:color="000000" w:sz="4" w:space="0"/>
              <w:right w:val="single" w:color="000000" w:sz="4" w:space="0"/>
              <w:tl2br w:val="nil"/>
            </w:tcBorders>
            <w:noWrap w:val="0"/>
            <w:tcMar>
              <w:top w:w="120" w:type="dxa"/>
              <w:left w:w="0" w:type="dxa"/>
              <w:bottom w:w="120" w:type="dxa"/>
              <w:right w:w="192" w:type="dxa"/>
            </w:tcMar>
            <w:vAlign w:val="center"/>
          </w:tcPr>
          <w:p w14:paraId="0C4220C8">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t>编号</w:t>
            </w:r>
          </w:p>
        </w:tc>
        <w:tc>
          <w:tcPr>
            <w:tcW w:w="1372"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50C82DE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000000"/>
                <w:sz w:val="21"/>
                <w:szCs w:val="21"/>
                <w:vertAlign w:val="baseline"/>
              </w:rPr>
            </w:pPr>
            <w:r>
              <w:rPr>
                <w:rFonts w:hint="default" w:ascii="Times New Roman" w:hAnsi="Times New Roman" w:cs="Times New Roman"/>
                <w:b/>
                <w:bCs/>
                <w:color w:val="000000"/>
                <w:sz w:val="21"/>
                <w:szCs w:val="21"/>
                <w:vertAlign w:val="baseline"/>
                <w:lang w:val="en-US" w:eastAsia="zh-CN"/>
              </w:rPr>
              <w:t>载体类型</w:t>
            </w:r>
          </w:p>
        </w:tc>
        <w:tc>
          <w:tcPr>
            <w:tcW w:w="14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72E5E20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000000"/>
                <w:sz w:val="21"/>
                <w:szCs w:val="21"/>
                <w:vertAlign w:val="baseline"/>
              </w:rPr>
            </w:pPr>
            <w:r>
              <w:rPr>
                <w:rFonts w:hint="default" w:ascii="Times New Roman" w:hAnsi="Times New Roman" w:cs="Times New Roman"/>
                <w:b/>
                <w:bCs/>
                <w:color w:val="000000"/>
                <w:sz w:val="21"/>
                <w:szCs w:val="21"/>
                <w:vertAlign w:val="baseline"/>
                <w:lang w:val="en-US" w:eastAsia="zh-CN"/>
              </w:rPr>
              <w:t>有效成分</w:t>
            </w:r>
          </w:p>
        </w:tc>
        <w:tc>
          <w:tcPr>
            <w:tcW w:w="1456"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313B4B9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000000"/>
                <w:sz w:val="21"/>
                <w:szCs w:val="21"/>
                <w:vertAlign w:val="baseline"/>
              </w:rPr>
            </w:pPr>
            <w:r>
              <w:rPr>
                <w:rFonts w:hint="default" w:ascii="Times New Roman" w:hAnsi="Times New Roman" w:cs="Times New Roman"/>
                <w:b/>
                <w:bCs/>
                <w:color w:val="000000"/>
                <w:sz w:val="21"/>
                <w:szCs w:val="21"/>
                <w:vertAlign w:val="baseline"/>
                <w:lang w:val="en-US" w:eastAsia="zh-CN"/>
              </w:rPr>
              <w:t>标示浓度</w:t>
            </w:r>
          </w:p>
        </w:tc>
        <w:tc>
          <w:tcPr>
            <w:tcW w:w="1614"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28FE6AD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000000"/>
                <w:sz w:val="21"/>
                <w:szCs w:val="21"/>
                <w:vertAlign w:val="baseline"/>
              </w:rPr>
            </w:pPr>
            <w:r>
              <w:rPr>
                <w:rFonts w:hint="default" w:ascii="Times New Roman" w:hAnsi="Times New Roman" w:cs="Times New Roman"/>
                <w:b/>
                <w:bCs/>
                <w:color w:val="000000"/>
                <w:sz w:val="21"/>
                <w:szCs w:val="21"/>
                <w:vertAlign w:val="baseline"/>
                <w:lang w:val="en-US" w:eastAsia="zh-CN"/>
              </w:rPr>
              <w:t>提供量</w:t>
            </w:r>
          </w:p>
        </w:tc>
        <w:tc>
          <w:tcPr>
            <w:tcW w:w="18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54B339E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000000"/>
                <w:sz w:val="21"/>
                <w:szCs w:val="21"/>
                <w:vertAlign w:val="baseline"/>
                <w:lang w:val="en-US" w:eastAsia="zh-CN"/>
              </w:rPr>
            </w:pPr>
            <w:r>
              <w:rPr>
                <w:rFonts w:hint="default" w:cs="Times New Roman"/>
                <w:b/>
                <w:bCs/>
                <w:color w:val="000000"/>
                <w:sz w:val="21"/>
                <w:szCs w:val="21"/>
              </w:rPr>
              <w:t>是否冷冻/冷藏</w:t>
            </w:r>
          </w:p>
        </w:tc>
      </w:tr>
      <w:tr w14:paraId="1F0D6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672" w:type="dxa"/>
            <w:tcBorders>
              <w:top w:val="single" w:color="000000" w:sz="4" w:space="0"/>
              <w:left w:val="single" w:color="000000" w:sz="4" w:space="0"/>
              <w:bottom w:val="single" w:color="000000" w:sz="4" w:space="0"/>
              <w:right w:val="single" w:color="000000" w:sz="4" w:space="0"/>
            </w:tcBorders>
            <w:noWrap w:val="0"/>
            <w:tcMar>
              <w:top w:w="120" w:type="dxa"/>
              <w:left w:w="0" w:type="dxa"/>
              <w:bottom w:w="120" w:type="dxa"/>
              <w:right w:w="192" w:type="dxa"/>
            </w:tcMar>
            <w:vAlign w:val="center"/>
          </w:tcPr>
          <w:p w14:paraId="0066C00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r>
              <w:rPr>
                <w:rFonts w:hint="default" w:ascii="Times New Roman" w:hAnsi="Times New Roman" w:cs="Times New Roman"/>
                <w:b w:val="0"/>
                <w:color w:val="000000"/>
                <w:sz w:val="21"/>
                <w:szCs w:val="21"/>
                <w:vertAlign w:val="baseline"/>
                <w:lang w:val="en-US" w:eastAsia="zh-CN"/>
              </w:rPr>
              <w:t>S01</w:t>
            </w:r>
          </w:p>
        </w:tc>
        <w:tc>
          <w:tcPr>
            <w:tcW w:w="1372"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1DC585E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纳米胶束</w:t>
            </w:r>
          </w:p>
        </w:tc>
        <w:tc>
          <w:tcPr>
            <w:tcW w:w="14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227C8B5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val="0"/>
                <w:color w:val="000000"/>
                <w:sz w:val="21"/>
                <w:szCs w:val="21"/>
                <w:vertAlign w:val="baseline"/>
                <w:lang w:val="en-US" w:eastAsia="zh-CN"/>
              </w:rPr>
            </w:pPr>
            <w:r>
              <w:rPr>
                <w:rFonts w:hint="default" w:ascii="Times New Roman" w:hAnsi="Times New Roman" w:cs="Times New Roman"/>
                <w:b w:val="0"/>
                <w:color w:val="000000"/>
                <w:sz w:val="21"/>
                <w:szCs w:val="21"/>
                <w:vertAlign w:val="baseline"/>
                <w:lang w:val="en-US" w:eastAsia="zh-CN"/>
              </w:rPr>
              <w:t>环孢素</w:t>
            </w:r>
          </w:p>
        </w:tc>
        <w:tc>
          <w:tcPr>
            <w:tcW w:w="1456"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14B9E74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1.0 mg/mL</w:t>
            </w:r>
          </w:p>
        </w:tc>
        <w:tc>
          <w:tcPr>
            <w:tcW w:w="1614"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11EC319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0.5 mL/管 × 3管</w:t>
            </w:r>
          </w:p>
        </w:tc>
        <w:tc>
          <w:tcPr>
            <w:tcW w:w="18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3C6F9BF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r>
              <w:rPr>
                <w:rFonts w:hint="default" w:ascii="Times New Roman" w:hAnsi="Times New Roman" w:cs="Times New Roman"/>
                <w:sz w:val="21"/>
                <w:szCs w:val="21"/>
              </w:rPr>
              <w:t>冷藏2~8℃</w:t>
            </w:r>
          </w:p>
        </w:tc>
      </w:tr>
      <w:tr w14:paraId="7A60D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672" w:type="dxa"/>
            <w:tcBorders>
              <w:top w:val="single" w:color="000000" w:sz="4" w:space="0"/>
              <w:left w:val="single" w:color="000000" w:sz="4" w:space="0"/>
              <w:bottom w:val="single" w:color="000000" w:sz="4" w:space="0"/>
              <w:right w:val="single" w:color="000000" w:sz="4" w:space="0"/>
            </w:tcBorders>
            <w:noWrap w:val="0"/>
            <w:tcMar>
              <w:top w:w="120" w:type="dxa"/>
              <w:left w:w="0" w:type="dxa"/>
              <w:bottom w:w="120" w:type="dxa"/>
              <w:right w:w="192" w:type="dxa"/>
            </w:tcMar>
            <w:vAlign w:val="center"/>
          </w:tcPr>
          <w:p w14:paraId="6D36BB1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p>
        </w:tc>
        <w:tc>
          <w:tcPr>
            <w:tcW w:w="1372"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4AF25FC5">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val="0"/>
                <w:color w:val="000000"/>
                <w:kern w:val="2"/>
                <w:sz w:val="21"/>
                <w:szCs w:val="21"/>
                <w:vertAlign w:val="baseline"/>
                <w:lang w:val="en-US" w:eastAsia="zh-CN" w:bidi="ar-SA"/>
              </w:rPr>
            </w:pPr>
            <w:r>
              <w:rPr>
                <w:rFonts w:hint="default" w:ascii="Times New Roman" w:hAnsi="Times New Roman" w:cs="Times New Roman"/>
                <w:b w:val="0"/>
                <w:color w:val="000000"/>
                <w:sz w:val="21"/>
                <w:szCs w:val="21"/>
                <w:vertAlign w:val="baseline"/>
                <w:lang w:val="en-US" w:eastAsia="zh-CN"/>
              </w:rPr>
              <w:t>环孢素A</w:t>
            </w:r>
          </w:p>
        </w:tc>
        <w:tc>
          <w:tcPr>
            <w:tcW w:w="14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2AC570B7">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val="0"/>
                <w:color w:val="000000"/>
                <w:kern w:val="2"/>
                <w:sz w:val="21"/>
                <w:szCs w:val="21"/>
                <w:vertAlign w:val="baseline"/>
                <w:lang w:val="en-US" w:eastAsia="zh-CN" w:bidi="ar-SA"/>
              </w:rPr>
            </w:pPr>
            <w:r>
              <w:rPr>
                <w:rFonts w:hint="default" w:ascii="Times New Roman" w:hAnsi="Times New Roman" w:cs="Times New Roman"/>
                <w:b w:val="0"/>
                <w:color w:val="000000"/>
                <w:sz w:val="21"/>
                <w:szCs w:val="21"/>
                <w:vertAlign w:val="baseline"/>
                <w:lang w:val="en-US" w:eastAsia="zh-CN"/>
              </w:rPr>
              <w:t>源叶生物 S17068-5g</w:t>
            </w:r>
          </w:p>
        </w:tc>
        <w:tc>
          <w:tcPr>
            <w:tcW w:w="1456"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19CC7787">
            <w:pPr>
              <w:keepNext w:val="0"/>
              <w:keepLines w:val="0"/>
              <w:widowControl/>
              <w:suppressLineNumbers w:val="0"/>
              <w:spacing w:before="0" w:beforeAutospacing="0" w:after="0" w:afterAutospacing="0" w:line="240" w:lineRule="auto"/>
              <w:ind w:left="0" w:right="0"/>
              <w:jc w:val="center"/>
              <w:textAlignment w:val="center"/>
              <w:rPr>
                <w:rFonts w:hint="default" w:ascii="Times New Roman" w:hAnsi="Times New Roman" w:eastAsia="宋体" w:cs="Times New Roman"/>
                <w:b w:val="0"/>
                <w:color w:val="000000"/>
                <w:kern w:val="2"/>
                <w:sz w:val="21"/>
                <w:szCs w:val="21"/>
                <w:vertAlign w:val="baseli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98%</w:t>
            </w:r>
          </w:p>
        </w:tc>
        <w:tc>
          <w:tcPr>
            <w:tcW w:w="1614"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69B888BF">
            <w:pPr>
              <w:keepNext w:val="0"/>
              <w:keepLines w:val="0"/>
              <w:widowControl/>
              <w:suppressLineNumbers w:val="0"/>
              <w:spacing w:before="0" w:beforeAutospacing="0" w:after="0" w:afterAutospacing="0" w:line="240" w:lineRule="auto"/>
              <w:ind w:left="0" w:right="0"/>
              <w:jc w:val="center"/>
              <w:textAlignment w:val="center"/>
              <w:rPr>
                <w:rFonts w:hint="default" w:ascii="Times New Roman" w:hAnsi="Times New Roman" w:eastAsia="宋体" w:cs="Times New Roman"/>
                <w:b w:val="0"/>
                <w:color w:val="000000"/>
                <w:kern w:val="2"/>
                <w:sz w:val="21"/>
                <w:szCs w:val="21"/>
                <w:vertAlign w:val="baseli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 g</w:t>
            </w:r>
          </w:p>
        </w:tc>
        <w:tc>
          <w:tcPr>
            <w:tcW w:w="18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17E587A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冷藏2~8℃</w:t>
            </w:r>
          </w:p>
        </w:tc>
      </w:tr>
      <w:tr w14:paraId="00697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672" w:type="dxa"/>
            <w:tcBorders>
              <w:top w:val="single" w:color="000000" w:sz="4" w:space="0"/>
              <w:left w:val="single" w:color="000000" w:sz="4" w:space="0"/>
              <w:bottom w:val="single" w:color="000000" w:sz="4" w:space="0"/>
              <w:right w:val="single" w:color="000000" w:sz="4" w:space="0"/>
            </w:tcBorders>
            <w:noWrap w:val="0"/>
            <w:tcMar>
              <w:top w:w="120" w:type="dxa"/>
              <w:left w:w="0" w:type="dxa"/>
              <w:bottom w:w="120" w:type="dxa"/>
              <w:right w:w="192" w:type="dxa"/>
            </w:tcMar>
            <w:vAlign w:val="center"/>
          </w:tcPr>
          <w:p w14:paraId="3C2D3D8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r>
              <w:rPr>
                <w:rFonts w:hint="default" w:ascii="Times New Roman" w:hAnsi="Times New Roman" w:cs="Times New Roman"/>
                <w:b w:val="0"/>
                <w:color w:val="000000"/>
                <w:sz w:val="21"/>
                <w:szCs w:val="21"/>
                <w:vertAlign w:val="baseline"/>
                <w:lang w:val="en-US" w:eastAsia="zh-CN"/>
              </w:rPr>
              <w:t>S02</w:t>
            </w:r>
          </w:p>
        </w:tc>
        <w:tc>
          <w:tcPr>
            <w:tcW w:w="1372"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029964B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脂质体</w:t>
            </w:r>
          </w:p>
        </w:tc>
        <w:tc>
          <w:tcPr>
            <w:tcW w:w="14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27B24DD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盐酸阿霉素（DOX）</w:t>
            </w:r>
          </w:p>
        </w:tc>
        <w:tc>
          <w:tcPr>
            <w:tcW w:w="1456"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4E89E3F8">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2.0 mg/mL</w:t>
            </w:r>
          </w:p>
        </w:tc>
        <w:tc>
          <w:tcPr>
            <w:tcW w:w="1614"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6892BF3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2.5 ml/瓶</w:t>
            </w:r>
          </w:p>
        </w:tc>
        <w:tc>
          <w:tcPr>
            <w:tcW w:w="18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20F3E5F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r>
              <w:rPr>
                <w:rFonts w:hint="default" w:ascii="Times New Roman" w:hAnsi="Times New Roman" w:cs="Times New Roman"/>
                <w:sz w:val="21"/>
                <w:szCs w:val="21"/>
              </w:rPr>
              <w:t>冷藏2~8℃</w:t>
            </w:r>
          </w:p>
        </w:tc>
      </w:tr>
      <w:tr w14:paraId="6E8C9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672" w:type="dxa"/>
            <w:tcBorders>
              <w:top w:val="single" w:color="000000" w:sz="4" w:space="0"/>
              <w:left w:val="single" w:color="000000" w:sz="4" w:space="0"/>
              <w:bottom w:val="single" w:color="000000" w:sz="4" w:space="0"/>
              <w:right w:val="single" w:color="000000" w:sz="4" w:space="0"/>
            </w:tcBorders>
            <w:noWrap w:val="0"/>
            <w:tcMar>
              <w:top w:w="120" w:type="dxa"/>
              <w:left w:w="0" w:type="dxa"/>
              <w:bottom w:w="120" w:type="dxa"/>
              <w:right w:w="192" w:type="dxa"/>
            </w:tcMar>
            <w:vAlign w:val="center"/>
          </w:tcPr>
          <w:p w14:paraId="624C678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r>
              <w:rPr>
                <w:rFonts w:hint="default" w:ascii="Times New Roman" w:hAnsi="Times New Roman" w:cs="Times New Roman"/>
                <w:b w:val="0"/>
                <w:color w:val="000000"/>
                <w:sz w:val="21"/>
                <w:szCs w:val="21"/>
                <w:vertAlign w:val="baseline"/>
                <w:lang w:val="en-US" w:eastAsia="zh-CN"/>
              </w:rPr>
              <w:t>S03</w:t>
            </w:r>
          </w:p>
        </w:tc>
        <w:tc>
          <w:tcPr>
            <w:tcW w:w="1372"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131697F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紫杉醇白蛋白</w:t>
            </w:r>
          </w:p>
        </w:tc>
        <w:tc>
          <w:tcPr>
            <w:tcW w:w="14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2E52274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紫杉醇</w:t>
            </w:r>
          </w:p>
        </w:tc>
        <w:tc>
          <w:tcPr>
            <w:tcW w:w="1456"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632987F3">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val="0"/>
                <w:color w:val="000000"/>
                <w:sz w:val="21"/>
                <w:szCs w:val="21"/>
                <w:vertAlign w:val="baseline"/>
                <w:lang w:val="en-US" w:eastAsia="zh-CN"/>
              </w:rPr>
            </w:pPr>
            <w:r>
              <w:rPr>
                <w:rFonts w:hint="default" w:ascii="Times New Roman" w:hAnsi="Times New Roman" w:cs="Times New Roman"/>
                <w:b w:val="0"/>
                <w:color w:val="000000"/>
                <w:sz w:val="21"/>
                <w:szCs w:val="21"/>
                <w:vertAlign w:val="baseline"/>
                <w:lang w:val="en-US" w:eastAsia="zh-CN"/>
              </w:rPr>
              <w:t>—</w:t>
            </w:r>
          </w:p>
        </w:tc>
        <w:tc>
          <w:tcPr>
            <w:tcW w:w="1614"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48F487AB">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val="0"/>
                <w:color w:val="000000"/>
                <w:sz w:val="21"/>
                <w:szCs w:val="21"/>
                <w:vertAlign w:val="baseline"/>
                <w:lang w:val="en-US" w:eastAsia="zh-CN"/>
              </w:rPr>
            </w:pPr>
            <w:r>
              <w:rPr>
                <w:rFonts w:hint="default" w:ascii="Times New Roman" w:hAnsi="Times New Roman" w:cs="Times New Roman"/>
                <w:b w:val="0"/>
                <w:color w:val="000000"/>
                <w:sz w:val="21"/>
                <w:szCs w:val="21"/>
                <w:vertAlign w:val="baseline"/>
                <w:lang w:val="en-US" w:eastAsia="zh-CN"/>
              </w:rPr>
              <w:t>100 mg</w:t>
            </w:r>
          </w:p>
        </w:tc>
        <w:tc>
          <w:tcPr>
            <w:tcW w:w="18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5658D21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r>
              <w:rPr>
                <w:rFonts w:hint="default" w:ascii="Times New Roman" w:hAnsi="Times New Roman" w:cs="Times New Roman"/>
                <w:b w:val="0"/>
                <w:color w:val="000000"/>
                <w:sz w:val="21"/>
                <w:szCs w:val="21"/>
                <w:vertAlign w:val="baseline"/>
                <w:lang w:val="en-US" w:eastAsia="zh-CN"/>
              </w:rPr>
              <w:t>室温</w:t>
            </w:r>
          </w:p>
        </w:tc>
      </w:tr>
      <w:tr w14:paraId="2529A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672" w:type="dxa"/>
            <w:tcBorders>
              <w:top w:val="single" w:color="000000" w:sz="4" w:space="0"/>
              <w:left w:val="single" w:color="000000" w:sz="4" w:space="0"/>
              <w:bottom w:val="single" w:color="000000" w:sz="4" w:space="0"/>
              <w:right w:val="single" w:color="000000" w:sz="4" w:space="0"/>
            </w:tcBorders>
            <w:noWrap w:val="0"/>
            <w:tcMar>
              <w:top w:w="120" w:type="dxa"/>
              <w:left w:w="0" w:type="dxa"/>
              <w:bottom w:w="120" w:type="dxa"/>
              <w:right w:w="192" w:type="dxa"/>
            </w:tcMar>
            <w:vAlign w:val="center"/>
          </w:tcPr>
          <w:p w14:paraId="6F02F20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r>
              <w:rPr>
                <w:rFonts w:hint="default" w:ascii="Times New Roman" w:hAnsi="Times New Roman" w:cs="Times New Roman"/>
                <w:b w:val="0"/>
                <w:color w:val="000000"/>
                <w:sz w:val="21"/>
                <w:szCs w:val="21"/>
                <w:vertAlign w:val="baseline"/>
                <w:lang w:val="en-US" w:eastAsia="zh-CN"/>
              </w:rPr>
              <w:t>S04</w:t>
            </w:r>
          </w:p>
        </w:tc>
        <w:tc>
          <w:tcPr>
            <w:tcW w:w="1372"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159B415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核酸载体</w:t>
            </w:r>
          </w:p>
        </w:tc>
        <w:tc>
          <w:tcPr>
            <w:tcW w:w="14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2CD5C36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盐酸阿霉素（DOX）</w:t>
            </w:r>
          </w:p>
        </w:tc>
        <w:tc>
          <w:tcPr>
            <w:tcW w:w="1456"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192" w:type="dxa"/>
            </w:tcMar>
            <w:vAlign w:val="center"/>
          </w:tcPr>
          <w:p w14:paraId="7A268ED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反应混合液（总体积2.4 mL）</w:t>
            </w:r>
          </w:p>
        </w:tc>
        <w:tc>
          <w:tcPr>
            <w:tcW w:w="1614"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3349145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rPr>
            </w:pPr>
            <w:r>
              <w:rPr>
                <w:rFonts w:hint="default" w:ascii="Times New Roman" w:hAnsi="Times New Roman" w:cs="Times New Roman"/>
                <w:b w:val="0"/>
                <w:color w:val="000000"/>
                <w:sz w:val="21"/>
                <w:szCs w:val="21"/>
                <w:vertAlign w:val="baseline"/>
                <w:lang w:val="en-US" w:eastAsia="zh-CN"/>
              </w:rPr>
              <w:t>1.0 mL/管</w:t>
            </w:r>
          </w:p>
        </w:tc>
        <w:tc>
          <w:tcPr>
            <w:tcW w:w="1890" w:type="dxa"/>
            <w:tcBorders>
              <w:top w:val="single" w:color="000000" w:sz="4" w:space="0"/>
              <w:left w:val="single" w:color="000000" w:sz="4" w:space="0"/>
              <w:bottom w:val="single" w:color="000000" w:sz="4" w:space="0"/>
              <w:right w:val="single" w:color="000000" w:sz="4" w:space="0"/>
            </w:tcBorders>
            <w:noWrap w:val="0"/>
            <w:tcMar>
              <w:top w:w="120" w:type="dxa"/>
              <w:left w:w="192" w:type="dxa"/>
              <w:bottom w:w="120" w:type="dxa"/>
              <w:right w:w="0" w:type="dxa"/>
            </w:tcMar>
            <w:vAlign w:val="center"/>
          </w:tcPr>
          <w:p w14:paraId="69E63D6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val="0"/>
                <w:color w:val="000000"/>
                <w:sz w:val="21"/>
                <w:szCs w:val="21"/>
                <w:vertAlign w:val="baseline"/>
                <w:lang w:val="en-US" w:eastAsia="zh-CN"/>
              </w:rPr>
            </w:pPr>
            <w:r>
              <w:rPr>
                <w:rFonts w:hint="default" w:ascii="Times New Roman" w:hAnsi="Times New Roman" w:cs="Times New Roman"/>
                <w:sz w:val="21"/>
                <w:szCs w:val="21"/>
              </w:rPr>
              <w:t>冷冻-20℃</w:t>
            </w:r>
          </w:p>
        </w:tc>
      </w:tr>
    </w:tbl>
    <w:p w14:paraId="4D9D14EE">
      <w:pPr>
        <w:ind w:firstLine="0"/>
        <w:rPr>
          <w:rFonts w:hint="eastAsia"/>
          <w:szCs w:val="24"/>
        </w:rPr>
      </w:pPr>
    </w:p>
    <w:p w14:paraId="3575AE0E">
      <w:pPr>
        <w:pStyle w:val="50"/>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sz w:val="24"/>
          <w:szCs w:val="24"/>
        </w:rPr>
      </w:pPr>
      <w:bookmarkStart w:id="8" w:name="_Toc4407"/>
      <w:bookmarkStart w:id="9" w:name="_Toc20191"/>
      <w:bookmarkStart w:id="10" w:name="_Toc224738377"/>
      <w:r>
        <w:rPr>
          <w:rFonts w:hint="default" w:ascii="Times New Roman" w:hAnsi="Times New Roman" w:cs="Times New Roman"/>
          <w:sz w:val="24"/>
          <w:szCs w:val="24"/>
        </w:rPr>
        <w:t>3. 验证试验</w:t>
      </w:r>
      <w:bookmarkEnd w:id="8"/>
      <w:bookmarkEnd w:id="9"/>
      <w:bookmarkEnd w:id="10"/>
      <w:bookmarkStart w:id="11" w:name="_Toc224738378"/>
    </w:p>
    <w:p w14:paraId="558BA6D0">
      <w:pPr>
        <w:pStyle w:val="52"/>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w:hAnsi="Times New Roman" w:cs="Times New Roman"/>
          <w:sz w:val="24"/>
          <w:szCs w:val="24"/>
        </w:rPr>
      </w:pPr>
      <w:bookmarkStart w:id="12" w:name="_Toc2508"/>
      <w:bookmarkStart w:id="13" w:name="_Toc13212"/>
      <w:r>
        <w:rPr>
          <w:rFonts w:hint="default" w:ascii="Times New Roman" w:hAnsi="Times New Roman" w:cs="Times New Roman"/>
          <w:sz w:val="24"/>
          <w:szCs w:val="24"/>
        </w:rPr>
        <w:t>3.1 纳米胶束类分子递送载体包封率测定</w:t>
      </w:r>
      <w:bookmarkEnd w:id="11"/>
      <w:bookmarkEnd w:id="12"/>
      <w:bookmarkEnd w:id="13"/>
    </w:p>
    <w:p w14:paraId="6D9F64E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测定原理：</w:t>
      </w:r>
      <w:r>
        <w:rPr>
          <w:rFonts w:hint="default" w:ascii="Times New Roman" w:hAnsi="Times New Roman" w:cs="Times New Roman"/>
          <w:sz w:val="24"/>
          <w:szCs w:val="24"/>
        </w:rPr>
        <w:t>采用超滤离心法分离游离有效成分与</w:t>
      </w:r>
      <w:r>
        <w:rPr>
          <w:rFonts w:hint="default" w:ascii="Times New Roman" w:hAnsi="Times New Roman" w:cs="Times New Roman"/>
          <w:sz w:val="24"/>
          <w:szCs w:val="24"/>
          <w:lang w:eastAsia="zh-CN"/>
        </w:rPr>
        <w:t>纳米</w:t>
      </w:r>
      <w:r>
        <w:rPr>
          <w:rFonts w:hint="default" w:ascii="Times New Roman" w:hAnsi="Times New Roman" w:cs="Times New Roman"/>
          <w:sz w:val="24"/>
          <w:szCs w:val="24"/>
        </w:rPr>
        <w:t>胶束（胶束粒径约20~50 nm，被超滤膜截留），结合高效液相色谱法测定有效成分总量和游离有效成分量，计算包封率。</w:t>
      </w:r>
    </w:p>
    <w:p w14:paraId="70B874DC">
      <w:pPr>
        <w:pStyle w:val="53"/>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Times New Roman" w:hAnsi="Times New Roman" w:cs="Times New Roman"/>
          <w:sz w:val="24"/>
          <w:szCs w:val="24"/>
        </w:rPr>
      </w:pPr>
      <w:bookmarkStart w:id="14" w:name="_Toc6182"/>
      <w:bookmarkStart w:id="15" w:name="_Toc8307"/>
      <w:r>
        <w:rPr>
          <w:rFonts w:hint="default" w:ascii="Times New Roman" w:hAnsi="Times New Roman" w:cs="Times New Roman"/>
          <w:sz w:val="24"/>
          <w:szCs w:val="24"/>
        </w:rPr>
        <w:t>3.1.1 试验设备及材料</w:t>
      </w:r>
      <w:bookmarkEnd w:id="14"/>
      <w:bookmarkEnd w:id="15"/>
    </w:p>
    <w:p w14:paraId="55E713E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lang w:eastAsia="zh-CN"/>
        </w:rPr>
        <w:t>环孢素纳米胶束、环孢素A</w:t>
      </w:r>
      <w:r>
        <w:rPr>
          <w:rFonts w:hint="default" w:ascii="Times New Roman" w:hAnsi="Times New Roman" w:cs="Times New Roman"/>
          <w:sz w:val="24"/>
          <w:szCs w:val="24"/>
        </w:rPr>
        <w:t>、</w:t>
      </w:r>
      <w:r>
        <w:rPr>
          <w:rFonts w:hint="default" w:ascii="Times New Roman" w:hAnsi="Times New Roman" w:cs="Times New Roman"/>
          <w:sz w:val="24"/>
          <w:szCs w:val="24"/>
          <w:lang w:eastAsia="zh-CN"/>
        </w:rPr>
        <w:t>流动相、</w:t>
      </w:r>
      <w:r>
        <w:rPr>
          <w:rFonts w:hint="default" w:ascii="Times New Roman" w:hAnsi="Times New Roman" w:cs="Times New Roman"/>
          <w:sz w:val="24"/>
          <w:szCs w:val="24"/>
        </w:rPr>
        <w:t>离心机、超滤离心管、</w:t>
      </w:r>
      <w:r>
        <w:rPr>
          <w:rFonts w:hint="default" w:ascii="Times New Roman" w:hAnsi="Times New Roman" w:cs="Times New Roman"/>
          <w:sz w:val="24"/>
          <w:szCs w:val="24"/>
          <w:lang w:val="en-US" w:eastAsia="zh-CN"/>
        </w:rPr>
        <w:t>超</w:t>
      </w:r>
      <w:r>
        <w:rPr>
          <w:rFonts w:hint="default" w:ascii="Times New Roman" w:hAnsi="Times New Roman" w:cs="Times New Roman"/>
          <w:sz w:val="24"/>
          <w:szCs w:val="24"/>
        </w:rPr>
        <w:t>高效液相色谱</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
        <w:gridCol w:w="3447"/>
        <w:gridCol w:w="3725"/>
      </w:tblGrid>
      <w:tr w14:paraId="318C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noWrap w:val="0"/>
            <w:vAlign w:val="top"/>
          </w:tcPr>
          <w:p w14:paraId="3E8F92D8">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rPr>
              <w:t>材料/设备</w:t>
            </w:r>
          </w:p>
        </w:tc>
        <w:tc>
          <w:tcPr>
            <w:tcW w:w="3447" w:type="dxa"/>
            <w:noWrap w:val="0"/>
            <w:vAlign w:val="top"/>
          </w:tcPr>
          <w:p w14:paraId="2CE0F1E6">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rPr>
              <w:t>规格/型号</w:t>
            </w:r>
          </w:p>
        </w:tc>
        <w:tc>
          <w:tcPr>
            <w:tcW w:w="3725" w:type="dxa"/>
            <w:noWrap w:val="0"/>
            <w:vAlign w:val="top"/>
          </w:tcPr>
          <w:p w14:paraId="7C462D2A">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eastAsia" w:ascii="Times New Roman" w:hAnsi="Times New Roman" w:cs="Times New Roman"/>
                <w:b/>
                <w:bCs/>
                <w:sz w:val="21"/>
                <w:szCs w:val="21"/>
                <w:lang w:val="en-US" w:eastAsia="zh-CN"/>
              </w:rPr>
              <w:t>实验室2</w:t>
            </w:r>
            <w:r>
              <w:rPr>
                <w:rFonts w:hint="default" w:ascii="Times New Roman" w:hAnsi="Times New Roman" w:cs="Times New Roman"/>
                <w:b/>
                <w:bCs/>
                <w:sz w:val="21"/>
                <w:szCs w:val="21"/>
              </w:rPr>
              <w:t>规格/型号</w:t>
            </w:r>
          </w:p>
        </w:tc>
      </w:tr>
      <w:tr w14:paraId="0BE4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noWrap w:val="0"/>
            <w:vAlign w:val="center"/>
          </w:tcPr>
          <w:p w14:paraId="4F446A8E">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环孢素纳米胶束</w:t>
            </w:r>
          </w:p>
        </w:tc>
        <w:tc>
          <w:tcPr>
            <w:tcW w:w="3447" w:type="dxa"/>
            <w:noWrap w:val="0"/>
            <w:vAlign w:val="center"/>
          </w:tcPr>
          <w:p w14:paraId="5FF8529F">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vertAlign w:val="baseline"/>
                <w:lang w:eastAsia="zh-CN"/>
              </w:rPr>
            </w:pPr>
            <w:r>
              <w:rPr>
                <w:rFonts w:hint="default" w:ascii="Times New Roman" w:hAnsi="Times New Roman" w:cs="Times New Roman"/>
                <w:sz w:val="21"/>
                <w:szCs w:val="21"/>
              </w:rPr>
              <w:t>载体组成：DSPE-PEG2000，标示量：</w:t>
            </w:r>
            <w:r>
              <w:rPr>
                <w:rFonts w:hint="default" w:ascii="Times New Roman" w:hAnsi="Times New Roman" w:cs="Times New Roman"/>
                <w:sz w:val="21"/>
                <w:szCs w:val="21"/>
                <w:lang w:val="en-US" w:eastAsia="zh-CN"/>
              </w:rPr>
              <w:t>1</w:t>
            </w:r>
            <w:r>
              <w:rPr>
                <w:rFonts w:hint="default" w:ascii="Times New Roman" w:hAnsi="Times New Roman" w:cs="Times New Roman"/>
                <w:sz w:val="21"/>
                <w:szCs w:val="21"/>
              </w:rPr>
              <w:t>.0 mg/m</w:t>
            </w:r>
            <w:r>
              <w:rPr>
                <w:rFonts w:hint="default" w:ascii="Times New Roman" w:hAnsi="Times New Roman" w:cs="Times New Roman"/>
                <w:sz w:val="21"/>
                <w:szCs w:val="21"/>
                <w:lang w:val="en-US" w:eastAsia="zh-CN"/>
              </w:rPr>
              <w:t>L</w:t>
            </w:r>
          </w:p>
        </w:tc>
        <w:tc>
          <w:tcPr>
            <w:tcW w:w="3725" w:type="dxa"/>
            <w:noWrap w:val="0"/>
            <w:vAlign w:val="center"/>
          </w:tcPr>
          <w:p w14:paraId="53F1C14A">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vertAlign w:val="baseline"/>
                <w:lang w:eastAsia="zh-CN"/>
              </w:rPr>
            </w:pPr>
            <w:r>
              <w:rPr>
                <w:rFonts w:hint="default" w:ascii="Times New Roman" w:hAnsi="Times New Roman" w:cs="Times New Roman"/>
                <w:szCs w:val="24"/>
              </w:rPr>
              <w:t>载体组成：DSPE-PEG2000，标示量：1.0 mg/mL</w:t>
            </w:r>
          </w:p>
        </w:tc>
      </w:tr>
      <w:tr w14:paraId="4FD92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0" w:type="dxa"/>
            <w:noWrap w:val="0"/>
            <w:vAlign w:val="center"/>
          </w:tcPr>
          <w:p w14:paraId="04F354A5">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lang w:val="en-US" w:eastAsia="zh-CN"/>
              </w:rPr>
            </w:pPr>
            <w:r>
              <w:rPr>
                <w:rFonts w:hint="default" w:ascii="Times New Roman" w:hAnsi="Times New Roman" w:cs="Times New Roman"/>
                <w:sz w:val="21"/>
                <w:szCs w:val="21"/>
              </w:rPr>
              <w:t>环孢素</w:t>
            </w:r>
            <w:r>
              <w:rPr>
                <w:rFonts w:hint="default" w:ascii="Times New Roman" w:hAnsi="Times New Roman" w:cs="Times New Roman"/>
                <w:sz w:val="21"/>
                <w:szCs w:val="21"/>
                <w:lang w:val="en-US" w:eastAsia="zh-CN"/>
              </w:rPr>
              <w:t>A</w:t>
            </w:r>
          </w:p>
        </w:tc>
        <w:tc>
          <w:tcPr>
            <w:tcW w:w="3447" w:type="dxa"/>
            <w:noWrap w:val="0"/>
            <w:vAlign w:val="center"/>
          </w:tcPr>
          <w:p w14:paraId="31956A31">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纯度</w:t>
            </w:r>
            <w:r>
              <w:rPr>
                <w:rFonts w:hint="default" w:ascii="Times New Roman" w:hAnsi="Times New Roman" w:cs="Times New Roman"/>
                <w:sz w:val="21"/>
                <w:szCs w:val="21"/>
                <w:lang w:val="en-US" w:eastAsia="zh-CN"/>
              </w:rPr>
              <w:t>98%</w:t>
            </w:r>
            <w:r>
              <w:rPr>
                <w:rFonts w:hint="default" w:ascii="Times New Roman" w:hAnsi="Times New Roman" w:cs="Times New Roman"/>
                <w:sz w:val="21"/>
                <w:szCs w:val="21"/>
              </w:rPr>
              <w:t>，</w:t>
            </w:r>
            <w:r>
              <w:rPr>
                <w:rFonts w:hint="default" w:ascii="Times New Roman" w:hAnsi="Times New Roman" w:cs="Times New Roman"/>
                <w:sz w:val="21"/>
                <w:szCs w:val="21"/>
                <w:lang w:eastAsia="zh-CN"/>
              </w:rPr>
              <w:t>源叶生物，</w:t>
            </w:r>
            <w:r>
              <w:rPr>
                <w:rFonts w:hint="default" w:ascii="Times New Roman" w:hAnsi="Times New Roman" w:cs="Times New Roman"/>
                <w:sz w:val="21"/>
                <w:szCs w:val="21"/>
                <w:lang w:val="en-US" w:eastAsia="zh-CN"/>
              </w:rPr>
              <w:t>S17068-5g，</w:t>
            </w:r>
            <w:r>
              <w:rPr>
                <w:rFonts w:hint="default" w:ascii="Times New Roman" w:hAnsi="Times New Roman" w:cs="Times New Roman"/>
                <w:sz w:val="21"/>
                <w:szCs w:val="21"/>
              </w:rPr>
              <w:tab/>
            </w:r>
            <w:r>
              <w:rPr>
                <w:rFonts w:hint="default" w:ascii="Times New Roman" w:hAnsi="Times New Roman" w:cs="Times New Roman"/>
                <w:sz w:val="21"/>
                <w:szCs w:val="21"/>
                <w:lang w:val="en-US" w:eastAsia="zh-CN"/>
              </w:rPr>
              <w:t>1202.61 g/mol</w:t>
            </w:r>
          </w:p>
        </w:tc>
        <w:tc>
          <w:tcPr>
            <w:tcW w:w="3725" w:type="dxa"/>
            <w:noWrap w:val="0"/>
            <w:vAlign w:val="center"/>
          </w:tcPr>
          <w:p w14:paraId="017B454F">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vertAlign w:val="baseline"/>
                <w:lang w:eastAsia="zh-CN"/>
              </w:rPr>
            </w:pPr>
            <w:r>
              <w:rPr>
                <w:rFonts w:hint="default" w:ascii="Times New Roman" w:hAnsi="Times New Roman" w:cs="Times New Roman"/>
                <w:szCs w:val="24"/>
              </w:rPr>
              <w:t>纯度98%，源叶生物，S17068-5g，1202.61 g/mol</w:t>
            </w:r>
          </w:p>
        </w:tc>
      </w:tr>
      <w:tr w14:paraId="284B5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noWrap w:val="0"/>
            <w:vAlign w:val="center"/>
          </w:tcPr>
          <w:p w14:paraId="6A8CA0C6">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rPr>
            </w:pPr>
            <w:r>
              <w:rPr>
                <w:rFonts w:hint="default" w:ascii="Times New Roman" w:hAnsi="Times New Roman" w:cs="Times New Roman"/>
                <w:sz w:val="21"/>
                <w:szCs w:val="21"/>
              </w:rPr>
              <w:t>流动相</w:t>
            </w:r>
          </w:p>
        </w:tc>
        <w:tc>
          <w:tcPr>
            <w:tcW w:w="3447" w:type="dxa"/>
            <w:noWrap w:val="0"/>
            <w:vAlign w:val="center"/>
          </w:tcPr>
          <w:p w14:paraId="056B796C">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rPr>
            </w:pPr>
            <w:r>
              <w:rPr>
                <w:rFonts w:hint="default" w:ascii="Times New Roman" w:hAnsi="Times New Roman" w:cs="Times New Roman"/>
                <w:sz w:val="21"/>
                <w:szCs w:val="21"/>
              </w:rPr>
              <w:t>水/乙腈/叔丁基甲醚（520:430:50，体积比），</w:t>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rPr>
              <w:t>1%磷酸</w:t>
            </w:r>
          </w:p>
          <w:p w14:paraId="12373654">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乙腈，质谱级，DIKMA</w:t>
            </w:r>
          </w:p>
          <w:p w14:paraId="6DC38F4F">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lang w:val="en-US" w:eastAsia="zh-CN"/>
              </w:rPr>
            </w:pPr>
            <w:r>
              <w:rPr>
                <w:rFonts w:hint="default" w:ascii="Times New Roman" w:hAnsi="Times New Roman" w:cs="Times New Roman"/>
                <w:sz w:val="21"/>
                <w:szCs w:val="21"/>
              </w:rPr>
              <w:t>叔丁基甲醚</w:t>
            </w:r>
            <w:r>
              <w:rPr>
                <w:rFonts w:hint="default" w:ascii="Times New Roman" w:hAnsi="Times New Roman" w:cs="Times New Roman"/>
                <w:sz w:val="21"/>
                <w:szCs w:val="21"/>
                <w:lang w:val="en-US" w:eastAsia="zh-CN"/>
              </w:rPr>
              <w:t>，质谱级，DIKMA</w:t>
            </w:r>
          </w:p>
          <w:p w14:paraId="68ECC695">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lang w:val="en-US" w:eastAsia="zh-CN"/>
              </w:rPr>
            </w:pPr>
            <w:r>
              <w:rPr>
                <w:rFonts w:hint="default" w:ascii="Times New Roman" w:hAnsi="Times New Roman" w:cs="Times New Roman"/>
                <w:sz w:val="21"/>
                <w:szCs w:val="21"/>
              </w:rPr>
              <w:t>磷酸</w:t>
            </w:r>
            <w:r>
              <w:rPr>
                <w:rFonts w:hint="default" w:ascii="Times New Roman" w:hAnsi="Times New Roman" w:cs="Times New Roman"/>
                <w:sz w:val="21"/>
                <w:szCs w:val="21"/>
                <w:lang w:val="en-US" w:eastAsia="zh-CN"/>
              </w:rPr>
              <w:t>，分析级，Sigma</w:t>
            </w:r>
          </w:p>
          <w:p w14:paraId="54E4108E">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超纯水，18.2 MΩ.cm，Millipore Milli-Q Advantage A10当日制备</w:t>
            </w:r>
          </w:p>
        </w:tc>
        <w:tc>
          <w:tcPr>
            <w:tcW w:w="3725" w:type="dxa"/>
            <w:noWrap w:val="0"/>
            <w:vAlign w:val="center"/>
          </w:tcPr>
          <w:p w14:paraId="5E552DBE">
            <w:pPr>
              <w:keepNext w:val="0"/>
              <w:keepLines w:val="0"/>
              <w:suppressLineNumbers w:val="0"/>
              <w:spacing w:before="0" w:beforeAutospacing="0" w:after="0" w:afterAutospacing="0" w:line="240" w:lineRule="auto"/>
              <w:ind w:left="0" w:right="0"/>
              <w:rPr>
                <w:rFonts w:hint="default" w:ascii="Times New Roman" w:hAnsi="Times New Roman" w:cs="Times New Roman"/>
                <w:szCs w:val="24"/>
              </w:rPr>
            </w:pPr>
            <w:r>
              <w:rPr>
                <w:rFonts w:hint="default" w:ascii="Times New Roman" w:hAnsi="Times New Roman" w:cs="Times New Roman"/>
                <w:szCs w:val="24"/>
              </w:rPr>
              <w:t>水/乙腈/叔丁基甲醚（520:430:50，体积比），并加入0.1%磷酸（浓度为85%）</w:t>
            </w:r>
          </w:p>
          <w:p w14:paraId="49C5FF7F">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lang w:val="en-US" w:eastAsia="zh-CN"/>
              </w:rPr>
            </w:pPr>
            <w:r>
              <w:rPr>
                <w:rFonts w:hint="default" w:ascii="Times New Roman" w:hAnsi="Times New Roman" w:cs="Times New Roman"/>
                <w:szCs w:val="24"/>
              </w:rPr>
              <w:t>乙腈，梯度级，≥99.9%</w:t>
            </w:r>
          </w:p>
        </w:tc>
      </w:tr>
      <w:tr w14:paraId="13D9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noWrap w:val="0"/>
            <w:vAlign w:val="center"/>
          </w:tcPr>
          <w:p w14:paraId="3641661A">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稀释</w:t>
            </w:r>
            <w:r>
              <w:rPr>
                <w:rFonts w:hint="default" w:ascii="Times New Roman" w:hAnsi="Times New Roman" w:cs="Times New Roman"/>
                <w:sz w:val="21"/>
                <w:szCs w:val="21"/>
                <w:lang w:val="en-US" w:eastAsia="zh-CN"/>
              </w:rPr>
              <w:t>液</w:t>
            </w:r>
          </w:p>
        </w:tc>
        <w:tc>
          <w:tcPr>
            <w:tcW w:w="3447" w:type="dxa"/>
            <w:noWrap w:val="0"/>
            <w:vAlign w:val="center"/>
          </w:tcPr>
          <w:p w14:paraId="3577F19B">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超纯水</w:t>
            </w:r>
            <w:r>
              <w:rPr>
                <w:rFonts w:hint="default" w:ascii="Times New Roman" w:hAnsi="Times New Roman" w:cs="Times New Roman"/>
                <w:sz w:val="21"/>
                <w:szCs w:val="21"/>
              </w:rPr>
              <w:t>/乙腈（</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0:</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0，体积比）</w:t>
            </w:r>
          </w:p>
        </w:tc>
        <w:tc>
          <w:tcPr>
            <w:tcW w:w="3725" w:type="dxa"/>
            <w:noWrap w:val="0"/>
            <w:vAlign w:val="center"/>
          </w:tcPr>
          <w:p w14:paraId="47C508DF">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rPr>
            </w:pPr>
            <w:r>
              <w:rPr>
                <w:rFonts w:hint="default" w:ascii="Times New Roman" w:hAnsi="Times New Roman" w:cs="Times New Roman"/>
                <w:szCs w:val="24"/>
              </w:rPr>
              <w:t>去离子水/乙腈（色谱级）（50:50，体积比）</w:t>
            </w:r>
          </w:p>
        </w:tc>
      </w:tr>
      <w:tr w14:paraId="56222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noWrap w:val="0"/>
            <w:vAlign w:val="center"/>
          </w:tcPr>
          <w:p w14:paraId="13C38B80">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离心机</w:t>
            </w:r>
          </w:p>
        </w:tc>
        <w:tc>
          <w:tcPr>
            <w:tcW w:w="3447" w:type="dxa"/>
            <w:noWrap w:val="0"/>
            <w:vAlign w:val="center"/>
          </w:tcPr>
          <w:p w14:paraId="151D71B9">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型号：</w:t>
            </w:r>
            <w:r>
              <w:rPr>
                <w:rFonts w:hint="default" w:ascii="Times New Roman" w:hAnsi="Times New Roman" w:cs="Times New Roman"/>
                <w:sz w:val="21"/>
                <w:szCs w:val="21"/>
                <w:lang w:val="en-US" w:eastAsia="zh-CN"/>
              </w:rPr>
              <w:t>eppendorf Centrifuge 5425R</w:t>
            </w:r>
          </w:p>
        </w:tc>
        <w:tc>
          <w:tcPr>
            <w:tcW w:w="3725" w:type="dxa"/>
            <w:noWrap w:val="0"/>
            <w:vAlign w:val="center"/>
          </w:tcPr>
          <w:p w14:paraId="3F597F0E">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品牌：北京白洋医疗器械，型号：</w:t>
            </w:r>
            <w:r>
              <w:rPr>
                <w:rFonts w:hint="default" w:ascii="Times New Roman" w:hAnsi="Times New Roman" w:cs="Times New Roman"/>
                <w:kern w:val="0"/>
                <w:szCs w:val="18"/>
              </w:rPr>
              <w:t>R320</w:t>
            </w:r>
            <w:r>
              <w:rPr>
                <w:rFonts w:hint="default" w:ascii="Times New Roman" w:hAnsi="Times New Roman" w:cs="Times New Roman"/>
                <w:kern w:val="0"/>
                <w:szCs w:val="24"/>
              </w:rPr>
              <w:t>，控温精度：±1℃</w:t>
            </w:r>
          </w:p>
        </w:tc>
      </w:tr>
      <w:tr w14:paraId="4BB6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noWrap w:val="0"/>
            <w:vAlign w:val="center"/>
          </w:tcPr>
          <w:p w14:paraId="654E3512">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超滤离心管</w:t>
            </w:r>
          </w:p>
        </w:tc>
        <w:tc>
          <w:tcPr>
            <w:tcW w:w="3447" w:type="dxa"/>
            <w:noWrap w:val="0"/>
            <w:vAlign w:val="center"/>
          </w:tcPr>
          <w:p w14:paraId="5FCA72F0">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规格：</w:t>
            </w:r>
            <w:r>
              <w:rPr>
                <w:rFonts w:hint="default" w:ascii="Times New Roman" w:hAnsi="Times New Roman" w:cs="Times New Roman"/>
                <w:sz w:val="21"/>
                <w:szCs w:val="21"/>
                <w:lang w:val="en-US" w:eastAsia="zh-CN"/>
              </w:rPr>
              <w:t>0.5</w:t>
            </w:r>
            <w:r>
              <w:rPr>
                <w:rFonts w:hint="default" w:ascii="Times New Roman" w:hAnsi="Times New Roman" w:cs="Times New Roman"/>
                <w:sz w:val="21"/>
                <w:szCs w:val="21"/>
              </w:rPr>
              <w:t xml:space="preserve"> ml，MWCO：</w:t>
            </w:r>
            <w:r>
              <w:rPr>
                <w:rFonts w:hint="default" w:ascii="Times New Roman" w:hAnsi="Times New Roman" w:cs="Times New Roman"/>
                <w:sz w:val="21"/>
                <w:szCs w:val="21"/>
                <w:lang w:val="en-US" w:eastAsia="zh-CN"/>
              </w:rPr>
              <w:t>100</w:t>
            </w:r>
            <w:r>
              <w:rPr>
                <w:rFonts w:hint="default" w:ascii="Times New Roman" w:hAnsi="Times New Roman" w:cs="Times New Roman"/>
                <w:sz w:val="21"/>
                <w:szCs w:val="21"/>
              </w:rPr>
              <w:t xml:space="preserve"> kDa，材质：再生纤维素，品牌：Merck Amicon Ultra</w:t>
            </w:r>
          </w:p>
        </w:tc>
        <w:tc>
          <w:tcPr>
            <w:tcW w:w="3725" w:type="dxa"/>
            <w:noWrap w:val="0"/>
            <w:vAlign w:val="center"/>
          </w:tcPr>
          <w:p w14:paraId="4EF96ED4">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规格：4 ml，MWCO：100 kDa，材质：再生纤维素，品牌：Merck Amicon® Ultra-4，货号：UFC810096</w:t>
            </w:r>
          </w:p>
        </w:tc>
      </w:tr>
      <w:tr w14:paraId="5ABB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noWrap w:val="0"/>
            <w:vAlign w:val="center"/>
          </w:tcPr>
          <w:p w14:paraId="0A5FF7AE">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lang w:val="en-US" w:eastAsia="zh-CN"/>
              </w:rPr>
              <w:t>超</w:t>
            </w:r>
            <w:r>
              <w:rPr>
                <w:rFonts w:hint="default" w:ascii="Times New Roman" w:hAnsi="Times New Roman" w:cs="Times New Roman"/>
                <w:sz w:val="21"/>
                <w:szCs w:val="21"/>
              </w:rPr>
              <w:t>高效液相色谱仪</w:t>
            </w:r>
          </w:p>
        </w:tc>
        <w:tc>
          <w:tcPr>
            <w:tcW w:w="3447" w:type="dxa"/>
            <w:noWrap w:val="0"/>
            <w:vAlign w:val="center"/>
          </w:tcPr>
          <w:p w14:paraId="3E7F546A">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型号：Waters Acquity UPLC H-class Plus系统，检测器：PDA eλ Detector，色谱柱：Waters ACQUITY UPLC® BEH C18 50 mm×2.1 mm，1.7 μm</w:t>
            </w:r>
          </w:p>
        </w:tc>
        <w:tc>
          <w:tcPr>
            <w:tcW w:w="3725" w:type="dxa"/>
            <w:noWrap w:val="0"/>
            <w:vAlign w:val="center"/>
          </w:tcPr>
          <w:p w14:paraId="5AB56843">
            <w:pPr>
              <w:keepNext w:val="0"/>
              <w:keepLines w:val="0"/>
              <w:suppressLineNumbers w:val="0"/>
              <w:spacing w:before="0" w:beforeAutospacing="0" w:after="0" w:afterAutospacing="0" w:line="240" w:lineRule="auto"/>
              <w:ind w:left="0" w:right="0"/>
              <w:rPr>
                <w:rFonts w:hint="default" w:ascii="Times New Roman" w:hAnsi="Times New Roman" w:cs="Times New Roman"/>
                <w:szCs w:val="24"/>
              </w:rPr>
            </w:pPr>
            <w:r>
              <w:rPr>
                <w:rFonts w:hint="default" w:ascii="Times New Roman" w:hAnsi="Times New Roman" w:cs="Times New Roman"/>
                <w:szCs w:val="24"/>
              </w:rPr>
              <w:t>型号：Waters ACQUITY H-Class PLUS，检测器：VWD</w:t>
            </w:r>
          </w:p>
          <w:p w14:paraId="0D390D83">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ACQUITY UPLC® BEH C18（2.1×50 mm，1.7 μm）</w:t>
            </w:r>
          </w:p>
        </w:tc>
      </w:tr>
    </w:tbl>
    <w:p w14:paraId="1D76C88F">
      <w:pPr>
        <w:ind w:firstLine="0"/>
        <w:rPr>
          <w:rFonts w:hint="eastAsia"/>
          <w:szCs w:val="24"/>
        </w:rPr>
      </w:pPr>
    </w:p>
    <w:p w14:paraId="60AF876C">
      <w:pPr>
        <w:pStyle w:val="53"/>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Times New Roman" w:hAnsi="Times New Roman" w:cs="Times New Roman"/>
          <w:sz w:val="24"/>
          <w:szCs w:val="24"/>
        </w:rPr>
      </w:pPr>
      <w:bookmarkStart w:id="16" w:name="_Toc26872"/>
      <w:bookmarkStart w:id="17" w:name="_Toc18931"/>
      <w:r>
        <w:rPr>
          <w:rFonts w:hint="default" w:ascii="Times New Roman" w:hAnsi="Times New Roman" w:cs="Times New Roman"/>
          <w:sz w:val="24"/>
          <w:szCs w:val="24"/>
        </w:rPr>
        <w:t>3.1.2 试验过程</w:t>
      </w:r>
      <w:bookmarkEnd w:id="16"/>
      <w:bookmarkEnd w:id="17"/>
    </w:p>
    <w:p w14:paraId="1B66FE7F">
      <w:pPr>
        <w:pStyle w:val="5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18" w:name="_Toc3903"/>
      <w:r>
        <w:rPr>
          <w:rFonts w:hint="default" w:ascii="Times New Roman" w:hAnsi="Times New Roman" w:cs="Times New Roman"/>
          <w:sz w:val="24"/>
          <w:szCs w:val="24"/>
        </w:rPr>
        <w:t>3.1.2.1 标准曲线制备</w:t>
      </w:r>
      <w:bookmarkEnd w:id="18"/>
    </w:p>
    <w:p w14:paraId="7F79F492">
      <w:pPr>
        <w:spacing w:line="360" w:lineRule="auto"/>
        <w:ind w:firstLine="480" w:firstLineChars="200"/>
        <w:rPr>
          <w:rFonts w:hint="default" w:ascii="Times New Roman" w:hAnsi="Times New Roman" w:cs="Times New Roman"/>
          <w:b/>
          <w:sz w:val="24"/>
          <w:szCs w:val="24"/>
        </w:rPr>
      </w:pPr>
      <w:r>
        <w:rPr>
          <w:rFonts w:hint="default" w:ascii="Times New Roman" w:hAnsi="Times New Roman" w:cs="Times New Roman"/>
          <w:sz w:val="24"/>
          <w:szCs w:val="24"/>
        </w:rPr>
        <w:t>a) 环孢素A适量，精密称定，加稀释液溶解并稀释制成浓度为500 mg/L的贮备液。精密量取贮备液适量，用稀释液稀释制成浓度为1、2、5、10、20、50、100 mg/L的标准溶液。</w:t>
      </w:r>
    </w:p>
    <w:p w14:paraId="54E1F129">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b) 取上述标准溶液至自动进样瓶（2 mL）中，在</w:t>
      </w:r>
      <w:r>
        <w:rPr>
          <w:rFonts w:hint="default" w:ascii="Times New Roman" w:hAnsi="Times New Roman" w:cs="Times New Roman"/>
          <w:color w:val="000000"/>
          <w:sz w:val="24"/>
          <w:szCs w:val="24"/>
        </w:rPr>
        <w:t>下述色谱条件下</w:t>
      </w:r>
      <w:r>
        <w:rPr>
          <w:rFonts w:hint="default" w:ascii="Times New Roman" w:hAnsi="Times New Roman" w:cs="Times New Roman"/>
          <w:sz w:val="24"/>
          <w:szCs w:val="24"/>
        </w:rPr>
        <w:t>依次进样，记录色谱图，测定峰面积。以浓度为横坐标、峰面积为纵坐标绘制标准曲线，并计算得到回归方程。相关系数（R</w:t>
      </w:r>
      <w:r>
        <w:rPr>
          <w:rFonts w:hint="default" w:ascii="Times New Roman" w:hAnsi="Times New Roman" w:cs="Times New Roman"/>
          <w:sz w:val="24"/>
          <w:szCs w:val="24"/>
          <w:vertAlign w:val="superscript"/>
        </w:rPr>
        <w:t>2</w:t>
      </w:r>
      <w:r>
        <w:rPr>
          <w:rFonts w:hint="default" w:ascii="Times New Roman" w:hAnsi="Times New Roman" w:cs="Times New Roman"/>
          <w:sz w:val="24"/>
          <w:szCs w:val="24"/>
        </w:rPr>
        <w:t>）应不低于0.999。</w:t>
      </w:r>
    </w:p>
    <w:p w14:paraId="564380AD">
      <w:pPr>
        <w:ind w:firstLine="0"/>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表 </w:t>
      </w:r>
      <w:r>
        <w:rPr>
          <w:rFonts w:hint="default" w:ascii="Times New Roman" w:hAnsi="Times New Roman" w:cs="Times New Roman"/>
          <w:sz w:val="24"/>
          <w:szCs w:val="24"/>
        </w:rPr>
        <w:t>色谱条件</w:t>
      </w:r>
    </w:p>
    <w:tbl>
      <w:tblPr>
        <w:tblStyle w:val="10"/>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7044"/>
      </w:tblGrid>
      <w:tr w14:paraId="3FAC0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4035B407">
            <w:pPr>
              <w:pStyle w:val="53"/>
              <w:keepNext w:val="0"/>
              <w:keepLines w:val="0"/>
              <w:suppressLineNumbers w:val="0"/>
              <w:spacing w:before="0" w:beforeAutospacing="0" w:after="0" w:afterAutospacing="0"/>
              <w:ind w:left="0" w:right="0"/>
              <w:jc w:val="center"/>
              <w:rPr>
                <w:rFonts w:hint="default" w:ascii="Times New Roman" w:hAnsi="Times New Roman" w:cs="Times New Roman"/>
                <w:b/>
                <w:bCs w:val="0"/>
                <w:sz w:val="21"/>
                <w:szCs w:val="21"/>
                <w:vertAlign w:val="baseline"/>
              </w:rPr>
            </w:pPr>
            <w:bookmarkStart w:id="19" w:name="_Toc30486"/>
            <w:bookmarkStart w:id="20" w:name="_Toc1136"/>
            <w:r>
              <w:rPr>
                <w:rFonts w:hint="default" w:ascii="Times New Roman" w:hAnsi="Times New Roman" w:cs="Times New Roman"/>
                <w:b/>
                <w:bCs w:val="0"/>
                <w:sz w:val="21"/>
                <w:szCs w:val="21"/>
              </w:rPr>
              <w:t>参数</w:t>
            </w:r>
            <w:bookmarkEnd w:id="19"/>
            <w:bookmarkEnd w:id="20"/>
          </w:p>
        </w:tc>
        <w:tc>
          <w:tcPr>
            <w:tcW w:w="0" w:type="auto"/>
            <w:noWrap w:val="0"/>
            <w:vAlign w:val="center"/>
          </w:tcPr>
          <w:p w14:paraId="373F0051">
            <w:pPr>
              <w:keepNext w:val="0"/>
              <w:keepLines w:val="0"/>
              <w:suppressLineNumbers w:val="0"/>
              <w:spacing w:before="0" w:beforeAutospacing="0" w:after="0" w:afterAutospacing="0"/>
              <w:ind w:left="0" w:right="0"/>
              <w:jc w:val="center"/>
              <w:rPr>
                <w:rFonts w:hint="default" w:ascii="Times New Roman" w:hAnsi="Times New Roman" w:cs="Times New Roman"/>
                <w:b/>
                <w:bCs w:val="0"/>
                <w:sz w:val="21"/>
                <w:szCs w:val="21"/>
                <w:vertAlign w:val="baseline"/>
              </w:rPr>
            </w:pPr>
            <w:r>
              <w:rPr>
                <w:rFonts w:hint="default" w:ascii="Times New Roman" w:hAnsi="Times New Roman" w:cs="Times New Roman"/>
                <w:b/>
                <w:bCs w:val="0"/>
                <w:sz w:val="21"/>
                <w:szCs w:val="21"/>
              </w:rPr>
              <w:t>条件</w:t>
            </w:r>
          </w:p>
        </w:tc>
      </w:tr>
      <w:tr w14:paraId="78BA6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57E3E6A1">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流动相</w:t>
            </w:r>
          </w:p>
        </w:tc>
        <w:tc>
          <w:tcPr>
            <w:tcW w:w="0" w:type="auto"/>
            <w:noWrap w:val="0"/>
            <w:vAlign w:val="center"/>
          </w:tcPr>
          <w:p w14:paraId="0F854C05">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rPr>
              <w:t>水/乙腈/叔丁基甲醚（520:430:50，体积比），</w:t>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rPr>
              <w:t>1%磷酸</w:t>
            </w:r>
          </w:p>
        </w:tc>
      </w:tr>
      <w:tr w14:paraId="3D04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6" w:type="dxa"/>
            <w:noWrap w:val="0"/>
            <w:vAlign w:val="center"/>
          </w:tcPr>
          <w:p w14:paraId="626DFA35">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流速</w:t>
            </w:r>
          </w:p>
        </w:tc>
        <w:tc>
          <w:tcPr>
            <w:tcW w:w="0" w:type="auto"/>
            <w:noWrap w:val="0"/>
            <w:vAlign w:val="center"/>
          </w:tcPr>
          <w:p w14:paraId="4A7DF517">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lang w:val="en-US" w:eastAsia="zh-CN"/>
              </w:rPr>
              <w:t>0.5</w:t>
            </w:r>
            <w:r>
              <w:rPr>
                <w:rFonts w:hint="default" w:ascii="Times New Roman" w:hAnsi="Times New Roman" w:cs="Times New Roman"/>
                <w:b w:val="0"/>
                <w:bCs/>
                <w:sz w:val="21"/>
                <w:szCs w:val="21"/>
              </w:rPr>
              <w:t xml:space="preserve"> m</w:t>
            </w:r>
            <w:r>
              <w:rPr>
                <w:rFonts w:hint="default" w:ascii="Times New Roman" w:hAnsi="Times New Roman" w:cs="Times New Roman"/>
                <w:b w:val="0"/>
                <w:bCs/>
                <w:sz w:val="21"/>
                <w:szCs w:val="21"/>
                <w:lang w:val="en-US" w:eastAsia="zh-CN"/>
              </w:rPr>
              <w:t>L</w:t>
            </w:r>
            <w:r>
              <w:rPr>
                <w:rFonts w:hint="default" w:ascii="Times New Roman" w:hAnsi="Times New Roman" w:cs="Times New Roman"/>
                <w:b w:val="0"/>
                <w:bCs/>
                <w:sz w:val="21"/>
                <w:szCs w:val="21"/>
              </w:rPr>
              <w:t>/min</w:t>
            </w:r>
          </w:p>
        </w:tc>
      </w:tr>
      <w:tr w14:paraId="43606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6" w:type="dxa"/>
            <w:noWrap w:val="0"/>
            <w:vAlign w:val="center"/>
          </w:tcPr>
          <w:p w14:paraId="18F9137E">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柱温</w:t>
            </w:r>
          </w:p>
        </w:tc>
        <w:tc>
          <w:tcPr>
            <w:tcW w:w="0" w:type="auto"/>
            <w:noWrap w:val="0"/>
            <w:vAlign w:val="center"/>
          </w:tcPr>
          <w:p w14:paraId="67A8D06F">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lang w:val="en-US" w:eastAsia="zh-CN"/>
              </w:rPr>
              <w:t>7</w:t>
            </w:r>
            <w:r>
              <w:rPr>
                <w:rFonts w:hint="default" w:ascii="Times New Roman" w:hAnsi="Times New Roman" w:cs="Times New Roman"/>
                <w:b w:val="0"/>
                <w:bCs/>
                <w:sz w:val="21"/>
                <w:szCs w:val="21"/>
              </w:rPr>
              <w:t>0℃</w:t>
            </w:r>
          </w:p>
        </w:tc>
      </w:tr>
      <w:tr w14:paraId="700F3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6" w:type="dxa"/>
            <w:noWrap w:val="0"/>
            <w:vAlign w:val="center"/>
          </w:tcPr>
          <w:p w14:paraId="0B04A19E">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检测波长</w:t>
            </w:r>
          </w:p>
        </w:tc>
        <w:tc>
          <w:tcPr>
            <w:tcW w:w="0" w:type="auto"/>
            <w:noWrap w:val="0"/>
            <w:vAlign w:val="center"/>
          </w:tcPr>
          <w:p w14:paraId="24634219">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lang w:val="en-US" w:eastAsia="zh-CN"/>
              </w:rPr>
              <w:t>210</w:t>
            </w:r>
            <w:r>
              <w:rPr>
                <w:rFonts w:hint="default" w:ascii="Times New Roman" w:hAnsi="Times New Roman" w:cs="Times New Roman"/>
                <w:b w:val="0"/>
                <w:bCs/>
                <w:sz w:val="21"/>
                <w:szCs w:val="21"/>
              </w:rPr>
              <w:t xml:space="preserve"> nm</w:t>
            </w:r>
          </w:p>
        </w:tc>
      </w:tr>
      <w:tr w14:paraId="5C45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6" w:type="dxa"/>
            <w:noWrap w:val="0"/>
            <w:vAlign w:val="center"/>
          </w:tcPr>
          <w:p w14:paraId="7BDB6E56">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进样量</w:t>
            </w:r>
          </w:p>
        </w:tc>
        <w:tc>
          <w:tcPr>
            <w:tcW w:w="0" w:type="auto"/>
            <w:noWrap w:val="0"/>
            <w:vAlign w:val="center"/>
          </w:tcPr>
          <w:p w14:paraId="6E079784">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eastAsia="zh-CN"/>
              </w:rPr>
            </w:pPr>
            <w:r>
              <w:rPr>
                <w:rFonts w:hint="default" w:ascii="Times New Roman" w:hAnsi="Times New Roman" w:cs="Times New Roman"/>
                <w:b w:val="0"/>
                <w:bCs/>
                <w:sz w:val="21"/>
                <w:szCs w:val="21"/>
                <w:lang w:val="en-US" w:eastAsia="zh-CN"/>
              </w:rPr>
              <w:t>2</w:t>
            </w:r>
            <w:r>
              <w:rPr>
                <w:rFonts w:hint="default" w:ascii="Times New Roman" w:hAnsi="Times New Roman" w:cs="Times New Roman"/>
                <w:b w:val="0"/>
                <w:bCs/>
                <w:sz w:val="21"/>
                <w:szCs w:val="21"/>
              </w:rPr>
              <w:t xml:space="preserve"> μ</w:t>
            </w:r>
            <w:r>
              <w:rPr>
                <w:rFonts w:hint="default" w:ascii="Times New Roman" w:hAnsi="Times New Roman" w:cs="Times New Roman"/>
                <w:b w:val="0"/>
                <w:bCs/>
                <w:sz w:val="21"/>
                <w:szCs w:val="21"/>
                <w:lang w:val="en-US" w:eastAsia="zh-CN"/>
              </w:rPr>
              <w:t>L</w:t>
            </w:r>
          </w:p>
        </w:tc>
      </w:tr>
      <w:tr w14:paraId="567A7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6" w:type="dxa"/>
            <w:noWrap w:val="0"/>
            <w:vAlign w:val="center"/>
          </w:tcPr>
          <w:p w14:paraId="5CB8F6FD">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运行时间</w:t>
            </w:r>
          </w:p>
        </w:tc>
        <w:tc>
          <w:tcPr>
            <w:tcW w:w="0" w:type="auto"/>
            <w:noWrap w:val="0"/>
            <w:vAlign w:val="center"/>
          </w:tcPr>
          <w:p w14:paraId="2A84A847">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lang w:val="en-US" w:eastAsia="zh-CN"/>
              </w:rPr>
              <w:t xml:space="preserve">10 </w:t>
            </w:r>
            <w:r>
              <w:rPr>
                <w:rFonts w:hint="default" w:ascii="Times New Roman" w:hAnsi="Times New Roman" w:cs="Times New Roman"/>
                <w:b w:val="0"/>
                <w:bCs/>
                <w:sz w:val="21"/>
                <w:szCs w:val="21"/>
              </w:rPr>
              <w:t xml:space="preserve">min </w:t>
            </w:r>
          </w:p>
        </w:tc>
      </w:tr>
    </w:tbl>
    <w:p w14:paraId="71B1FE17">
      <w:pPr>
        <w:ind w:firstLine="0"/>
        <w:jc w:val="center"/>
      </w:pPr>
    </w:p>
    <w:p w14:paraId="13DCEF60">
      <w:pPr>
        <w:ind w:firstLine="0"/>
        <w:jc w:val="center"/>
      </w:pPr>
      <w:r>
        <w:drawing>
          <wp:inline distT="0" distB="0" distL="114300" distR="114300">
            <wp:extent cx="5033010" cy="5529580"/>
            <wp:effectExtent l="9525" t="9525" r="17145" b="2349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5"/>
                    <a:srcRect l="36050" t="21753" r="36375" b="12837"/>
                    <a:stretch>
                      <a:fillRect/>
                    </a:stretch>
                  </pic:blipFill>
                  <pic:spPr>
                    <a:xfrm>
                      <a:off x="0" y="0"/>
                      <a:ext cx="5033010" cy="552958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6F10A988">
      <w:pPr>
        <w:widowControl w:val="0"/>
        <w:numPr>
          <w:ilvl w:val="0"/>
          <w:numId w:val="0"/>
        </w:numPr>
        <w:spacing w:line="360" w:lineRule="auto"/>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图3-1-1 </w:t>
      </w: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lang w:val="en-US" w:eastAsia="zh-CN"/>
        </w:rPr>
        <w:t>环孢素标准曲线结果</w:t>
      </w:r>
    </w:p>
    <w:p w14:paraId="37462F61">
      <w:pPr>
        <w:jc w:val="center"/>
        <w:rPr>
          <w:rFonts w:hint="eastAsia"/>
          <w:b/>
          <w:bCs/>
        </w:rPr>
      </w:pPr>
      <w:r>
        <w:drawing>
          <wp:inline distT="0" distB="0" distL="114300" distR="114300">
            <wp:extent cx="3253740" cy="1988820"/>
            <wp:effectExtent l="0" t="0" r="7620" b="7620"/>
            <wp:docPr id="1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7"/>
                    <pic:cNvPicPr>
                      <a:picLocks noChangeAspect="1"/>
                    </pic:cNvPicPr>
                  </pic:nvPicPr>
                  <pic:blipFill>
                    <a:blip r:embed="rId6"/>
                    <a:stretch>
                      <a:fillRect/>
                    </a:stretch>
                  </pic:blipFill>
                  <pic:spPr>
                    <a:xfrm>
                      <a:off x="0" y="0"/>
                      <a:ext cx="3253740" cy="1988820"/>
                    </a:xfrm>
                    <a:prstGeom prst="rect">
                      <a:avLst/>
                    </a:prstGeom>
                    <a:noFill/>
                    <a:ln>
                      <a:noFill/>
                    </a:ln>
                  </pic:spPr>
                </pic:pic>
              </a:graphicData>
            </a:graphic>
          </wp:inline>
        </w:drawing>
      </w:r>
    </w:p>
    <w:p w14:paraId="266BFF58">
      <w:pPr>
        <w:jc w:val="center"/>
        <w:rPr>
          <w:rFonts w:hint="default" w:ascii="Times New Roman" w:hAnsi="Times New Roman" w:cs="Times New Roman"/>
          <w:b/>
          <w:bCs/>
        </w:rPr>
      </w:pPr>
      <w:r>
        <w:rPr>
          <w:rFonts w:hint="default" w:ascii="Times New Roman" w:hAnsi="Times New Roman" w:cs="Times New Roman"/>
          <w:b/>
          <w:bCs/>
        </w:rPr>
        <w:t>图3-1-</w:t>
      </w:r>
      <w:r>
        <w:rPr>
          <w:rFonts w:hint="default" w:ascii="Times New Roman" w:hAnsi="Times New Roman" w:cs="Times New Roman"/>
          <w:b/>
          <w:bCs/>
          <w:lang w:val="en-US" w:eastAsia="zh-CN"/>
        </w:rPr>
        <w:t>2</w:t>
      </w:r>
      <w:r>
        <w:rPr>
          <w:rFonts w:hint="default" w:ascii="Times New Roman" w:hAnsi="Times New Roman" w:cs="Times New Roman"/>
          <w:b/>
          <w:bCs/>
        </w:rPr>
        <w:t xml:space="preserve"> </w:t>
      </w:r>
      <w:r>
        <w:rPr>
          <w:rFonts w:hint="eastAsia" w:ascii="Times New Roman" w:hAnsi="Times New Roman" w:cs="Times New Roman"/>
          <w:b/>
          <w:bCs/>
          <w:lang w:val="en-US" w:eastAsia="zh-CN"/>
        </w:rPr>
        <w:t>实验室2</w:t>
      </w:r>
      <w:r>
        <w:rPr>
          <w:rFonts w:hint="default" w:ascii="Times New Roman" w:hAnsi="Times New Roman" w:cs="Times New Roman"/>
          <w:b/>
          <w:bCs/>
        </w:rPr>
        <w:t>环孢素</w:t>
      </w:r>
      <w:r>
        <w:rPr>
          <w:rFonts w:hint="default" w:ascii="Times New Roman" w:hAnsi="Times New Roman" w:cs="Times New Roman"/>
          <w:b/>
          <w:bCs/>
          <w:szCs w:val="24"/>
        </w:rPr>
        <w:t>标准曲线</w:t>
      </w:r>
    </w:p>
    <w:p w14:paraId="31C363C4">
      <w:pPr>
        <w:widowControl w:val="0"/>
        <w:numPr>
          <w:ilvl w:val="0"/>
          <w:numId w:val="0"/>
        </w:numPr>
        <w:spacing w:line="360" w:lineRule="auto"/>
        <w:jc w:val="center"/>
        <w:rPr>
          <w:rFonts w:hint="default" w:ascii="Times New Roman" w:hAnsi="Times New Roman" w:cs="Times New Roman"/>
          <w:b/>
          <w:bCs/>
          <w:sz w:val="24"/>
          <w:szCs w:val="24"/>
          <w:lang w:val="en-US" w:eastAsia="zh-CN"/>
        </w:rPr>
      </w:pPr>
    </w:p>
    <w:p w14:paraId="4EF5D691">
      <w:pPr>
        <w:pStyle w:val="53"/>
        <w:keepNext w:val="0"/>
        <w:keepLines w:val="0"/>
        <w:pageBreakBefore w:val="0"/>
        <w:kinsoku/>
        <w:wordWrap/>
        <w:overflowPunct/>
        <w:topLinePunct w:val="0"/>
        <w:bidi w:val="0"/>
        <w:adjustRightInd/>
        <w:snapToGrid/>
        <w:spacing w:line="360" w:lineRule="auto"/>
        <w:textAlignment w:val="auto"/>
        <w:rPr>
          <w:rFonts w:hint="default" w:ascii="Times New Roman" w:hAnsi="Times New Roman" w:cs="Times New Roman"/>
          <w:sz w:val="24"/>
          <w:szCs w:val="24"/>
        </w:rPr>
      </w:pPr>
      <w:bookmarkStart w:id="21" w:name="_Toc5646"/>
      <w:r>
        <w:rPr>
          <w:rFonts w:hint="default" w:ascii="Times New Roman" w:hAnsi="Times New Roman" w:cs="Times New Roman"/>
          <w:sz w:val="24"/>
          <w:szCs w:val="24"/>
        </w:rPr>
        <w:t>3.1.2.2 样品含量测定</w:t>
      </w:r>
      <w:bookmarkEnd w:id="21"/>
    </w:p>
    <w:p w14:paraId="14DC99C7">
      <w:pPr>
        <w:pStyle w:val="41"/>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a) 超滤离心管预处理：取</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个超滤离心管（0.5 mL，</w:t>
      </w:r>
      <w:r>
        <w:rPr>
          <w:rFonts w:hint="default" w:ascii="Times New Roman" w:hAnsi="Times New Roman" w:cs="Times New Roman"/>
          <w:sz w:val="24"/>
          <w:szCs w:val="24"/>
          <w:lang w:val="en-US" w:eastAsia="zh-CN"/>
        </w:rPr>
        <w:t>10</w:t>
      </w:r>
      <w:r>
        <w:rPr>
          <w:rFonts w:hint="default" w:ascii="Times New Roman" w:hAnsi="Times New Roman" w:cs="Times New Roman"/>
          <w:sz w:val="24"/>
          <w:szCs w:val="24"/>
        </w:rPr>
        <w:t xml:space="preserve">0 kDa）。加入0.5 mL 20 </w:t>
      </w:r>
      <w:r>
        <w:rPr>
          <w:rFonts w:hint="default" w:ascii="Times New Roman" w:hAnsi="Times New Roman" w:cs="Times New Roman"/>
          <w:b/>
          <w:i w:val="0"/>
          <w:iCs w:val="0"/>
          <w:sz w:val="21"/>
          <w:szCs w:val="21"/>
        </w:rPr>
        <w:t>μg/ml</w:t>
      </w:r>
      <w:r>
        <w:rPr>
          <w:rFonts w:hint="default" w:ascii="Times New Roman" w:hAnsi="Times New Roman" w:cs="Times New Roman"/>
          <w:sz w:val="24"/>
          <w:szCs w:val="24"/>
        </w:rPr>
        <w:t xml:space="preserve"> </w:t>
      </w:r>
      <w:r>
        <w:rPr>
          <w:rFonts w:hint="default" w:ascii="Times New Roman" w:hAnsi="Times New Roman" w:cs="Times New Roman"/>
          <w:sz w:val="24"/>
          <w:szCs w:val="24"/>
          <w:lang w:eastAsia="zh-CN"/>
        </w:rPr>
        <w:t>环孢素（</w:t>
      </w:r>
      <w:r>
        <w:rPr>
          <w:rFonts w:hint="default" w:ascii="Times New Roman" w:hAnsi="Times New Roman" w:cs="Times New Roman"/>
          <w:sz w:val="24"/>
          <w:szCs w:val="24"/>
          <w:lang w:val="en-US" w:eastAsia="zh-CN"/>
        </w:rPr>
        <w:t>CsA</w:t>
      </w:r>
      <w:r>
        <w:rPr>
          <w:rFonts w:hint="default" w:ascii="Times New Roman" w:hAnsi="Times New Roman" w:cs="Times New Roman"/>
          <w:sz w:val="24"/>
          <w:szCs w:val="24"/>
          <w:lang w:eastAsia="zh-CN"/>
        </w:rPr>
        <w:t>）</w:t>
      </w:r>
      <w:r>
        <w:rPr>
          <w:rFonts w:hint="default" w:ascii="Times New Roman" w:hAnsi="Times New Roman" w:cs="Times New Roman"/>
          <w:sz w:val="24"/>
          <w:szCs w:val="24"/>
        </w:rPr>
        <w:t>离心一次（</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000 × g，</w:t>
      </w:r>
      <w:r>
        <w:rPr>
          <w:rFonts w:hint="default" w:ascii="Times New Roman" w:hAnsi="Times New Roman" w:cs="Times New Roman"/>
          <w:sz w:val="24"/>
          <w:szCs w:val="24"/>
          <w:lang w:val="en-US" w:eastAsia="zh-CN"/>
        </w:rPr>
        <w:t xml:space="preserve">10 </w:t>
      </w:r>
      <w:r>
        <w:rPr>
          <w:rFonts w:hint="default" w:ascii="Times New Roman" w:hAnsi="Times New Roman" w:cs="Times New Roman"/>
          <w:sz w:val="24"/>
          <w:szCs w:val="24"/>
        </w:rPr>
        <w:t>min）</w:t>
      </w:r>
      <w:r>
        <w:rPr>
          <w:rFonts w:hint="default" w:ascii="Times New Roman" w:hAnsi="Times New Roman" w:cs="Times New Roman"/>
          <w:i w:val="0"/>
          <w:iCs w:val="0"/>
          <w:sz w:val="24"/>
          <w:szCs w:val="24"/>
        </w:rPr>
        <w:t>，加入0.5 mL</w:t>
      </w:r>
      <w:r>
        <w:rPr>
          <w:rFonts w:hint="default" w:ascii="Times New Roman" w:hAnsi="Times New Roman" w:cs="Times New Roman"/>
          <w:i w:val="0"/>
          <w:iCs w:val="0"/>
          <w:sz w:val="24"/>
          <w:szCs w:val="24"/>
          <w:lang w:val="en-US" w:eastAsia="zh-CN"/>
        </w:rPr>
        <w:t>去离子水</w:t>
      </w:r>
      <w:r>
        <w:rPr>
          <w:rFonts w:hint="default" w:ascii="Times New Roman" w:hAnsi="Times New Roman" w:cs="Times New Roman"/>
          <w:i w:val="0"/>
          <w:iCs w:val="0"/>
          <w:sz w:val="24"/>
          <w:szCs w:val="24"/>
        </w:rPr>
        <w:t>冲洗一次，再加入0.5 mL</w:t>
      </w:r>
      <w:r>
        <w:rPr>
          <w:rFonts w:hint="default" w:ascii="Times New Roman" w:hAnsi="Times New Roman" w:cs="Times New Roman"/>
          <w:i w:val="0"/>
          <w:iCs w:val="0"/>
          <w:sz w:val="24"/>
          <w:szCs w:val="24"/>
          <w:lang w:val="en-US" w:eastAsia="zh-CN"/>
        </w:rPr>
        <w:t>去离子水</w:t>
      </w:r>
      <w:r>
        <w:rPr>
          <w:rFonts w:hint="default" w:ascii="Times New Roman" w:hAnsi="Times New Roman" w:cs="Times New Roman"/>
          <w:i w:val="0"/>
          <w:iCs w:val="0"/>
          <w:sz w:val="24"/>
          <w:szCs w:val="24"/>
        </w:rPr>
        <w:t>离心一次</w:t>
      </w:r>
      <w:r>
        <w:rPr>
          <w:rFonts w:hint="default" w:ascii="Times New Roman" w:hAnsi="Times New Roman" w:cs="Times New Roman"/>
          <w:i w:val="0"/>
          <w:iCs w:val="0"/>
          <w:sz w:val="24"/>
          <w:szCs w:val="24"/>
          <w:lang w:eastAsia="zh-CN"/>
        </w:rPr>
        <w:t>，枪头勿触碰滤膜，</w:t>
      </w:r>
      <w:r>
        <w:rPr>
          <w:rFonts w:hint="default" w:ascii="Times New Roman" w:hAnsi="Times New Roman" w:cs="Times New Roman"/>
          <w:i w:val="0"/>
          <w:iCs w:val="0"/>
          <w:sz w:val="24"/>
          <w:szCs w:val="24"/>
          <w:lang w:val="en-US" w:eastAsia="zh-CN"/>
        </w:rPr>
        <w:t>甩干</w:t>
      </w:r>
      <w:r>
        <w:rPr>
          <w:rFonts w:hint="default" w:ascii="Times New Roman" w:hAnsi="Times New Roman" w:cs="Times New Roman"/>
          <w:i w:val="0"/>
          <w:iCs w:val="0"/>
          <w:sz w:val="24"/>
          <w:szCs w:val="24"/>
        </w:rPr>
        <w:t>。</w:t>
      </w:r>
    </w:p>
    <w:p w14:paraId="1144A57E">
      <w:pPr>
        <w:pStyle w:val="41"/>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b</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3个平行样：</w:t>
      </w:r>
      <w:r>
        <w:rPr>
          <w:rFonts w:hint="default" w:ascii="Times New Roman" w:hAnsi="Times New Roman" w:cs="Times New Roman"/>
          <w:sz w:val="24"/>
          <w:szCs w:val="24"/>
        </w:rPr>
        <w:t>取环孢素纳米胶束</w:t>
      </w:r>
      <w:r>
        <w:rPr>
          <w:rFonts w:hint="default" w:ascii="Times New Roman" w:hAnsi="Times New Roman" w:cs="Times New Roman"/>
          <w:sz w:val="24"/>
          <w:szCs w:val="24"/>
          <w:lang w:eastAsia="zh-CN"/>
        </w:rPr>
        <w:t>制</w:t>
      </w:r>
      <w:r>
        <w:rPr>
          <w:rFonts w:hint="default" w:ascii="Times New Roman" w:hAnsi="Times New Roman" w:cs="Times New Roman"/>
          <w:color w:val="auto"/>
          <w:sz w:val="24"/>
          <w:szCs w:val="24"/>
          <w:lang w:eastAsia="zh-CN"/>
        </w:rPr>
        <w:t>剂</w:t>
      </w:r>
      <w:r>
        <w:rPr>
          <w:rFonts w:hint="default" w:ascii="Times New Roman" w:hAnsi="Times New Roman" w:cs="Times New Roman"/>
          <w:color w:val="auto"/>
          <w:sz w:val="24"/>
          <w:szCs w:val="24"/>
          <w:lang w:val="en-US" w:eastAsia="zh-CN"/>
        </w:rPr>
        <w:t>200 µL</w:t>
      </w:r>
      <w:r>
        <w:rPr>
          <w:rFonts w:hint="default" w:ascii="Times New Roman" w:hAnsi="Times New Roman" w:cs="Times New Roman"/>
          <w:sz w:val="24"/>
          <w:szCs w:val="24"/>
        </w:rPr>
        <w:t>置于超滤离心管中，进行超滤离心</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w:t>
      </w:r>
      <w:r>
        <w:rPr>
          <w:rFonts w:hint="default" w:ascii="Times New Roman" w:hAnsi="Times New Roman" w:cs="Times New Roman"/>
          <w:sz w:val="24"/>
          <w:szCs w:val="24"/>
          <w:lang w:eastAsia="zh-CN"/>
        </w:rPr>
        <w:t>下</w:t>
      </w:r>
      <w:r>
        <w:rPr>
          <w:rFonts w:hint="default" w:ascii="Times New Roman" w:hAnsi="Times New Roman" w:cs="Times New Roman"/>
          <w:sz w:val="24"/>
          <w:szCs w:val="24"/>
          <w:lang w:val="en-US" w:eastAsia="zh-CN"/>
        </w:rPr>
        <w:t>40</w:t>
      </w:r>
      <w:r>
        <w:rPr>
          <w:rFonts w:hint="default" w:ascii="Times New Roman" w:hAnsi="Times New Roman" w:cs="Times New Roman"/>
          <w:sz w:val="24"/>
          <w:szCs w:val="24"/>
        </w:rPr>
        <w:t>00</w:t>
      </w:r>
      <w:r>
        <w:rPr>
          <w:rFonts w:hint="default" w:ascii="Times New Roman" w:hAnsi="Times New Roman" w:cs="Times New Roman"/>
          <w:sz w:val="24"/>
          <w:szCs w:val="24"/>
          <w:lang w:val="en-US" w:eastAsia="zh-CN"/>
        </w:rPr>
        <w:t xml:space="preserve"> × </w:t>
      </w:r>
      <w:r>
        <w:rPr>
          <w:rFonts w:hint="default" w:ascii="Times New Roman" w:hAnsi="Times New Roman" w:cs="Times New Roman"/>
          <w:sz w:val="24"/>
          <w:szCs w:val="24"/>
        </w:rPr>
        <w:t>g</w:t>
      </w:r>
      <w:r>
        <w:rPr>
          <w:rFonts w:hint="default" w:ascii="Times New Roman" w:hAnsi="Times New Roman" w:cs="Times New Roman"/>
          <w:sz w:val="24"/>
          <w:szCs w:val="24"/>
          <w:lang w:eastAsia="zh-CN"/>
        </w:rPr>
        <w:t>离心</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0 min</w:t>
      </w:r>
      <w:r>
        <w:rPr>
          <w:rFonts w:hint="default" w:ascii="Times New Roman" w:hAnsi="Times New Roman" w:cs="Times New Roman"/>
          <w:sz w:val="24"/>
          <w:szCs w:val="24"/>
          <w:lang w:val="en-US" w:eastAsia="zh-CN"/>
        </w:rPr>
        <w:t xml:space="preserve"> 3次</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约</w:t>
      </w:r>
      <w:r>
        <w:rPr>
          <w:rFonts w:hint="default" w:ascii="Times New Roman" w:hAnsi="Times New Roman" w:cs="Times New Roman"/>
          <w:sz w:val="24"/>
          <w:szCs w:val="24"/>
          <w:lang w:eastAsia="zh-CN"/>
        </w:rPr>
        <w:t>有剩余</w:t>
      </w:r>
      <w:r>
        <w:rPr>
          <w:rFonts w:hint="default" w:ascii="Times New Roman" w:hAnsi="Times New Roman" w:cs="Times New Roman"/>
          <w:color w:val="auto"/>
          <w:sz w:val="24"/>
          <w:szCs w:val="24"/>
          <w:lang w:val="en-US" w:eastAsia="zh-CN"/>
        </w:rPr>
        <w:t>30 µL</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收集滤液。转移至自动进样瓶中</w:t>
      </w:r>
      <w:r>
        <w:rPr>
          <w:rFonts w:hint="default" w:ascii="Times New Roman" w:hAnsi="Times New Roman" w:cs="Times New Roman"/>
          <w:sz w:val="24"/>
          <w:szCs w:val="24"/>
        </w:rPr>
        <w:t>，按相同色谱条件检测该</w:t>
      </w:r>
      <w:r>
        <w:rPr>
          <w:rFonts w:hint="default" w:ascii="Times New Roman" w:hAnsi="Times New Roman" w:cs="Times New Roman"/>
          <w:sz w:val="24"/>
          <w:szCs w:val="24"/>
          <w:highlight w:val="none"/>
        </w:rPr>
        <w:t>下清溶液中</w:t>
      </w:r>
      <w:r>
        <w:rPr>
          <w:rFonts w:hint="default" w:ascii="Times New Roman" w:hAnsi="Times New Roman" w:cs="Times New Roman"/>
          <w:sz w:val="24"/>
          <w:szCs w:val="24"/>
        </w:rPr>
        <w:t>环孢素的含量，即游离有效成分的含量</w:t>
      </w:r>
      <w:r>
        <w:rPr>
          <w:rFonts w:hint="default" w:ascii="Times New Roman" w:hAnsi="Times New Roman" w:cs="Times New Roman"/>
          <w:sz w:val="24"/>
          <w:szCs w:val="24"/>
          <w:lang w:eastAsia="zh-CN"/>
        </w:rPr>
        <w:t>。</w:t>
      </w:r>
    </w:p>
    <w:p w14:paraId="63066F89">
      <w:pPr>
        <w:pStyle w:val="41"/>
        <w:keepNext w:val="0"/>
        <w:keepLines w:val="0"/>
        <w:pageBreakBefore w:val="0"/>
        <w:kinsoku/>
        <w:wordWrap/>
        <w:overflowPunct/>
        <w:topLinePunct w:val="0"/>
        <w:bidi w:val="0"/>
        <w:adjustRightInd/>
        <w:snapToGrid/>
        <w:spacing w:line="360" w:lineRule="auto"/>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e</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3个平行样：</w:t>
      </w:r>
      <w:r>
        <w:rPr>
          <w:rFonts w:hint="default" w:ascii="Times New Roman" w:hAnsi="Times New Roman" w:cs="Times New Roman"/>
          <w:sz w:val="24"/>
          <w:szCs w:val="24"/>
        </w:rPr>
        <w:t>取环孢素纳米胶束</w:t>
      </w:r>
      <w:r>
        <w:rPr>
          <w:rFonts w:hint="default" w:ascii="Times New Roman" w:hAnsi="Times New Roman" w:cs="Times New Roman"/>
          <w:sz w:val="24"/>
          <w:szCs w:val="24"/>
          <w:lang w:eastAsia="zh-CN"/>
        </w:rPr>
        <w:t>制</w:t>
      </w:r>
      <w:r>
        <w:rPr>
          <w:rFonts w:hint="default" w:ascii="Times New Roman" w:hAnsi="Times New Roman" w:cs="Times New Roman"/>
          <w:color w:val="auto"/>
          <w:sz w:val="24"/>
          <w:szCs w:val="24"/>
          <w:lang w:eastAsia="zh-CN"/>
        </w:rPr>
        <w:t>剂</w:t>
      </w:r>
      <w:r>
        <w:rPr>
          <w:rFonts w:hint="default" w:ascii="Times New Roman" w:hAnsi="Times New Roman" w:cs="Times New Roman"/>
          <w:color w:val="auto"/>
          <w:sz w:val="24"/>
          <w:szCs w:val="24"/>
          <w:lang w:val="en-US" w:eastAsia="zh-CN"/>
        </w:rPr>
        <w:t>20 µL</w:t>
      </w:r>
      <w:r>
        <w:rPr>
          <w:rFonts w:hint="default" w:ascii="Times New Roman" w:hAnsi="Times New Roman" w:cs="Times New Roman"/>
          <w:color w:val="auto"/>
          <w:sz w:val="24"/>
          <w:szCs w:val="24"/>
        </w:rPr>
        <w:t>，用稀释液稀释</w:t>
      </w:r>
      <w:r>
        <w:rPr>
          <w:rFonts w:hint="default" w:ascii="Times New Roman" w:hAnsi="Times New Roman" w:cs="Times New Roman"/>
          <w:color w:val="auto"/>
          <w:sz w:val="24"/>
          <w:szCs w:val="24"/>
          <w:lang w:val="en-US" w:eastAsia="zh-CN"/>
        </w:rPr>
        <w:t>15</w:t>
      </w:r>
      <w:r>
        <w:rPr>
          <w:rFonts w:hint="default" w:ascii="Times New Roman" w:hAnsi="Times New Roman" w:cs="Times New Roman"/>
          <w:color w:val="auto"/>
          <w:sz w:val="24"/>
          <w:szCs w:val="24"/>
        </w:rPr>
        <w:t>倍</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涡旋振荡1 min，超声10 min。取上清液</w:t>
      </w:r>
      <w:r>
        <w:rPr>
          <w:rFonts w:hint="default" w:ascii="Times New Roman" w:hAnsi="Times New Roman" w:cs="Times New Roman"/>
          <w:sz w:val="24"/>
          <w:szCs w:val="24"/>
        </w:rPr>
        <w:t>，进样检测该溶液中有效成分的总量。</w:t>
      </w:r>
    </w:p>
    <w:p w14:paraId="45B6EE16">
      <w:pPr>
        <w:numPr>
          <w:ilvl w:val="0"/>
          <w:numId w:val="0"/>
        </w:num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表3-1-1 </w:t>
      </w: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lang w:val="en-US" w:eastAsia="zh-CN"/>
        </w:rPr>
        <w:t>样品溶液的210 nm检测结果</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694"/>
        <w:gridCol w:w="1081"/>
        <w:gridCol w:w="1230"/>
        <w:gridCol w:w="1978"/>
        <w:gridCol w:w="1160"/>
        <w:gridCol w:w="1525"/>
      </w:tblGrid>
      <w:tr w14:paraId="4BF97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99" w:type="pct"/>
            <w:noWrap w:val="0"/>
            <w:vAlign w:val="center"/>
          </w:tcPr>
          <w:p w14:paraId="0BF15A3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样品</w:t>
            </w:r>
          </w:p>
          <w:p w14:paraId="2D2B86F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名称</w:t>
            </w:r>
          </w:p>
        </w:tc>
        <w:tc>
          <w:tcPr>
            <w:tcW w:w="407" w:type="pct"/>
            <w:noWrap w:val="0"/>
            <w:vAlign w:val="center"/>
          </w:tcPr>
          <w:p w14:paraId="7A38FF0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取样编号</w:t>
            </w:r>
          </w:p>
        </w:tc>
        <w:tc>
          <w:tcPr>
            <w:tcW w:w="634" w:type="pct"/>
            <w:noWrap w:val="0"/>
            <w:vAlign w:val="center"/>
          </w:tcPr>
          <w:p w14:paraId="6F37088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保留时间（min）</w:t>
            </w:r>
          </w:p>
        </w:tc>
        <w:tc>
          <w:tcPr>
            <w:tcW w:w="721" w:type="pct"/>
            <w:noWrap w:val="0"/>
            <w:vAlign w:val="center"/>
          </w:tcPr>
          <w:p w14:paraId="1F283BF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cs="Times New Roman"/>
                <w:b/>
                <w:bCs/>
                <w:sz w:val="21"/>
                <w:szCs w:val="21"/>
                <w:lang w:val="en-US" w:eastAsia="zh-CN"/>
              </w:rPr>
              <w:t>210 nm CsA 面积</w:t>
            </w:r>
          </w:p>
        </w:tc>
        <w:tc>
          <w:tcPr>
            <w:tcW w:w="1160" w:type="pct"/>
            <w:noWrap w:val="0"/>
            <w:vAlign w:val="center"/>
          </w:tcPr>
          <w:p w14:paraId="6E1E008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CsA</w:t>
            </w:r>
            <w:r>
              <w:rPr>
                <w:rFonts w:hint="default" w:ascii="Times New Roman" w:hAnsi="Times New Roman" w:cs="Times New Roman"/>
                <w:b/>
                <w:bCs/>
                <w:sz w:val="21"/>
                <w:szCs w:val="21"/>
                <w:vertAlign w:val="baseline"/>
                <w:lang w:val="en-US" w:eastAsia="zh-CN"/>
              </w:rPr>
              <w:t>的浓度（</w:t>
            </w:r>
            <w:r>
              <w:rPr>
                <w:rFonts w:hint="default" w:ascii="Times New Roman" w:hAnsi="Times New Roman" w:cs="Times New Roman"/>
                <w:b/>
                <w:i w:val="0"/>
                <w:iCs w:val="0"/>
                <w:sz w:val="21"/>
                <w:szCs w:val="21"/>
              </w:rPr>
              <w:t>μg/ml</w:t>
            </w:r>
            <w:r>
              <w:rPr>
                <w:rFonts w:hint="default" w:ascii="Times New Roman" w:hAnsi="Times New Roman" w:cs="Times New Roman"/>
                <w:b/>
                <w:bCs/>
                <w:sz w:val="21"/>
                <w:szCs w:val="21"/>
                <w:vertAlign w:val="baseline"/>
                <w:lang w:val="en-US" w:eastAsia="zh-CN"/>
              </w:rPr>
              <w:t>）</w:t>
            </w:r>
          </w:p>
        </w:tc>
        <w:tc>
          <w:tcPr>
            <w:tcW w:w="680" w:type="pct"/>
            <w:noWrap w:val="0"/>
            <w:vAlign w:val="center"/>
          </w:tcPr>
          <w:p w14:paraId="6A4E5F4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包封率</w:t>
            </w:r>
          </w:p>
          <w:p w14:paraId="366972D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w:t>
            </w:r>
          </w:p>
        </w:tc>
        <w:tc>
          <w:tcPr>
            <w:tcW w:w="894" w:type="pct"/>
            <w:noWrap w:val="0"/>
            <w:vAlign w:val="center"/>
          </w:tcPr>
          <w:p w14:paraId="4F37575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包封率</w:t>
            </w:r>
          </w:p>
          <w:p w14:paraId="5ABFF03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w:t>
            </w:r>
          </w:p>
          <w:p w14:paraId="3251B7C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标准偏差</w:t>
            </w:r>
          </w:p>
        </w:tc>
      </w:tr>
      <w:tr w14:paraId="7CF4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499" w:type="pct"/>
            <w:vMerge w:val="restart"/>
            <w:noWrap w:val="0"/>
            <w:vAlign w:val="center"/>
          </w:tcPr>
          <w:p w14:paraId="0ADF400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超滤滤液</w:t>
            </w:r>
          </w:p>
        </w:tc>
        <w:tc>
          <w:tcPr>
            <w:tcW w:w="407" w:type="pct"/>
            <w:noWrap w:val="0"/>
            <w:vAlign w:val="center"/>
          </w:tcPr>
          <w:p w14:paraId="382F2CC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w:t>
            </w:r>
          </w:p>
        </w:tc>
        <w:tc>
          <w:tcPr>
            <w:tcW w:w="634" w:type="pct"/>
            <w:noWrap w:val="0"/>
            <w:vAlign w:val="bottom"/>
          </w:tcPr>
          <w:p w14:paraId="10D4D6F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721" w:type="pct"/>
            <w:noWrap w:val="0"/>
            <w:vAlign w:val="bottom"/>
          </w:tcPr>
          <w:p w14:paraId="4263852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BQL</w:t>
            </w:r>
          </w:p>
        </w:tc>
        <w:tc>
          <w:tcPr>
            <w:tcW w:w="1160" w:type="pct"/>
            <w:noWrap w:val="0"/>
            <w:vAlign w:val="bottom"/>
          </w:tcPr>
          <w:p w14:paraId="1F52A11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&lt;1</w:t>
            </w:r>
            <w:r>
              <w:rPr>
                <w:rFonts w:hint="default" w:ascii="Times New Roman" w:hAnsi="Times New Roman" w:cs="Times New Roman"/>
                <w:sz w:val="21"/>
                <w:szCs w:val="21"/>
                <w:vertAlign w:val="baseline"/>
                <w:lang w:val="en-US" w:eastAsia="zh-CN"/>
              </w:rPr>
              <w:t>µ</w:t>
            </w:r>
            <w:r>
              <w:rPr>
                <w:rFonts w:hint="eastAsia" w:ascii="Times New Roman" w:hAnsi="Times New Roman" w:cs="Times New Roman"/>
                <w:sz w:val="21"/>
                <w:szCs w:val="21"/>
                <w:vertAlign w:val="baseline"/>
                <w:lang w:val="en-US" w:eastAsia="zh-CN"/>
              </w:rPr>
              <w:t>g/ml</w:t>
            </w:r>
          </w:p>
        </w:tc>
        <w:tc>
          <w:tcPr>
            <w:tcW w:w="680" w:type="pct"/>
            <w:noWrap w:val="0"/>
            <w:vAlign w:val="bottom"/>
          </w:tcPr>
          <w:p w14:paraId="09A0F08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&gt;99.9%</w:t>
            </w:r>
          </w:p>
        </w:tc>
        <w:tc>
          <w:tcPr>
            <w:tcW w:w="894" w:type="pct"/>
            <w:vMerge w:val="restart"/>
            <w:noWrap w:val="0"/>
            <w:vAlign w:val="center"/>
          </w:tcPr>
          <w:p w14:paraId="7E50305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r>
      <w:tr w14:paraId="18B57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99" w:type="pct"/>
            <w:vMerge w:val="continue"/>
            <w:noWrap w:val="0"/>
            <w:vAlign w:val="center"/>
          </w:tcPr>
          <w:p w14:paraId="05071FF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407" w:type="pct"/>
            <w:noWrap w:val="0"/>
            <w:vAlign w:val="center"/>
          </w:tcPr>
          <w:p w14:paraId="5A815F5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w:t>
            </w:r>
          </w:p>
        </w:tc>
        <w:tc>
          <w:tcPr>
            <w:tcW w:w="634" w:type="pct"/>
            <w:noWrap w:val="0"/>
            <w:vAlign w:val="bottom"/>
          </w:tcPr>
          <w:p w14:paraId="3C06904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721" w:type="pct"/>
            <w:noWrap w:val="0"/>
            <w:vAlign w:val="bottom"/>
          </w:tcPr>
          <w:p w14:paraId="3A7BA98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BQL</w:t>
            </w:r>
          </w:p>
        </w:tc>
        <w:tc>
          <w:tcPr>
            <w:tcW w:w="1160" w:type="pct"/>
            <w:noWrap w:val="0"/>
            <w:vAlign w:val="bottom"/>
          </w:tcPr>
          <w:p w14:paraId="3E70CCB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&lt;1</w:t>
            </w:r>
            <w:r>
              <w:rPr>
                <w:rFonts w:hint="default" w:ascii="Times New Roman" w:hAnsi="Times New Roman" w:cs="Times New Roman"/>
                <w:sz w:val="21"/>
                <w:szCs w:val="21"/>
                <w:vertAlign w:val="baseline"/>
                <w:lang w:val="en-US" w:eastAsia="zh-CN"/>
              </w:rPr>
              <w:t>µ</w:t>
            </w:r>
            <w:r>
              <w:rPr>
                <w:rFonts w:hint="eastAsia" w:ascii="Times New Roman" w:hAnsi="Times New Roman" w:cs="Times New Roman"/>
                <w:sz w:val="21"/>
                <w:szCs w:val="21"/>
                <w:vertAlign w:val="baseline"/>
                <w:lang w:val="en-US" w:eastAsia="zh-CN"/>
              </w:rPr>
              <w:t>g/ml</w:t>
            </w:r>
          </w:p>
        </w:tc>
        <w:tc>
          <w:tcPr>
            <w:tcW w:w="680" w:type="pct"/>
            <w:noWrap w:val="0"/>
            <w:vAlign w:val="bottom"/>
          </w:tcPr>
          <w:p w14:paraId="07C1E0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&gt;99.9%</w:t>
            </w:r>
          </w:p>
        </w:tc>
        <w:tc>
          <w:tcPr>
            <w:tcW w:w="894" w:type="pct"/>
            <w:vMerge w:val="continue"/>
            <w:noWrap w:val="0"/>
            <w:vAlign w:val="center"/>
          </w:tcPr>
          <w:p w14:paraId="59A3520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5D10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99" w:type="pct"/>
            <w:vMerge w:val="continue"/>
            <w:noWrap w:val="0"/>
            <w:vAlign w:val="center"/>
          </w:tcPr>
          <w:p w14:paraId="27B79E8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407" w:type="pct"/>
            <w:noWrap w:val="0"/>
            <w:vAlign w:val="center"/>
          </w:tcPr>
          <w:p w14:paraId="5FD7E14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w:t>
            </w:r>
          </w:p>
        </w:tc>
        <w:tc>
          <w:tcPr>
            <w:tcW w:w="634" w:type="pct"/>
            <w:noWrap w:val="0"/>
            <w:vAlign w:val="bottom"/>
          </w:tcPr>
          <w:p w14:paraId="7551037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721" w:type="pct"/>
            <w:noWrap w:val="0"/>
            <w:vAlign w:val="bottom"/>
          </w:tcPr>
          <w:p w14:paraId="470C184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BQL</w:t>
            </w:r>
          </w:p>
        </w:tc>
        <w:tc>
          <w:tcPr>
            <w:tcW w:w="1160" w:type="pct"/>
            <w:noWrap w:val="0"/>
            <w:vAlign w:val="bottom"/>
          </w:tcPr>
          <w:p w14:paraId="2A8B92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&lt;1</w:t>
            </w:r>
            <w:r>
              <w:rPr>
                <w:rFonts w:hint="default" w:ascii="Times New Roman" w:hAnsi="Times New Roman" w:cs="Times New Roman"/>
                <w:sz w:val="21"/>
                <w:szCs w:val="21"/>
                <w:vertAlign w:val="baseline"/>
                <w:lang w:val="en-US" w:eastAsia="zh-CN"/>
              </w:rPr>
              <w:t>µ</w:t>
            </w:r>
            <w:r>
              <w:rPr>
                <w:rFonts w:hint="eastAsia" w:ascii="Times New Roman" w:hAnsi="Times New Roman" w:cs="Times New Roman"/>
                <w:sz w:val="21"/>
                <w:szCs w:val="21"/>
                <w:vertAlign w:val="baseline"/>
                <w:lang w:val="en-US" w:eastAsia="zh-CN"/>
              </w:rPr>
              <w:t>g/ml</w:t>
            </w:r>
          </w:p>
        </w:tc>
        <w:tc>
          <w:tcPr>
            <w:tcW w:w="680" w:type="pct"/>
            <w:noWrap w:val="0"/>
            <w:vAlign w:val="bottom"/>
          </w:tcPr>
          <w:p w14:paraId="0DDB56D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&gt;99.9%</w:t>
            </w:r>
          </w:p>
        </w:tc>
        <w:tc>
          <w:tcPr>
            <w:tcW w:w="894" w:type="pct"/>
            <w:vMerge w:val="continue"/>
            <w:noWrap w:val="0"/>
            <w:vAlign w:val="center"/>
          </w:tcPr>
          <w:p w14:paraId="1B33321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52F6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99" w:type="pct"/>
            <w:vMerge w:val="restart"/>
            <w:noWrap w:val="0"/>
            <w:vAlign w:val="center"/>
          </w:tcPr>
          <w:p w14:paraId="3BA4C0B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rPr>
              <w:t>环孢素纳米胶束</w:t>
            </w:r>
            <w:r>
              <w:rPr>
                <w:rFonts w:hint="default" w:ascii="Times New Roman" w:hAnsi="Times New Roman" w:cs="Times New Roman"/>
                <w:sz w:val="21"/>
                <w:szCs w:val="21"/>
                <w:lang w:eastAsia="zh-CN"/>
              </w:rPr>
              <w:t>制</w:t>
            </w:r>
            <w:r>
              <w:rPr>
                <w:rFonts w:hint="default" w:ascii="Times New Roman" w:hAnsi="Times New Roman" w:cs="Times New Roman"/>
                <w:color w:val="auto"/>
                <w:sz w:val="21"/>
                <w:szCs w:val="21"/>
                <w:lang w:eastAsia="zh-CN"/>
              </w:rPr>
              <w:t>剂稀释</w:t>
            </w:r>
            <w:r>
              <w:rPr>
                <w:rFonts w:hint="default" w:ascii="Times New Roman" w:hAnsi="Times New Roman" w:eastAsia="宋体" w:cs="Times New Roman"/>
                <w:sz w:val="21"/>
                <w:szCs w:val="21"/>
                <w:vertAlign w:val="baseline"/>
                <w:lang w:val="en-US" w:eastAsia="zh-CN"/>
              </w:rPr>
              <w:t>15</w:t>
            </w:r>
            <w:r>
              <w:rPr>
                <w:rFonts w:hint="default" w:ascii="Times New Roman" w:hAnsi="Times New Roman" w:cs="Times New Roman"/>
                <w:color w:val="auto"/>
                <w:sz w:val="21"/>
                <w:szCs w:val="21"/>
                <w:lang w:val="en-US" w:eastAsia="zh-CN"/>
              </w:rPr>
              <w:t>倍</w:t>
            </w:r>
          </w:p>
        </w:tc>
        <w:tc>
          <w:tcPr>
            <w:tcW w:w="407" w:type="pct"/>
            <w:noWrap w:val="0"/>
            <w:vAlign w:val="center"/>
          </w:tcPr>
          <w:p w14:paraId="40F3B7C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1</w:t>
            </w:r>
          </w:p>
        </w:tc>
        <w:tc>
          <w:tcPr>
            <w:tcW w:w="634" w:type="pct"/>
            <w:noWrap w:val="0"/>
            <w:vAlign w:val="center"/>
          </w:tcPr>
          <w:p w14:paraId="2FCDE49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5.424</w:t>
            </w:r>
          </w:p>
        </w:tc>
        <w:tc>
          <w:tcPr>
            <w:tcW w:w="721" w:type="pct"/>
            <w:noWrap w:val="0"/>
            <w:vAlign w:val="center"/>
          </w:tcPr>
          <w:p w14:paraId="03723EC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520002</w:t>
            </w:r>
          </w:p>
        </w:tc>
        <w:tc>
          <w:tcPr>
            <w:tcW w:w="1160" w:type="pct"/>
            <w:noWrap w:val="0"/>
            <w:vAlign w:val="center"/>
          </w:tcPr>
          <w:p w14:paraId="20E761E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67.91*15=1018.65</w:t>
            </w:r>
          </w:p>
        </w:tc>
        <w:tc>
          <w:tcPr>
            <w:tcW w:w="680" w:type="pct"/>
            <w:noWrap w:val="0"/>
            <w:vAlign w:val="center"/>
          </w:tcPr>
          <w:p w14:paraId="73F7764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894" w:type="pct"/>
            <w:vMerge w:val="restart"/>
            <w:noWrap w:val="0"/>
            <w:vAlign w:val="center"/>
          </w:tcPr>
          <w:p w14:paraId="20FF93C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r>
      <w:tr w14:paraId="617F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99" w:type="pct"/>
            <w:vMerge w:val="continue"/>
            <w:noWrap w:val="0"/>
            <w:vAlign w:val="center"/>
          </w:tcPr>
          <w:p w14:paraId="2FDDA68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407" w:type="pct"/>
            <w:noWrap w:val="0"/>
            <w:vAlign w:val="center"/>
          </w:tcPr>
          <w:p w14:paraId="0CF82A2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2</w:t>
            </w:r>
          </w:p>
        </w:tc>
        <w:tc>
          <w:tcPr>
            <w:tcW w:w="634" w:type="pct"/>
            <w:noWrap w:val="0"/>
            <w:vAlign w:val="center"/>
          </w:tcPr>
          <w:p w14:paraId="01D33AE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5.435</w:t>
            </w:r>
          </w:p>
        </w:tc>
        <w:tc>
          <w:tcPr>
            <w:tcW w:w="721" w:type="pct"/>
            <w:noWrap w:val="0"/>
            <w:vAlign w:val="center"/>
          </w:tcPr>
          <w:p w14:paraId="2921B5F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525121</w:t>
            </w:r>
          </w:p>
        </w:tc>
        <w:tc>
          <w:tcPr>
            <w:tcW w:w="1160" w:type="pct"/>
            <w:noWrap w:val="0"/>
            <w:vAlign w:val="center"/>
          </w:tcPr>
          <w:p w14:paraId="43FAEEC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68.58*15=1028.7</w:t>
            </w:r>
          </w:p>
        </w:tc>
        <w:tc>
          <w:tcPr>
            <w:tcW w:w="680" w:type="pct"/>
            <w:noWrap w:val="0"/>
            <w:vAlign w:val="center"/>
          </w:tcPr>
          <w:p w14:paraId="2CF37AF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894" w:type="pct"/>
            <w:vMerge w:val="continue"/>
            <w:noWrap w:val="0"/>
            <w:vAlign w:val="center"/>
          </w:tcPr>
          <w:p w14:paraId="51192B7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10D4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99" w:type="pct"/>
            <w:vMerge w:val="continue"/>
            <w:noWrap w:val="0"/>
            <w:vAlign w:val="center"/>
          </w:tcPr>
          <w:p w14:paraId="4099E08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407" w:type="pct"/>
            <w:noWrap w:val="0"/>
            <w:vAlign w:val="center"/>
          </w:tcPr>
          <w:p w14:paraId="4909BC2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3</w:t>
            </w:r>
          </w:p>
        </w:tc>
        <w:tc>
          <w:tcPr>
            <w:tcW w:w="634" w:type="pct"/>
            <w:noWrap w:val="0"/>
            <w:vAlign w:val="center"/>
          </w:tcPr>
          <w:p w14:paraId="5994A3C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5.440</w:t>
            </w:r>
          </w:p>
        </w:tc>
        <w:tc>
          <w:tcPr>
            <w:tcW w:w="721" w:type="pct"/>
            <w:noWrap w:val="0"/>
            <w:vAlign w:val="center"/>
          </w:tcPr>
          <w:p w14:paraId="7AA0CAC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535012</w:t>
            </w:r>
          </w:p>
        </w:tc>
        <w:tc>
          <w:tcPr>
            <w:tcW w:w="1160" w:type="pct"/>
            <w:noWrap w:val="0"/>
            <w:vAlign w:val="center"/>
          </w:tcPr>
          <w:p w14:paraId="16101CC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69.87*15=1048.05</w:t>
            </w:r>
          </w:p>
        </w:tc>
        <w:tc>
          <w:tcPr>
            <w:tcW w:w="680" w:type="pct"/>
            <w:noWrap w:val="0"/>
            <w:vAlign w:val="center"/>
          </w:tcPr>
          <w:p w14:paraId="6984EFE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894" w:type="pct"/>
            <w:vMerge w:val="continue"/>
            <w:noWrap w:val="0"/>
            <w:vAlign w:val="center"/>
          </w:tcPr>
          <w:p w14:paraId="69ECFA5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bl>
    <w:p w14:paraId="66E315FD">
      <w:pPr>
        <w:pStyle w:val="41"/>
        <w:spacing w:line="360" w:lineRule="auto"/>
        <w:ind w:left="0" w:leftChars="0" w:firstLine="0" w:firstLineChars="0"/>
        <w:rPr>
          <w:rFonts w:hint="default" w:ascii="Times New Roman" w:hAnsi="Times New Roman" w:cs="Times New Roman"/>
          <w:sz w:val="21"/>
          <w:szCs w:val="21"/>
          <w:lang w:val="en-US" w:eastAsia="zh-CN"/>
        </w:rPr>
      </w:pPr>
      <w:r>
        <w:rPr>
          <w:rFonts w:hint="eastAsia" w:ascii="Times New Roman"/>
          <w:sz w:val="21"/>
          <w:szCs w:val="21"/>
          <w:lang w:val="en-US" w:eastAsia="zh-CN"/>
        </w:rPr>
        <w:t>注：“</w:t>
      </w:r>
      <w:r>
        <w:rPr>
          <w:rFonts w:hint="eastAsia" w:cs="Times New Roman"/>
          <w:sz w:val="21"/>
          <w:szCs w:val="21"/>
          <w:vertAlign w:val="baseline"/>
          <w:lang w:val="en-US" w:eastAsia="zh-CN"/>
        </w:rPr>
        <w:t>BQL</w:t>
      </w:r>
      <w:r>
        <w:rPr>
          <w:rFonts w:hint="eastAsia" w:ascii="Times New Roman"/>
          <w:sz w:val="21"/>
          <w:szCs w:val="21"/>
          <w:lang w:val="en-US" w:eastAsia="zh-CN"/>
        </w:rPr>
        <w:t>”表示检测结果小于定</w:t>
      </w:r>
      <w:r>
        <w:rPr>
          <w:rFonts w:hint="default" w:ascii="Times New Roman" w:hAnsi="Times New Roman" w:cs="Times New Roman"/>
          <w:sz w:val="21"/>
          <w:szCs w:val="21"/>
          <w:lang w:val="en-US" w:eastAsia="zh-CN"/>
        </w:rPr>
        <w:t>量下限（1μg/ml）。</w:t>
      </w:r>
    </w:p>
    <w:p w14:paraId="441DF745">
      <w:pPr>
        <w:jc w:val="center"/>
        <w:rPr>
          <w:rFonts w:hint="eastAsia"/>
          <w:b/>
          <w:bCs/>
        </w:rPr>
      </w:pPr>
      <w:r>
        <w:rPr>
          <w:rFonts w:hint="eastAsia"/>
          <w:b/>
          <w:bCs/>
          <w:szCs w:val="24"/>
        </w:rPr>
        <w:t>表</w:t>
      </w:r>
      <w:r>
        <w:rPr>
          <w:rFonts w:hint="default" w:ascii="Times New Roman" w:hAnsi="Times New Roman" w:cs="Times New Roman"/>
          <w:b/>
          <w:bCs/>
          <w:szCs w:val="24"/>
        </w:rPr>
        <w:t>3-1-</w:t>
      </w:r>
      <w:r>
        <w:rPr>
          <w:rFonts w:hint="eastAsia" w:ascii="Times New Roman" w:hAnsi="Times New Roman" w:cs="Times New Roman"/>
          <w:b/>
          <w:bCs/>
          <w:szCs w:val="24"/>
          <w:lang w:val="en-US" w:eastAsia="zh-CN"/>
        </w:rPr>
        <w:t>2</w:t>
      </w:r>
      <w:r>
        <w:rPr>
          <w:rFonts w:hint="default" w:ascii="Times New Roman" w:hAnsi="Times New Roman" w:cs="Times New Roman"/>
          <w:b/>
          <w:bCs/>
          <w:szCs w:val="24"/>
        </w:rPr>
        <w:t xml:space="preserve"> </w:t>
      </w:r>
      <w:r>
        <w:rPr>
          <w:rFonts w:hint="eastAsia" w:ascii="Times New Roman" w:hAnsi="Times New Roman" w:cs="Times New Roman"/>
          <w:b/>
          <w:bCs/>
          <w:szCs w:val="24"/>
          <w:lang w:val="en-US" w:eastAsia="zh-CN"/>
        </w:rPr>
        <w:t>实验室2</w:t>
      </w:r>
      <w:r>
        <w:rPr>
          <w:rFonts w:hint="eastAsia"/>
          <w:b/>
          <w:bCs/>
          <w:szCs w:val="24"/>
        </w:rPr>
        <w:t>样品溶液检测结果</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779"/>
        <w:gridCol w:w="865"/>
        <w:gridCol w:w="960"/>
        <w:gridCol w:w="899"/>
        <w:gridCol w:w="1165"/>
        <w:gridCol w:w="911"/>
        <w:gridCol w:w="864"/>
        <w:gridCol w:w="784"/>
      </w:tblGrid>
      <w:tr w14:paraId="42A2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56" w:type="pct"/>
            <w:noWrap w:val="0"/>
            <w:vAlign w:val="center"/>
          </w:tcPr>
          <w:p w14:paraId="47BCF9A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样品</w:t>
            </w:r>
          </w:p>
          <w:p w14:paraId="1E2A518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名称</w:t>
            </w:r>
          </w:p>
        </w:tc>
        <w:tc>
          <w:tcPr>
            <w:tcW w:w="457" w:type="pct"/>
            <w:noWrap w:val="0"/>
            <w:vAlign w:val="center"/>
          </w:tcPr>
          <w:p w14:paraId="342B3A7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取样编号</w:t>
            </w:r>
          </w:p>
        </w:tc>
        <w:tc>
          <w:tcPr>
            <w:tcW w:w="507" w:type="pct"/>
            <w:noWrap w:val="0"/>
            <w:vAlign w:val="center"/>
          </w:tcPr>
          <w:p w14:paraId="4302137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进样量</w:t>
            </w:r>
          </w:p>
          <w:p w14:paraId="6907A49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Cs w:val="24"/>
              </w:rPr>
              <w:t>（μl）</w:t>
            </w:r>
          </w:p>
        </w:tc>
        <w:tc>
          <w:tcPr>
            <w:tcW w:w="563" w:type="pct"/>
            <w:noWrap w:val="0"/>
            <w:vAlign w:val="center"/>
          </w:tcPr>
          <w:p w14:paraId="2167BA1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保留</w:t>
            </w:r>
          </w:p>
          <w:p w14:paraId="4AA11AE8">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时间（min）</w:t>
            </w:r>
          </w:p>
        </w:tc>
        <w:tc>
          <w:tcPr>
            <w:tcW w:w="528" w:type="pct"/>
            <w:noWrap w:val="0"/>
            <w:vAlign w:val="center"/>
          </w:tcPr>
          <w:p w14:paraId="5FEF960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CsA峰面积</w:t>
            </w:r>
          </w:p>
        </w:tc>
        <w:tc>
          <w:tcPr>
            <w:tcW w:w="683" w:type="pct"/>
            <w:noWrap w:val="0"/>
            <w:vAlign w:val="center"/>
          </w:tcPr>
          <w:p w14:paraId="102CE2E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CsA浓度（mg/L）</w:t>
            </w:r>
          </w:p>
        </w:tc>
        <w:tc>
          <w:tcPr>
            <w:tcW w:w="535" w:type="pct"/>
            <w:noWrap w:val="0"/>
            <w:vAlign w:val="center"/>
          </w:tcPr>
          <w:p w14:paraId="6CEEE2B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包封率</w:t>
            </w:r>
          </w:p>
          <w:p w14:paraId="765F32C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w:t>
            </w:r>
          </w:p>
        </w:tc>
        <w:tc>
          <w:tcPr>
            <w:tcW w:w="507" w:type="pct"/>
            <w:noWrap w:val="0"/>
            <w:vAlign w:val="center"/>
          </w:tcPr>
          <w:p w14:paraId="74BC3C0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平均值（%）</w:t>
            </w:r>
          </w:p>
        </w:tc>
        <w:tc>
          <w:tcPr>
            <w:tcW w:w="460" w:type="pct"/>
            <w:noWrap w:val="0"/>
            <w:vAlign w:val="center"/>
          </w:tcPr>
          <w:p w14:paraId="51A00138">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RSD</w:t>
            </w:r>
          </w:p>
          <w:p w14:paraId="23AB443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rPr>
            </w:pPr>
            <w:r>
              <w:rPr>
                <w:rFonts w:hint="default" w:ascii="Times New Roman" w:hAnsi="Times New Roman" w:cs="Times New Roman"/>
                <w:b/>
                <w:bCs/>
                <w:sz w:val="21"/>
                <w:szCs w:val="21"/>
              </w:rPr>
              <w:t>（%）</w:t>
            </w:r>
          </w:p>
        </w:tc>
      </w:tr>
      <w:tr w14:paraId="0990B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pct"/>
            <w:vMerge w:val="restart"/>
            <w:noWrap w:val="0"/>
            <w:vAlign w:val="center"/>
          </w:tcPr>
          <w:p w14:paraId="270A8F5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超滤滤液</w:t>
            </w:r>
          </w:p>
        </w:tc>
        <w:tc>
          <w:tcPr>
            <w:tcW w:w="457" w:type="pct"/>
            <w:noWrap w:val="0"/>
            <w:vAlign w:val="center"/>
          </w:tcPr>
          <w:p w14:paraId="0F0DD33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w:t>
            </w:r>
          </w:p>
        </w:tc>
        <w:tc>
          <w:tcPr>
            <w:tcW w:w="507" w:type="pct"/>
            <w:noWrap w:val="0"/>
            <w:vAlign w:val="center"/>
          </w:tcPr>
          <w:p w14:paraId="502148F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563" w:type="pct"/>
            <w:noWrap w:val="0"/>
            <w:vAlign w:val="center"/>
          </w:tcPr>
          <w:p w14:paraId="4A7266C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4.780</w:t>
            </w:r>
          </w:p>
        </w:tc>
        <w:tc>
          <w:tcPr>
            <w:tcW w:w="528" w:type="pct"/>
            <w:noWrap w:val="0"/>
            <w:vAlign w:val="center"/>
          </w:tcPr>
          <w:p w14:paraId="2E2E802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5456</w:t>
            </w:r>
          </w:p>
        </w:tc>
        <w:tc>
          <w:tcPr>
            <w:tcW w:w="683" w:type="pct"/>
            <w:noWrap w:val="0"/>
            <w:vAlign w:val="center"/>
          </w:tcPr>
          <w:p w14:paraId="345184F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0.158</w:t>
            </w:r>
          </w:p>
        </w:tc>
        <w:tc>
          <w:tcPr>
            <w:tcW w:w="535" w:type="pct"/>
            <w:noWrap w:val="0"/>
            <w:vAlign w:val="center"/>
          </w:tcPr>
          <w:p w14:paraId="356A3C2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99.99</w:t>
            </w:r>
          </w:p>
        </w:tc>
        <w:tc>
          <w:tcPr>
            <w:tcW w:w="507" w:type="pct"/>
            <w:vMerge w:val="restart"/>
            <w:noWrap w:val="0"/>
            <w:vAlign w:val="center"/>
          </w:tcPr>
          <w:p w14:paraId="7506BFE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99.98</w:t>
            </w:r>
          </w:p>
        </w:tc>
        <w:tc>
          <w:tcPr>
            <w:tcW w:w="460" w:type="pct"/>
            <w:vMerge w:val="restart"/>
            <w:noWrap w:val="0"/>
            <w:vAlign w:val="center"/>
          </w:tcPr>
          <w:p w14:paraId="6E68F9A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0.1</w:t>
            </w:r>
          </w:p>
        </w:tc>
      </w:tr>
      <w:tr w14:paraId="24957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pct"/>
            <w:vMerge w:val="continue"/>
            <w:noWrap w:val="0"/>
            <w:vAlign w:val="center"/>
          </w:tcPr>
          <w:p w14:paraId="1C82A94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c>
          <w:tcPr>
            <w:tcW w:w="457" w:type="pct"/>
            <w:noWrap w:val="0"/>
            <w:vAlign w:val="center"/>
          </w:tcPr>
          <w:p w14:paraId="41D91BF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507" w:type="pct"/>
            <w:noWrap w:val="0"/>
            <w:vAlign w:val="center"/>
          </w:tcPr>
          <w:p w14:paraId="2367DC3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563" w:type="pct"/>
            <w:noWrap w:val="0"/>
            <w:vAlign w:val="center"/>
          </w:tcPr>
          <w:p w14:paraId="7CF5AFF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4.787</w:t>
            </w:r>
          </w:p>
        </w:tc>
        <w:tc>
          <w:tcPr>
            <w:tcW w:w="528" w:type="pct"/>
            <w:noWrap w:val="0"/>
            <w:vAlign w:val="center"/>
          </w:tcPr>
          <w:p w14:paraId="5E69590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1191</w:t>
            </w:r>
          </w:p>
        </w:tc>
        <w:tc>
          <w:tcPr>
            <w:tcW w:w="683" w:type="pct"/>
            <w:noWrap w:val="0"/>
            <w:vAlign w:val="center"/>
          </w:tcPr>
          <w:p w14:paraId="66D3B43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0.053</w:t>
            </w:r>
          </w:p>
        </w:tc>
        <w:tc>
          <w:tcPr>
            <w:tcW w:w="535" w:type="pct"/>
            <w:noWrap w:val="0"/>
            <w:vAlign w:val="center"/>
          </w:tcPr>
          <w:p w14:paraId="28C6540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100.00</w:t>
            </w:r>
          </w:p>
        </w:tc>
        <w:tc>
          <w:tcPr>
            <w:tcW w:w="507" w:type="pct"/>
            <w:vMerge w:val="continue"/>
            <w:noWrap w:val="0"/>
            <w:vAlign w:val="center"/>
          </w:tcPr>
          <w:p w14:paraId="1E54962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c>
          <w:tcPr>
            <w:tcW w:w="460" w:type="pct"/>
            <w:vMerge w:val="continue"/>
            <w:noWrap w:val="0"/>
            <w:vAlign w:val="center"/>
          </w:tcPr>
          <w:p w14:paraId="7BFC595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r>
      <w:tr w14:paraId="4C98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pct"/>
            <w:vMerge w:val="continue"/>
            <w:noWrap w:val="0"/>
            <w:vAlign w:val="center"/>
          </w:tcPr>
          <w:p w14:paraId="291AC10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c>
          <w:tcPr>
            <w:tcW w:w="457" w:type="pct"/>
            <w:noWrap w:val="0"/>
            <w:vAlign w:val="center"/>
          </w:tcPr>
          <w:p w14:paraId="37DF25A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3</w:t>
            </w:r>
          </w:p>
        </w:tc>
        <w:tc>
          <w:tcPr>
            <w:tcW w:w="507" w:type="pct"/>
            <w:noWrap w:val="0"/>
            <w:vAlign w:val="center"/>
          </w:tcPr>
          <w:p w14:paraId="2D7E9BC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563" w:type="pct"/>
            <w:noWrap w:val="0"/>
            <w:vAlign w:val="center"/>
          </w:tcPr>
          <w:p w14:paraId="62A6DE6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4.785</w:t>
            </w:r>
          </w:p>
        </w:tc>
        <w:tc>
          <w:tcPr>
            <w:tcW w:w="528" w:type="pct"/>
            <w:noWrap w:val="0"/>
            <w:vAlign w:val="center"/>
          </w:tcPr>
          <w:p w14:paraId="04CC954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12504</w:t>
            </w:r>
          </w:p>
        </w:tc>
        <w:tc>
          <w:tcPr>
            <w:tcW w:w="683" w:type="pct"/>
            <w:noWrap w:val="0"/>
            <w:vAlign w:val="center"/>
          </w:tcPr>
          <w:p w14:paraId="5A0F245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0.332</w:t>
            </w:r>
          </w:p>
        </w:tc>
        <w:tc>
          <w:tcPr>
            <w:tcW w:w="535" w:type="pct"/>
            <w:noWrap w:val="0"/>
            <w:vAlign w:val="center"/>
          </w:tcPr>
          <w:p w14:paraId="5EF8A43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99.97</w:t>
            </w:r>
          </w:p>
        </w:tc>
        <w:tc>
          <w:tcPr>
            <w:tcW w:w="507" w:type="pct"/>
            <w:vMerge w:val="continue"/>
            <w:noWrap w:val="0"/>
            <w:vAlign w:val="center"/>
          </w:tcPr>
          <w:p w14:paraId="4C4712F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c>
          <w:tcPr>
            <w:tcW w:w="460" w:type="pct"/>
            <w:vMerge w:val="continue"/>
            <w:noWrap w:val="0"/>
            <w:vAlign w:val="center"/>
          </w:tcPr>
          <w:p w14:paraId="595D119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r>
      <w:tr w14:paraId="14857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pct"/>
            <w:vMerge w:val="restart"/>
            <w:noWrap w:val="0"/>
            <w:vAlign w:val="center"/>
          </w:tcPr>
          <w:p w14:paraId="58B54F6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环孢素纳米胶束制剂稀释50倍</w:t>
            </w:r>
          </w:p>
        </w:tc>
        <w:tc>
          <w:tcPr>
            <w:tcW w:w="457" w:type="pct"/>
            <w:noWrap w:val="0"/>
            <w:vAlign w:val="center"/>
          </w:tcPr>
          <w:p w14:paraId="2035757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w:t>
            </w:r>
          </w:p>
        </w:tc>
        <w:tc>
          <w:tcPr>
            <w:tcW w:w="507" w:type="pct"/>
            <w:noWrap w:val="0"/>
            <w:vAlign w:val="center"/>
          </w:tcPr>
          <w:p w14:paraId="08A9616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563" w:type="pct"/>
            <w:noWrap w:val="0"/>
            <w:vAlign w:val="center"/>
          </w:tcPr>
          <w:p w14:paraId="10BE4A8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4.738</w:t>
            </w:r>
          </w:p>
        </w:tc>
        <w:tc>
          <w:tcPr>
            <w:tcW w:w="528" w:type="pct"/>
            <w:noWrap w:val="0"/>
            <w:vAlign w:val="center"/>
          </w:tcPr>
          <w:p w14:paraId="541BD1A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169446</w:t>
            </w:r>
          </w:p>
        </w:tc>
        <w:tc>
          <w:tcPr>
            <w:tcW w:w="683" w:type="pct"/>
            <w:noWrap w:val="0"/>
            <w:vAlign w:val="center"/>
          </w:tcPr>
          <w:p w14:paraId="4364D39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1052.15</w:t>
            </w:r>
          </w:p>
        </w:tc>
        <w:tc>
          <w:tcPr>
            <w:tcW w:w="535" w:type="pct"/>
            <w:noWrap w:val="0"/>
            <w:vAlign w:val="center"/>
          </w:tcPr>
          <w:p w14:paraId="28F3604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w:t>
            </w:r>
          </w:p>
        </w:tc>
        <w:tc>
          <w:tcPr>
            <w:tcW w:w="507" w:type="pct"/>
            <w:vMerge w:val="restart"/>
            <w:noWrap w:val="0"/>
            <w:vAlign w:val="center"/>
          </w:tcPr>
          <w:p w14:paraId="6F875F7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w:t>
            </w:r>
          </w:p>
        </w:tc>
        <w:tc>
          <w:tcPr>
            <w:tcW w:w="460" w:type="pct"/>
            <w:noWrap w:val="0"/>
            <w:vAlign w:val="center"/>
          </w:tcPr>
          <w:p w14:paraId="42570E6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1246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pct"/>
            <w:vMerge w:val="continue"/>
            <w:noWrap w:val="0"/>
            <w:vAlign w:val="center"/>
          </w:tcPr>
          <w:p w14:paraId="5A3ED30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c>
          <w:tcPr>
            <w:tcW w:w="457" w:type="pct"/>
            <w:noWrap w:val="0"/>
            <w:vAlign w:val="center"/>
          </w:tcPr>
          <w:p w14:paraId="206C453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507" w:type="pct"/>
            <w:noWrap w:val="0"/>
            <w:vAlign w:val="center"/>
          </w:tcPr>
          <w:p w14:paraId="7ED3E53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563" w:type="pct"/>
            <w:noWrap w:val="0"/>
            <w:vAlign w:val="center"/>
          </w:tcPr>
          <w:p w14:paraId="3BD3BC4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4.738</w:t>
            </w:r>
          </w:p>
        </w:tc>
        <w:tc>
          <w:tcPr>
            <w:tcW w:w="528" w:type="pct"/>
            <w:noWrap w:val="0"/>
            <w:vAlign w:val="center"/>
          </w:tcPr>
          <w:p w14:paraId="34B7BF9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168842</w:t>
            </w:r>
          </w:p>
        </w:tc>
        <w:tc>
          <w:tcPr>
            <w:tcW w:w="683" w:type="pct"/>
            <w:noWrap w:val="0"/>
            <w:vAlign w:val="center"/>
          </w:tcPr>
          <w:p w14:paraId="5E5E29B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1048.42</w:t>
            </w:r>
          </w:p>
        </w:tc>
        <w:tc>
          <w:tcPr>
            <w:tcW w:w="535" w:type="pct"/>
            <w:noWrap w:val="0"/>
            <w:vAlign w:val="center"/>
          </w:tcPr>
          <w:p w14:paraId="7A8EB51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w:t>
            </w:r>
          </w:p>
        </w:tc>
        <w:tc>
          <w:tcPr>
            <w:tcW w:w="507" w:type="pct"/>
            <w:vMerge w:val="continue"/>
            <w:noWrap w:val="0"/>
            <w:vAlign w:val="center"/>
          </w:tcPr>
          <w:p w14:paraId="1C91DB7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c>
          <w:tcPr>
            <w:tcW w:w="460" w:type="pct"/>
            <w:noWrap w:val="0"/>
            <w:vAlign w:val="center"/>
          </w:tcPr>
          <w:p w14:paraId="3FDBCD7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25B2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56" w:type="pct"/>
            <w:vMerge w:val="continue"/>
            <w:noWrap w:val="0"/>
            <w:vAlign w:val="center"/>
          </w:tcPr>
          <w:p w14:paraId="5B3C329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c>
          <w:tcPr>
            <w:tcW w:w="457" w:type="pct"/>
            <w:noWrap w:val="0"/>
            <w:vAlign w:val="center"/>
          </w:tcPr>
          <w:p w14:paraId="5311355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3</w:t>
            </w:r>
          </w:p>
        </w:tc>
        <w:tc>
          <w:tcPr>
            <w:tcW w:w="507" w:type="pct"/>
            <w:noWrap w:val="0"/>
            <w:vAlign w:val="center"/>
          </w:tcPr>
          <w:p w14:paraId="3BDF4E7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563" w:type="pct"/>
            <w:noWrap w:val="0"/>
            <w:vAlign w:val="center"/>
          </w:tcPr>
          <w:p w14:paraId="08DB1E7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4.737</w:t>
            </w:r>
          </w:p>
        </w:tc>
        <w:tc>
          <w:tcPr>
            <w:tcW w:w="528" w:type="pct"/>
            <w:noWrap w:val="0"/>
            <w:vAlign w:val="center"/>
          </w:tcPr>
          <w:p w14:paraId="19A2113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170458</w:t>
            </w:r>
          </w:p>
        </w:tc>
        <w:tc>
          <w:tcPr>
            <w:tcW w:w="683" w:type="pct"/>
            <w:noWrap w:val="0"/>
            <w:vAlign w:val="center"/>
          </w:tcPr>
          <w:p w14:paraId="1268E46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1058.40</w:t>
            </w:r>
          </w:p>
        </w:tc>
        <w:tc>
          <w:tcPr>
            <w:tcW w:w="535" w:type="pct"/>
            <w:noWrap w:val="0"/>
            <w:vAlign w:val="center"/>
          </w:tcPr>
          <w:p w14:paraId="7803342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w:t>
            </w:r>
          </w:p>
        </w:tc>
        <w:tc>
          <w:tcPr>
            <w:tcW w:w="507" w:type="pct"/>
            <w:vMerge w:val="continue"/>
            <w:noWrap w:val="0"/>
            <w:vAlign w:val="center"/>
          </w:tcPr>
          <w:p w14:paraId="6E2E001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p>
        </w:tc>
        <w:tc>
          <w:tcPr>
            <w:tcW w:w="460" w:type="pct"/>
            <w:noWrap w:val="0"/>
            <w:vAlign w:val="center"/>
          </w:tcPr>
          <w:p w14:paraId="757EDD5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bl>
    <w:p w14:paraId="7F65F19C">
      <w:pPr>
        <w:pStyle w:val="41"/>
        <w:ind w:firstLine="0" w:firstLineChars="0"/>
        <w:rPr>
          <w:rFonts w:ascii="Times New Roman"/>
          <w:sz w:val="18"/>
          <w:szCs w:val="18"/>
        </w:rPr>
      </w:pPr>
      <w:r>
        <w:rPr>
          <w:rFonts w:hint="eastAsia" w:ascii="Times New Roman"/>
          <w:sz w:val="18"/>
          <w:szCs w:val="18"/>
        </w:rPr>
        <w:t>注：滤液响应过低，调整进样量至仪器的最大量，1和3号样品满足定量要求，2号样品响应仍低于定量限</w:t>
      </w:r>
    </w:p>
    <w:p w14:paraId="368DF5FF">
      <w:pPr>
        <w:pStyle w:val="41"/>
        <w:spacing w:line="360" w:lineRule="auto"/>
        <w:ind w:left="0" w:leftChars="0" w:firstLine="0" w:firstLineChars="0"/>
        <w:rPr>
          <w:rFonts w:hint="default" w:ascii="Times New Roman" w:hAnsi="Times New Roman" w:cs="Times New Roman"/>
          <w:sz w:val="21"/>
          <w:szCs w:val="21"/>
          <w:lang w:val="en-US" w:eastAsia="zh-CN"/>
        </w:rPr>
      </w:pPr>
    </w:p>
    <w:p w14:paraId="1327D71D">
      <w:pPr>
        <w:pStyle w:val="53"/>
        <w:keepNext w:val="0"/>
        <w:keepLines w:val="0"/>
        <w:pageBreakBefore w:val="0"/>
        <w:kinsoku/>
        <w:wordWrap/>
        <w:overflowPunct/>
        <w:topLinePunct w:val="0"/>
        <w:bidi w:val="0"/>
        <w:adjustRightInd/>
        <w:snapToGrid/>
        <w:spacing w:line="360" w:lineRule="auto"/>
        <w:textAlignment w:val="auto"/>
        <w:outlineLvl w:val="2"/>
        <w:rPr>
          <w:rFonts w:hint="default" w:ascii="Times New Roman" w:hAnsi="Times New Roman" w:cs="Times New Roman"/>
          <w:sz w:val="24"/>
          <w:szCs w:val="24"/>
        </w:rPr>
      </w:pPr>
      <w:bookmarkStart w:id="22" w:name="_Toc236"/>
      <w:bookmarkStart w:id="23" w:name="_Toc3157"/>
      <w:r>
        <w:rPr>
          <w:rFonts w:hint="default" w:ascii="Times New Roman" w:hAnsi="Times New Roman" w:cs="Times New Roman"/>
          <w:sz w:val="24"/>
          <w:szCs w:val="24"/>
        </w:rPr>
        <w:t>3.1.3 验证结果计算</w:t>
      </w:r>
      <w:bookmarkEnd w:id="22"/>
      <w:bookmarkEnd w:id="23"/>
    </w:p>
    <w:p w14:paraId="53C75FDD">
      <w:pPr>
        <w:pStyle w:val="41"/>
        <w:keepNext w:val="0"/>
        <w:keepLines w:val="0"/>
        <w:pageBreakBefore w:val="0"/>
        <w:kinsoku/>
        <w:wordWrap/>
        <w:overflowPunct/>
        <w:topLinePunct w:val="0"/>
        <w:bidi w:val="0"/>
        <w:adjustRightInd/>
        <w:snapToGrid/>
        <w:spacing w:line="360" w:lineRule="auto"/>
        <w:ind w:firstLine="42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根据包封率计算公式计算</w:t>
      </w:r>
      <w:r>
        <w:rPr>
          <w:rFonts w:hint="default" w:ascii="Times New Roman" w:hAnsi="Times New Roman" w:cs="Times New Roman"/>
          <w:color w:val="auto"/>
          <w:sz w:val="24"/>
          <w:szCs w:val="24"/>
          <w:highlight w:val="none"/>
        </w:rPr>
        <w:t>有效成分</w:t>
      </w:r>
      <w:r>
        <w:rPr>
          <w:rFonts w:hint="default" w:ascii="Times New Roman" w:hAnsi="Times New Roman" w:cs="Times New Roman"/>
          <w:sz w:val="24"/>
          <w:szCs w:val="24"/>
        </w:rPr>
        <w:t>包封率：</w:t>
      </w:r>
    </w:p>
    <w:p w14:paraId="5F1C16A0">
      <w:pPr>
        <w:pStyle w:val="41"/>
        <w:ind w:firstLine="420"/>
        <w:jc w:val="center"/>
        <w:rPr>
          <w:rFonts w:hAnsi="Cambria Math" w:cs="Cambria Math"/>
          <w:b w:val="0"/>
          <w:i w:val="0"/>
          <w:color w:val="0000FF"/>
        </w:rPr>
      </w:pPr>
      <m:oMathPara>
        <m:oMath>
          <m:r>
            <m:rPr>
              <m:sty m:val="p"/>
            </m:rPr>
            <w:rPr>
              <w:rFonts w:hint="default" w:ascii="Cambria Math" w:hAnsi="Cambria Math"/>
              <w:color w:val="auto"/>
              <w:lang w:val="en-US" w:eastAsia="zh-CN"/>
            </w:rPr>
            <m:t>EE</m:t>
          </m:r>
          <m:r>
            <m:rPr>
              <m:sty m:val="p"/>
            </m:rPr>
            <w:rPr>
              <w:rFonts w:hint="default" w:ascii="Cambria Math" w:hAnsi="Cambria Math"/>
              <w:color w:val="auto"/>
            </w:rPr>
            <m:t>=</m:t>
          </m:r>
          <m:f>
            <m:fPr>
              <m:ctrlPr>
                <w:rPr>
                  <w:rFonts w:hint="default" w:ascii="Cambria Math" w:hAnsi="Cambria Math" w:cs="Cambria Math"/>
                  <w:b w:val="0"/>
                  <w:i w:val="0"/>
                  <w:color w:val="auto"/>
                  <w:sz w:val="21"/>
                  <w:lang w:val="en-US" w:eastAsia="zh-CN" w:bidi="ar-SA"/>
                </w:rPr>
              </m:ctrlPr>
            </m:fPr>
            <m:num>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E</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num>
            <m:den>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total</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den>
          </m:f>
          <m:r>
            <m:rPr>
              <m:sty m:val="p"/>
            </m:rPr>
            <w:rPr>
              <w:rFonts w:hint="default" w:ascii="Cambria Math" w:hAnsi="Cambria Math" w:cs="Cambria Math"/>
              <w:color w:val="auto"/>
            </w:rPr>
            <m:t>×</m:t>
          </m:r>
          <m:r>
            <m:rPr>
              <m:sty m:val="p"/>
            </m:rPr>
            <w:rPr>
              <w:rFonts w:hint="default" w:ascii="Cambria Math" w:hAnsi="Cambria Math"/>
              <w:color w:val="auto"/>
            </w:rPr>
            <m:t>100%</m:t>
          </m:r>
          <m:r>
            <m:rPr>
              <m:sty m:val="p"/>
            </m:rPr>
            <w:rPr>
              <w:rFonts w:hint="default" w:ascii="Cambria Math" w:hAnsi="Cambria Math" w:cs="Cambria Math"/>
              <w:color w:val="auto"/>
            </w:rPr>
            <m:t>=</m:t>
          </m:r>
          <m:d>
            <m:dPr>
              <m:ctrlPr>
                <w:rPr>
                  <w:rFonts w:hint="default" w:ascii="Cambria Math" w:hAnsi="Cambria Math" w:cs="Cambria Math"/>
                  <w:color w:val="auto"/>
                </w:rPr>
              </m:ctrlPr>
            </m:dPr>
            <m:e>
              <m:r>
                <m:rPr>
                  <m:sty m:val="p"/>
                </m:rPr>
                <w:rPr>
                  <w:rFonts w:hint="default" w:ascii="Cambria Math" w:hAnsi="Cambria Math" w:cs="Cambria Math"/>
                  <w:color w:val="auto"/>
                </w:rPr>
                <m:t>1−</m:t>
              </m:r>
              <m:f>
                <m:fPr>
                  <m:ctrlPr>
                    <w:rPr>
                      <w:rFonts w:hint="default" w:ascii="Cambria Math" w:hAnsi="Cambria Math" w:cs="Cambria Math"/>
                      <w:b w:val="0"/>
                      <w:i w:val="0"/>
                      <w:color w:val="auto"/>
                      <w:sz w:val="21"/>
                      <w:lang w:val="en-US" w:eastAsia="zh-CN" w:bidi="ar-SA"/>
                    </w:rPr>
                  </m:ctrlPr>
                </m:fPr>
                <m:num>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free</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num>
                <m:den>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total</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den>
              </m:f>
              <m:ctrlPr>
                <w:rPr>
                  <w:rFonts w:hint="default" w:ascii="Cambria Math" w:hAnsi="Cambria Math" w:cs="Cambria Math"/>
                  <w:color w:val="auto"/>
                </w:rPr>
              </m:ctrlPr>
            </m:e>
          </m:d>
          <m:r>
            <m:rPr>
              <m:sty m:val="p"/>
            </m:rPr>
            <w:rPr>
              <w:rFonts w:hint="default" w:ascii="Cambria Math" w:hAnsi="Cambria Math" w:cs="Cambria Math"/>
              <w:color w:val="auto"/>
            </w:rPr>
            <m:t>×100%</m:t>
          </m:r>
        </m:oMath>
      </m:oMathPara>
      <w:bookmarkStart w:id="70" w:name="_GoBack"/>
      <w:bookmarkEnd w:id="70"/>
    </w:p>
    <w:p w14:paraId="7EB3362D">
      <w:pPr>
        <w:pStyle w:val="41"/>
        <w:ind w:firstLine="420"/>
        <w:jc w:val="center"/>
        <w:rPr>
          <w:rFonts w:hAnsi="Cambria Math" w:cs="Cambria Math"/>
          <w:b w:val="0"/>
          <w:i w:val="0"/>
          <w:color w:val="auto"/>
        </w:rPr>
      </w:pPr>
      <m:oMathPara>
        <m:oMath>
          <m:r>
            <m:rPr>
              <m:sty m:val="p"/>
            </m:rPr>
            <w:rPr>
              <w:rFonts w:hint="default" w:ascii="Cambria Math" w:hAnsi="Cambria Math"/>
            </w:rPr>
            <m:t>=</m:t>
          </m:r>
          <m:d>
            <m:dPr>
              <m:ctrlPr>
                <w:rPr>
                  <w:rFonts w:hint="default" w:ascii="Cambria Math" w:hAnsi="Cambria Math"/>
                </w:rPr>
              </m:ctrlPr>
            </m:dPr>
            <m:e>
              <m:r>
                <m:rPr>
                  <m:sty m:val="p"/>
                </m:rPr>
                <w:rPr>
                  <w:rFonts w:hint="default" w:ascii="Cambria Math" w:hAnsi="Cambria Math"/>
                </w:rPr>
                <m:t>1−</m:t>
              </m:r>
              <m:f>
                <m:fPr>
                  <m:ctrlPr>
                    <w:rPr>
                      <w:rFonts w:hint="default" w:ascii="Cambria Math" w:hAnsi="Cambria Math"/>
                    </w:rPr>
                  </m:ctrlPr>
                </m:fPr>
                <m:num>
                  <m:r>
                    <m:rPr>
                      <m:sty m:val="p"/>
                    </m:rPr>
                    <w:rPr>
                      <w:rFonts w:hint="default" w:ascii="Cambria Math" w:hAnsi="Cambria Math"/>
                      <w:lang w:val="en-US" w:eastAsia="zh-CN"/>
                    </w:rPr>
                    <m:t>n</m:t>
                  </m:r>
                  <m:r>
                    <m:rPr>
                      <m:sty m:val="p"/>
                    </m:rPr>
                    <w:rPr>
                      <w:rFonts w:hint="eastAsia" w:ascii="Cambria Math" w:hAnsi="Cambria Math"/>
                    </w:rPr>
                    <m:t>b</m:t>
                  </m:r>
                  <m:ctrlPr>
                    <w:rPr>
                      <w:rFonts w:hint="default" w:ascii="Cambria Math" w:hAnsi="Cambria Math"/>
                    </w:rPr>
                  </m:ctrlPr>
                </m:num>
                <m:den>
                  <m:r>
                    <m:rPr>
                      <m:sty m:val="p"/>
                    </m:rPr>
                    <w:rPr>
                      <w:rFonts w:hint="default" w:ascii="Cambria Math" w:hAnsi="Cambria Math"/>
                      <w:lang w:val="en-US" w:eastAsia="zh-CN"/>
                    </w:rPr>
                    <m:t>m</m:t>
                  </m:r>
                  <m:r>
                    <m:rPr>
                      <m:sty m:val="p"/>
                    </m:rPr>
                    <w:rPr>
                      <w:rFonts w:hint="eastAsia" w:ascii="Cambria Math" w:hAnsi="Cambria Math"/>
                    </w:rPr>
                    <m:t>a</m:t>
                  </m:r>
                  <m:ctrlPr>
                    <w:rPr>
                      <w:rFonts w:hint="default" w:ascii="Cambria Math" w:hAnsi="Cambria Math"/>
                    </w:rPr>
                  </m:ctrlPr>
                </m:den>
              </m:f>
              <m:ctrlPr>
                <w:rPr>
                  <w:rFonts w:hint="default" w:ascii="Cambria Math" w:hAnsi="Cambria Math"/>
                </w:rPr>
              </m:ctrlPr>
            </m:e>
          </m:d>
          <m:r>
            <m:rPr>
              <m:sty m:val="p"/>
            </m:rPr>
            <w:rPr>
              <w:rFonts w:hint="default" w:ascii="Cambria Math" w:hAnsi="Cambria Math" w:cs="Cambria Math"/>
            </w:rPr>
            <m:t>×</m:t>
          </m:r>
          <m:r>
            <m:rPr>
              <m:sty m:val="p"/>
            </m:rPr>
            <w:rPr>
              <w:rFonts w:hint="default" w:ascii="Cambria Math" w:hAnsi="Cambria Math"/>
            </w:rPr>
            <m:t>100%</m:t>
          </m:r>
        </m:oMath>
      </m:oMathPara>
    </w:p>
    <w:p w14:paraId="326989F7">
      <w:pPr>
        <w:pStyle w:val="41"/>
        <w:ind w:firstLine="420"/>
        <w:rPr>
          <w:rFonts w:hint="eastAsia" w:hAnsi="Cambria Math" w:eastAsia="宋体"/>
          <w:b w:val="0"/>
          <w:i w:val="0"/>
          <w:color w:val="auto"/>
          <w:lang w:val="en-US" w:eastAsia="zh-CN"/>
        </w:rPr>
      </w:pPr>
      <w:r>
        <w:rPr>
          <w:rFonts w:hint="eastAsia" w:hAnsi="Cambria Math"/>
          <w:b w:val="0"/>
          <w:i w:val="0"/>
          <w:color w:val="auto"/>
          <w:lang w:val="en-US" w:eastAsia="zh-CN"/>
        </w:rPr>
        <w:t>式中：</w:t>
      </w:r>
    </w:p>
    <w:p w14:paraId="32029302">
      <w:pPr>
        <w:pStyle w:val="41"/>
        <w:ind w:firstLine="420"/>
        <w:rPr>
          <w:rFonts w:hint="eastAsia" w:hAnsi="Cambria Math"/>
          <w:b w:val="0"/>
          <w:i w:val="0"/>
          <w:color w:val="auto"/>
          <w:lang w:val="en-US" w:eastAsia="zh-CN"/>
        </w:rPr>
      </w:pPr>
      <w:r>
        <w:rPr>
          <w:rFonts w:hint="default" w:ascii="Times New Roman" w:hAnsi="Times New Roman" w:cs="Times New Roman"/>
          <w:b w:val="0"/>
          <w:i w:val="0"/>
          <w:color w:val="auto"/>
          <w:lang w:val="en-US" w:eastAsia="zh-CN"/>
        </w:rPr>
        <w:t>EE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——包封率，%</w:t>
      </w:r>
      <w:r>
        <w:rPr>
          <w:rFonts w:hint="eastAsia" w:hAnsi="Cambria Math"/>
          <w:b w:val="0"/>
          <w:i w:val="0"/>
          <w:color w:val="auto"/>
          <w:lang w:val="en-US" w:eastAsia="zh-CN"/>
        </w:rPr>
        <w:t>；</w:t>
      </w:r>
    </w:p>
    <w:p w14:paraId="557F3713">
      <w:pPr>
        <w:pStyle w:val="41"/>
        <w:ind w:firstLine="420"/>
        <w:rPr>
          <w:rFonts w:hint="eastAsia" w:ascii="Times New Roman" w:hAnsi="Times New Roman" w:eastAsia="宋体"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——分子递送载体中包封的有效成分的量</w:t>
      </w:r>
      <w:r>
        <w:rPr>
          <w:rFonts w:hint="eastAsia" w:hAnsi="Cambria Math"/>
          <w:b w:val="0"/>
          <w:i w:val="0"/>
          <w:color w:val="auto"/>
          <w:lang w:eastAsia="zh-CN"/>
        </w:rPr>
        <w:t>；</w:t>
      </w:r>
    </w:p>
    <w:p w14:paraId="3416E5EC">
      <w:pPr>
        <w:pStyle w:val="41"/>
        <w:ind w:firstLine="420"/>
        <w:rPr>
          <w:rFonts w:hint="eastAsia" w:ascii="Times New Roman" w:hAnsi="Times New Roman" w:eastAsia="宋体"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total</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——分子递送载体中包封的有效成分量和未包封的有效成分的总量</w:t>
      </w:r>
      <w:r>
        <w:rPr>
          <w:rFonts w:hint="eastAsia" w:hAnsi="Cambria Math"/>
          <w:b w:val="0"/>
          <w:i w:val="0"/>
          <w:color w:val="auto"/>
          <w:lang w:eastAsia="zh-CN"/>
        </w:rPr>
        <w:t>；</w:t>
      </w:r>
    </w:p>
    <w:p w14:paraId="25BB8786">
      <w:pPr>
        <w:pStyle w:val="41"/>
        <w:ind w:firstLine="420"/>
        <w:rPr>
          <w:rFonts w:hint="default" w:hAnsi="Cambria Math" w:cs="Cambria Math"/>
          <w:b w:val="0"/>
          <w:i w:val="0"/>
          <w:color w:val="auto"/>
          <w:sz w:val="21"/>
          <w:lang w:val="en-US" w:eastAsia="zh-CN" w:bidi="ar-SA"/>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free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——液体介质中未包封的有效成分的量。</w:t>
      </w:r>
    </w:p>
    <w:p w14:paraId="2AB7A9F9">
      <w:pPr>
        <w:pStyle w:val="41"/>
        <w:spacing w:line="360" w:lineRule="auto"/>
        <w:ind w:left="482" w:hanging="482" w:hangingChars="200"/>
        <w:outlineLvl w:val="2"/>
        <w:rPr>
          <w:rFonts w:hint="eastAsia" w:ascii="Times New Roman" w:hAnsi="Times New Roman" w:eastAsia="宋体" w:cs="Times New Roman"/>
          <w:b/>
          <w:bCs/>
          <w:i w:val="0"/>
          <w:iCs w:val="0"/>
          <w:caps w:val="0"/>
          <w:spacing w:val="0"/>
          <w:sz w:val="24"/>
          <w:szCs w:val="24"/>
          <w:shd w:val="clear" w:color="auto" w:fill="auto"/>
        </w:rPr>
      </w:pPr>
      <w:bookmarkStart w:id="24" w:name="_Toc24497"/>
      <w:r>
        <w:rPr>
          <w:rFonts w:hint="eastAsia" w:ascii="Times New Roman" w:hAnsi="Times New Roman" w:eastAsia="宋体" w:cs="Times New Roman"/>
          <w:b/>
          <w:bCs/>
          <w:i w:val="0"/>
          <w:iCs w:val="0"/>
          <w:caps w:val="0"/>
          <w:spacing w:val="0"/>
          <w:sz w:val="24"/>
          <w:szCs w:val="24"/>
          <w:shd w:val="clear" w:color="auto" w:fill="auto"/>
        </w:rPr>
        <w:t>3.1.4 验证结果判定</w:t>
      </w:r>
      <w:bookmarkEnd w:id="24"/>
    </w:p>
    <w:p w14:paraId="35FA4598">
      <w:pPr>
        <w:pStyle w:val="41"/>
        <w:spacing w:line="360" w:lineRule="auto"/>
        <w:ind w:left="0" w:firstLine="480" w:firstLineChars="200"/>
        <w:rPr>
          <w:rFonts w:hint="eastAsia" w:ascii="Times New Roman" w:hAnsi="Times New Roman" w:eastAsia="宋体" w:cs="Times New Roman"/>
          <w:i w:val="0"/>
          <w:iCs w:val="0"/>
          <w:caps w:val="0"/>
          <w:spacing w:val="0"/>
          <w:sz w:val="24"/>
          <w:szCs w:val="24"/>
          <w:highlight w:val="none"/>
          <w:shd w:val="clear" w:color="auto" w:fill="auto"/>
        </w:rPr>
      </w:pPr>
      <w:r>
        <w:rPr>
          <w:rFonts w:hint="eastAsia" w:ascii="Times New Roman" w:hAnsi="Times New Roman" w:eastAsia="宋体" w:cs="Times New Roman"/>
          <w:i w:val="0"/>
          <w:iCs w:val="0"/>
          <w:caps w:val="0"/>
          <w:spacing w:val="0"/>
          <w:sz w:val="24"/>
          <w:szCs w:val="24"/>
          <w:highlight w:val="none"/>
          <w:shd w:val="clear" w:color="auto" w:fill="auto"/>
        </w:rPr>
        <w:t>平行测定</w:t>
      </w:r>
      <w:r>
        <w:rPr>
          <w:rFonts w:hint="eastAsia" w:ascii="Times New Roman" w:cs="Times New Roman"/>
          <w:i w:val="0"/>
          <w:iCs w:val="0"/>
          <w:caps w:val="0"/>
          <w:spacing w:val="0"/>
          <w:sz w:val="24"/>
          <w:szCs w:val="24"/>
          <w:highlight w:val="none"/>
          <w:shd w:val="clear" w:color="auto" w:fill="auto"/>
          <w:lang w:eastAsia="zh-CN"/>
        </w:rPr>
        <w:t>三</w:t>
      </w:r>
      <w:r>
        <w:rPr>
          <w:rFonts w:hint="eastAsia" w:ascii="Times New Roman" w:hAnsi="Times New Roman" w:eastAsia="宋体" w:cs="Times New Roman"/>
          <w:i w:val="0"/>
          <w:iCs w:val="0"/>
          <w:caps w:val="0"/>
          <w:spacing w:val="0"/>
          <w:sz w:val="24"/>
          <w:szCs w:val="24"/>
          <w:highlight w:val="none"/>
          <w:shd w:val="clear" w:color="auto" w:fill="auto"/>
        </w:rPr>
        <w:t>份样品，包封率结果</w:t>
      </w:r>
      <w:r>
        <w:rPr>
          <w:rFonts w:hint="eastAsia" w:ascii="Times New Roman" w:cs="Times New Roman"/>
          <w:i w:val="0"/>
          <w:iCs w:val="0"/>
          <w:caps w:val="0"/>
          <w:spacing w:val="0"/>
          <w:sz w:val="24"/>
          <w:szCs w:val="24"/>
          <w:highlight w:val="none"/>
          <w:shd w:val="clear" w:color="auto" w:fill="auto"/>
          <w:lang w:val="en-US" w:eastAsia="zh-CN"/>
        </w:rPr>
        <w:t>均</w:t>
      </w:r>
      <w:r>
        <w:rPr>
          <w:rFonts w:hint="eastAsia" w:ascii="Times New Roman" w:hAnsi="Times New Roman" w:eastAsia="宋体" w:cs="Times New Roman"/>
          <w:i w:val="0"/>
          <w:iCs w:val="0"/>
          <w:caps w:val="0"/>
          <w:spacing w:val="0"/>
          <w:sz w:val="24"/>
          <w:szCs w:val="24"/>
          <w:highlight w:val="none"/>
          <w:shd w:val="clear" w:color="auto" w:fill="auto"/>
        </w:rPr>
        <w:t>≥</w:t>
      </w:r>
      <w:r>
        <w:rPr>
          <w:rFonts w:hint="eastAsia" w:ascii="Times New Roman" w:cs="Times New Roman"/>
          <w:i w:val="0"/>
          <w:iCs w:val="0"/>
          <w:caps w:val="0"/>
          <w:spacing w:val="0"/>
          <w:sz w:val="24"/>
          <w:szCs w:val="24"/>
          <w:highlight w:val="none"/>
          <w:shd w:val="clear" w:color="auto" w:fill="auto"/>
          <w:lang w:val="en-US" w:eastAsia="zh-CN"/>
        </w:rPr>
        <w:t>80</w:t>
      </w:r>
      <w:r>
        <w:rPr>
          <w:rFonts w:hint="eastAsia" w:ascii="Times New Roman" w:hAnsi="Times New Roman" w:eastAsia="宋体" w:cs="Times New Roman"/>
          <w:i w:val="0"/>
          <w:iCs w:val="0"/>
          <w:caps w:val="0"/>
          <w:spacing w:val="0"/>
          <w:sz w:val="24"/>
          <w:szCs w:val="24"/>
          <w:highlight w:val="none"/>
          <w:shd w:val="clear" w:color="auto" w:fill="auto"/>
        </w:rPr>
        <w:t>%，且绝对偏差不超过</w:t>
      </w:r>
      <w:r>
        <w:rPr>
          <w:rFonts w:hint="eastAsia" w:ascii="Times New Roman" w:cs="Times New Roman"/>
          <w:i w:val="0"/>
          <w:iCs w:val="0"/>
          <w:caps w:val="0"/>
          <w:spacing w:val="0"/>
          <w:sz w:val="24"/>
          <w:szCs w:val="24"/>
          <w:highlight w:val="none"/>
          <w:shd w:val="clear" w:color="auto" w:fill="auto"/>
          <w:lang w:val="en-US" w:eastAsia="zh-CN"/>
        </w:rPr>
        <w:t>5</w:t>
      </w:r>
      <w:r>
        <w:rPr>
          <w:rFonts w:hint="eastAsia" w:ascii="Times New Roman" w:hAnsi="Times New Roman" w:eastAsia="宋体" w:cs="Times New Roman"/>
          <w:i w:val="0"/>
          <w:iCs w:val="0"/>
          <w:caps w:val="0"/>
          <w:spacing w:val="0"/>
          <w:sz w:val="24"/>
          <w:szCs w:val="24"/>
          <w:highlight w:val="none"/>
          <w:shd w:val="clear" w:color="auto" w:fill="auto"/>
        </w:rPr>
        <w:t>%。</w:t>
      </w:r>
    </w:p>
    <w:p w14:paraId="67144B19">
      <w:pPr>
        <w:pStyle w:val="41"/>
        <w:spacing w:line="360" w:lineRule="auto"/>
        <w:ind w:left="0" w:firstLine="480" w:firstLineChars="200"/>
        <w:rPr>
          <w:rFonts w:hint="eastAsia" w:ascii="Times New Roman" w:hAnsi="Times New Roman" w:eastAsia="宋体" w:cs="Times New Roman"/>
          <w:i w:val="0"/>
          <w:iCs w:val="0"/>
          <w:caps w:val="0"/>
          <w:spacing w:val="0"/>
          <w:sz w:val="24"/>
          <w:szCs w:val="24"/>
          <w:shd w:val="clear" w:color="auto" w:fill="auto"/>
        </w:rPr>
      </w:pPr>
    </w:p>
    <w:p w14:paraId="66CF50C0">
      <w:pPr>
        <w:pStyle w:val="52"/>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w:hAnsi="Times New Roman" w:cs="Times New Roman"/>
          <w:sz w:val="24"/>
          <w:szCs w:val="24"/>
        </w:rPr>
      </w:pPr>
      <w:bookmarkStart w:id="25" w:name="_Toc224738379"/>
      <w:bookmarkStart w:id="26" w:name="_Toc7665"/>
      <w:bookmarkStart w:id="27" w:name="_Toc27661"/>
      <w:r>
        <w:rPr>
          <w:rFonts w:hint="default" w:ascii="Times New Roman" w:hAnsi="Times New Roman" w:cs="Times New Roman"/>
          <w:sz w:val="24"/>
          <w:szCs w:val="24"/>
        </w:rPr>
        <w:t>3.2 脂质体类分子递送载体包封率测定</w:t>
      </w:r>
      <w:bookmarkEnd w:id="25"/>
      <w:bookmarkEnd w:id="26"/>
      <w:bookmarkEnd w:id="27"/>
    </w:p>
    <w:p w14:paraId="26382C9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测定原理：</w:t>
      </w:r>
      <w:r>
        <w:rPr>
          <w:rFonts w:hint="default" w:ascii="Times New Roman" w:hAnsi="Times New Roman" w:cs="Times New Roman"/>
          <w:sz w:val="24"/>
          <w:szCs w:val="24"/>
        </w:rPr>
        <w:t>采用超滤离心法分离游离</w:t>
      </w:r>
      <w:r>
        <w:rPr>
          <w:rFonts w:hint="default" w:ascii="Times New Roman" w:hAnsi="Times New Roman" w:cs="Times New Roman"/>
          <w:sz w:val="24"/>
          <w:szCs w:val="24"/>
          <w:lang w:eastAsia="zh-CN"/>
        </w:rPr>
        <w:t>有效成分（阿霉素Dox）</w:t>
      </w:r>
      <w:r>
        <w:rPr>
          <w:rFonts w:hint="default" w:ascii="Times New Roman" w:hAnsi="Times New Roman" w:cs="Times New Roman"/>
          <w:sz w:val="24"/>
          <w:szCs w:val="24"/>
        </w:rPr>
        <w:t>与脂质体（脂质体粒径约</w:t>
      </w:r>
      <w:r>
        <w:rPr>
          <w:rFonts w:hint="default" w:ascii="Times New Roman" w:hAnsi="Times New Roman" w:cs="Times New Roman"/>
          <w:sz w:val="24"/>
          <w:szCs w:val="24"/>
          <w:lang w:val="en-US" w:eastAsia="zh-CN"/>
        </w:rPr>
        <w:t>89</w:t>
      </w:r>
      <w:r>
        <w:rPr>
          <w:rFonts w:hint="default" w:ascii="Times New Roman" w:hAnsi="Times New Roman" w:cs="Times New Roman"/>
          <w:sz w:val="24"/>
          <w:szCs w:val="24"/>
        </w:rPr>
        <w:t xml:space="preserve"> nm，被超滤膜截留），利用紫外/可见光谱法测定上清液中Dox（480 nm处），计算获得包封率。注意控制离心力避免脂质体破裂。</w:t>
      </w:r>
    </w:p>
    <w:p w14:paraId="3AC97090">
      <w:pPr>
        <w:pStyle w:val="53"/>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Times New Roman" w:hAnsi="Times New Roman" w:cs="Times New Roman"/>
          <w:sz w:val="24"/>
          <w:szCs w:val="24"/>
        </w:rPr>
      </w:pPr>
      <w:bookmarkStart w:id="28" w:name="_Toc31080"/>
      <w:bookmarkStart w:id="29" w:name="_Toc10297"/>
      <w:r>
        <w:rPr>
          <w:rFonts w:hint="default" w:ascii="Times New Roman" w:hAnsi="Times New Roman" w:cs="Times New Roman"/>
          <w:sz w:val="24"/>
          <w:szCs w:val="24"/>
        </w:rPr>
        <w:t>3.2.1 试验设备及材料</w:t>
      </w:r>
      <w:bookmarkEnd w:id="28"/>
      <w:bookmarkEnd w:id="29"/>
    </w:p>
    <w:p w14:paraId="77447F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highlight w:val="none"/>
        </w:rPr>
        <w:t>阿霉素脂质体（石药集团多美素）、盐酸阿霉素</w:t>
      </w:r>
      <w:r>
        <w:rPr>
          <w:rFonts w:hint="default" w:ascii="Times New Roman" w:hAnsi="Times New Roman" w:cs="Times New Roman"/>
          <w:sz w:val="24"/>
          <w:szCs w:val="24"/>
        </w:rPr>
        <w:t>、离心机、超滤离心管（</w:t>
      </w:r>
      <w:r>
        <w:rPr>
          <w:rFonts w:hint="default" w:ascii="Times New Roman" w:hAnsi="Times New Roman" w:cs="Times New Roman"/>
          <w:sz w:val="24"/>
          <w:szCs w:val="24"/>
          <w:lang w:val="en-US" w:eastAsia="zh-CN"/>
        </w:rPr>
        <w:t>0.</w:t>
      </w:r>
      <w:r>
        <w:rPr>
          <w:rFonts w:hint="default" w:ascii="Times New Roman" w:hAnsi="Times New Roman" w:cs="Times New Roman"/>
          <w:sz w:val="24"/>
          <w:szCs w:val="24"/>
          <w:highlight w:val="none"/>
          <w:lang w:val="en-US" w:eastAsia="zh-CN"/>
        </w:rPr>
        <w:t xml:space="preserve">5 </w:t>
      </w:r>
      <w:r>
        <w:rPr>
          <w:rFonts w:hint="default" w:ascii="Times New Roman" w:hAnsi="Times New Roman" w:cs="Times New Roman"/>
          <w:sz w:val="24"/>
          <w:szCs w:val="24"/>
          <w:highlight w:val="none"/>
        </w:rPr>
        <w:t>mL，</w:t>
      </w:r>
      <w:r>
        <w:rPr>
          <w:rFonts w:hint="default" w:ascii="Times New Roman" w:hAnsi="Times New Roman" w:cs="Times New Roman"/>
          <w:sz w:val="24"/>
          <w:szCs w:val="24"/>
          <w:highlight w:val="none"/>
          <w:lang w:val="en-US" w:eastAsia="zh-CN"/>
        </w:rPr>
        <w:t>10</w:t>
      </w:r>
      <w:r>
        <w:rPr>
          <w:rFonts w:hint="default" w:ascii="Times New Roman" w:hAnsi="Times New Roman" w:cs="Times New Roman"/>
          <w:sz w:val="24"/>
          <w:szCs w:val="24"/>
          <w:highlight w:val="none"/>
        </w:rPr>
        <w:t>0 kDa</w:t>
      </w:r>
      <w:r>
        <w:rPr>
          <w:rFonts w:hint="default" w:ascii="Times New Roman" w:hAnsi="Times New Roman" w:cs="Times New Roman"/>
          <w:sz w:val="24"/>
          <w:szCs w:val="24"/>
          <w:highlight w:val="none"/>
          <w:lang w:eastAsia="zh-CN"/>
        </w:rPr>
        <w:t>，避免脂质体破坏</w:t>
      </w:r>
      <w:r>
        <w:rPr>
          <w:rFonts w:hint="default" w:ascii="Times New Roman" w:hAnsi="Times New Roman" w:cs="Times New Roman"/>
          <w:sz w:val="24"/>
          <w:szCs w:val="24"/>
        </w:rPr>
        <w:t>）、紫外/可见吸收光谱仪</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8"/>
        <w:gridCol w:w="4073"/>
        <w:gridCol w:w="3331"/>
      </w:tblGrid>
      <w:tr w14:paraId="19BA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5" w:type="dxa"/>
            <w:noWrap w:val="0"/>
            <w:vAlign w:val="top"/>
          </w:tcPr>
          <w:p w14:paraId="385F3E3D">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rPr>
              <w:t>材料/设备</w:t>
            </w:r>
          </w:p>
        </w:tc>
        <w:tc>
          <w:tcPr>
            <w:tcW w:w="5936" w:type="dxa"/>
            <w:noWrap w:val="0"/>
            <w:vAlign w:val="top"/>
          </w:tcPr>
          <w:p w14:paraId="32A43A59">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rPr>
              <w:t>规格/型号</w:t>
            </w:r>
          </w:p>
        </w:tc>
        <w:tc>
          <w:tcPr>
            <w:tcW w:w="1081" w:type="dxa"/>
            <w:noWrap w:val="0"/>
            <w:vAlign w:val="top"/>
          </w:tcPr>
          <w:p w14:paraId="0E8FAA1A">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eastAsia" w:ascii="Times New Roman" w:hAnsi="Times New Roman" w:cs="Times New Roman"/>
                <w:b/>
                <w:bCs/>
                <w:sz w:val="21"/>
                <w:szCs w:val="21"/>
                <w:lang w:val="en-US" w:eastAsia="zh-CN"/>
              </w:rPr>
              <w:t>实验室2</w:t>
            </w:r>
            <w:r>
              <w:rPr>
                <w:rFonts w:hint="default" w:ascii="Times New Roman" w:hAnsi="Times New Roman" w:cs="Times New Roman"/>
                <w:b/>
                <w:bCs/>
                <w:sz w:val="21"/>
                <w:szCs w:val="21"/>
              </w:rPr>
              <w:t>规格/型号</w:t>
            </w:r>
          </w:p>
        </w:tc>
      </w:tr>
      <w:tr w14:paraId="2693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5" w:type="dxa"/>
            <w:noWrap w:val="0"/>
            <w:vAlign w:val="center"/>
          </w:tcPr>
          <w:p w14:paraId="6473B12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kern w:val="0"/>
                <w:sz w:val="21"/>
                <w:szCs w:val="21"/>
              </w:rPr>
              <w:t>阿霉素脂质体（石药集团多美素）</w:t>
            </w:r>
          </w:p>
        </w:tc>
        <w:tc>
          <w:tcPr>
            <w:tcW w:w="5936" w:type="dxa"/>
            <w:noWrap w:val="0"/>
            <w:vAlign w:val="center"/>
          </w:tcPr>
          <w:p w14:paraId="55CC8C4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kern w:val="0"/>
                <w:sz w:val="21"/>
                <w:szCs w:val="21"/>
              </w:rPr>
              <w:t>批号：</w:t>
            </w:r>
            <w:r>
              <w:rPr>
                <w:rFonts w:hint="default" w:ascii="Times New Roman" w:hAnsi="Times New Roman" w:cs="Times New Roman"/>
                <w:kern w:val="0"/>
                <w:sz w:val="21"/>
                <w:szCs w:val="21"/>
                <w:lang w:val="en-US" w:eastAsia="zh-CN"/>
              </w:rPr>
              <w:t>691251170</w:t>
            </w:r>
            <w:r>
              <w:rPr>
                <w:rFonts w:hint="default" w:ascii="Times New Roman" w:hAnsi="Times New Roman" w:cs="Times New Roman"/>
                <w:kern w:val="0"/>
                <w:sz w:val="21"/>
                <w:szCs w:val="21"/>
              </w:rPr>
              <w:t>，</w:t>
            </w:r>
            <w:r>
              <w:rPr>
                <w:rFonts w:hint="default" w:ascii="Times New Roman" w:hAnsi="Times New Roman" w:cs="Times New Roman"/>
                <w:kern w:val="0"/>
                <w:sz w:val="21"/>
                <w:szCs w:val="21"/>
                <w:lang w:val="en-US" w:eastAsia="zh-CN"/>
              </w:rPr>
              <w:t>DLS</w:t>
            </w:r>
            <w:r>
              <w:rPr>
                <w:rFonts w:hint="default" w:ascii="Times New Roman" w:hAnsi="Times New Roman" w:cs="Times New Roman"/>
                <w:kern w:val="0"/>
                <w:sz w:val="21"/>
                <w:szCs w:val="21"/>
              </w:rPr>
              <w:t>粒径：89.7±0.7 nm，标示量：2 mg/mL</w:t>
            </w:r>
          </w:p>
        </w:tc>
        <w:tc>
          <w:tcPr>
            <w:tcW w:w="1081" w:type="dxa"/>
            <w:noWrap w:val="0"/>
            <w:vAlign w:val="center"/>
          </w:tcPr>
          <w:p w14:paraId="1BE7BB56">
            <w:pPr>
              <w:keepNext w:val="0"/>
              <w:keepLines w:val="0"/>
              <w:suppressLineNumbers w:val="0"/>
              <w:spacing w:before="0" w:beforeAutospacing="0" w:after="0" w:afterAutospacing="0" w:line="240" w:lineRule="auto"/>
              <w:ind w:left="0" w:right="0"/>
              <w:rPr>
                <w:rFonts w:hint="default" w:ascii="Times New Roman" w:hAnsi="Times New Roman" w:cs="Times New Roman"/>
                <w:kern w:val="0"/>
                <w:szCs w:val="24"/>
              </w:rPr>
            </w:pPr>
            <w:r>
              <w:rPr>
                <w:rFonts w:hint="default" w:ascii="Times New Roman" w:hAnsi="Times New Roman" w:cs="Times New Roman"/>
                <w:kern w:val="0"/>
                <w:szCs w:val="24"/>
              </w:rPr>
              <w:t>批号：691251170，DLS粒径：89.7±0.7 nm，标示量：</w:t>
            </w:r>
          </w:p>
          <w:p w14:paraId="31EEE9CF">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vertAlign w:val="baseline"/>
                <w:lang w:eastAsia="zh-CN"/>
              </w:rPr>
            </w:pPr>
            <w:r>
              <w:rPr>
                <w:rFonts w:hint="default" w:ascii="Times New Roman" w:hAnsi="Times New Roman" w:cs="Times New Roman"/>
                <w:kern w:val="0"/>
                <w:szCs w:val="24"/>
              </w:rPr>
              <w:t>2 mg/mL</w:t>
            </w:r>
          </w:p>
        </w:tc>
      </w:tr>
      <w:tr w14:paraId="7768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5" w:type="dxa"/>
            <w:noWrap w:val="0"/>
            <w:vAlign w:val="center"/>
          </w:tcPr>
          <w:p w14:paraId="237A4B8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kern w:val="0"/>
                <w:sz w:val="21"/>
                <w:szCs w:val="21"/>
                <w:lang w:eastAsia="zh-CN"/>
              </w:rPr>
              <w:t>盐酸阿霉素</w:t>
            </w:r>
          </w:p>
        </w:tc>
        <w:tc>
          <w:tcPr>
            <w:tcW w:w="5936" w:type="dxa"/>
            <w:noWrap w:val="0"/>
            <w:vAlign w:val="center"/>
          </w:tcPr>
          <w:p w14:paraId="717CF654">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kern w:val="0"/>
                <w:sz w:val="21"/>
                <w:szCs w:val="21"/>
                <w:lang w:val="en-US" w:eastAsia="zh-CN"/>
              </w:rPr>
              <w:t>中国药品检定研究</w:t>
            </w:r>
            <w:r>
              <w:rPr>
                <w:rFonts w:hint="eastAsia" w:cs="Times New Roman"/>
                <w:kern w:val="0"/>
                <w:sz w:val="21"/>
                <w:szCs w:val="21"/>
                <w:lang w:val="en-US" w:eastAsia="zh-CN"/>
              </w:rPr>
              <w:t>院</w:t>
            </w:r>
            <w:r>
              <w:rPr>
                <w:rFonts w:hint="default" w:ascii="Times New Roman" w:hAnsi="Times New Roman" w:cs="Times New Roman"/>
                <w:kern w:val="0"/>
                <w:sz w:val="21"/>
                <w:szCs w:val="21"/>
                <w:lang w:eastAsia="zh-CN"/>
              </w:rPr>
              <w:t>，</w:t>
            </w:r>
            <w:r>
              <w:rPr>
                <w:rFonts w:hint="default" w:ascii="Times New Roman" w:hAnsi="Times New Roman" w:cs="Times New Roman"/>
                <w:b w:val="0"/>
                <w:color w:val="auto"/>
                <w:sz w:val="21"/>
                <w:szCs w:val="21"/>
                <w:vertAlign w:val="baseline"/>
                <w:lang w:val="en-US" w:eastAsia="zh-CN"/>
              </w:rPr>
              <w:t>130509-202505，</w:t>
            </w:r>
            <w:r>
              <w:rPr>
                <w:rFonts w:hint="default" w:ascii="Times New Roman" w:hAnsi="Times New Roman" w:cs="Times New Roman"/>
                <w:kern w:val="0"/>
                <w:sz w:val="21"/>
                <w:szCs w:val="21"/>
                <w:lang w:val="en-US" w:eastAsia="zh-CN"/>
              </w:rPr>
              <w:t>含量：</w:t>
            </w:r>
            <w:r>
              <w:rPr>
                <w:rFonts w:hint="default" w:ascii="Times New Roman" w:hAnsi="Times New Roman" w:cs="Times New Roman"/>
                <w:kern w:val="0"/>
                <w:sz w:val="21"/>
                <w:szCs w:val="21"/>
              </w:rPr>
              <w:t>98</w:t>
            </w:r>
            <w:r>
              <w:rPr>
                <w:rFonts w:hint="default" w:ascii="Times New Roman" w:hAnsi="Times New Roman" w:cs="Times New Roman"/>
                <w:kern w:val="0"/>
                <w:sz w:val="21"/>
                <w:szCs w:val="21"/>
                <w:lang w:val="en-US" w:eastAsia="zh-CN"/>
              </w:rPr>
              <w:t>.9</w:t>
            </w:r>
            <w:r>
              <w:rPr>
                <w:rFonts w:hint="default" w:ascii="Times New Roman" w:hAnsi="Times New Roman" w:cs="Times New Roman"/>
                <w:kern w:val="0"/>
                <w:sz w:val="21"/>
                <w:szCs w:val="21"/>
              </w:rPr>
              <w:t>%</w:t>
            </w:r>
          </w:p>
        </w:tc>
        <w:tc>
          <w:tcPr>
            <w:tcW w:w="1081" w:type="dxa"/>
            <w:noWrap w:val="0"/>
            <w:vAlign w:val="center"/>
          </w:tcPr>
          <w:p w14:paraId="264204C9">
            <w:pPr>
              <w:keepNext w:val="0"/>
              <w:keepLines w:val="0"/>
              <w:suppressLineNumbers w:val="0"/>
              <w:spacing w:before="0" w:beforeAutospacing="0" w:after="0" w:afterAutospacing="0" w:line="240" w:lineRule="auto"/>
              <w:ind w:left="0" w:right="0"/>
              <w:rPr>
                <w:rFonts w:hint="default" w:ascii="Times New Roman" w:hAnsi="Times New Roman" w:cs="Times New Roman"/>
                <w:kern w:val="0"/>
                <w:szCs w:val="24"/>
              </w:rPr>
            </w:pPr>
            <w:r>
              <w:rPr>
                <w:rFonts w:hint="default" w:ascii="Times New Roman" w:hAnsi="Times New Roman" w:cs="Times New Roman"/>
                <w:kern w:val="0"/>
                <w:szCs w:val="24"/>
              </w:rPr>
              <w:t>品牌：日本MicroBiopharm Japan Co,Ltd，</w:t>
            </w:r>
          </w:p>
          <w:p w14:paraId="407A8A5B">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20000866-DX-B0039-A24052301，含量：</w:t>
            </w:r>
            <w:r>
              <w:rPr>
                <w:rFonts w:hint="default" w:ascii="Times New Roman" w:hAnsi="Times New Roman" w:cs="Times New Roman"/>
                <w:kern w:val="0"/>
                <w:szCs w:val="24"/>
              </w:rPr>
              <w:t>99.85%</w:t>
            </w:r>
          </w:p>
        </w:tc>
      </w:tr>
      <w:tr w14:paraId="5F4CF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5" w:type="dxa"/>
            <w:noWrap w:val="0"/>
            <w:vAlign w:val="center"/>
          </w:tcPr>
          <w:p w14:paraId="04C23FA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离心机</w:t>
            </w:r>
          </w:p>
        </w:tc>
        <w:tc>
          <w:tcPr>
            <w:tcW w:w="5936" w:type="dxa"/>
            <w:noWrap w:val="0"/>
            <w:vAlign w:val="center"/>
          </w:tcPr>
          <w:p w14:paraId="592417C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型号：</w:t>
            </w:r>
            <w:r>
              <w:rPr>
                <w:rFonts w:hint="default" w:ascii="Times New Roman" w:hAnsi="Times New Roman" w:cs="Times New Roman"/>
                <w:sz w:val="21"/>
                <w:szCs w:val="21"/>
                <w:lang w:val="en-US" w:eastAsia="zh-CN"/>
              </w:rPr>
              <w:t>eppendorf Centrifuge 5425R</w:t>
            </w:r>
          </w:p>
        </w:tc>
        <w:tc>
          <w:tcPr>
            <w:tcW w:w="1081" w:type="dxa"/>
            <w:noWrap w:val="0"/>
            <w:vAlign w:val="center"/>
          </w:tcPr>
          <w:p w14:paraId="14C86B95">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品牌：美瑞克，型号：</w:t>
            </w:r>
            <w:r>
              <w:rPr>
                <w:rFonts w:hint="default" w:ascii="Times New Roman" w:hAnsi="Times New Roman" w:cs="Times New Roman"/>
                <w:kern w:val="0"/>
                <w:szCs w:val="18"/>
              </w:rPr>
              <w:t>MH1650R</w:t>
            </w:r>
            <w:r>
              <w:rPr>
                <w:rFonts w:hint="default" w:ascii="Times New Roman" w:hAnsi="Times New Roman" w:cs="Times New Roman"/>
                <w:kern w:val="0"/>
                <w:szCs w:val="24"/>
              </w:rPr>
              <w:t>，控温精度：±1℃</w:t>
            </w:r>
          </w:p>
        </w:tc>
      </w:tr>
      <w:tr w14:paraId="7532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5" w:type="dxa"/>
            <w:noWrap w:val="0"/>
            <w:vAlign w:val="center"/>
          </w:tcPr>
          <w:p w14:paraId="32A1855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kern w:val="0"/>
                <w:sz w:val="21"/>
                <w:szCs w:val="21"/>
              </w:rPr>
              <w:t>超滤离心管</w:t>
            </w:r>
          </w:p>
        </w:tc>
        <w:tc>
          <w:tcPr>
            <w:tcW w:w="5936" w:type="dxa"/>
            <w:noWrap w:val="0"/>
            <w:vAlign w:val="center"/>
          </w:tcPr>
          <w:p w14:paraId="3334B63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kern w:val="0"/>
                <w:sz w:val="21"/>
                <w:szCs w:val="21"/>
              </w:rPr>
              <w:t>规格：0.5 m</w:t>
            </w:r>
            <w:r>
              <w:rPr>
                <w:rFonts w:hint="default" w:ascii="Times New Roman" w:hAnsi="Times New Roman" w:cs="Times New Roman"/>
                <w:kern w:val="0"/>
                <w:sz w:val="21"/>
                <w:szCs w:val="21"/>
                <w:lang w:val="en-US" w:eastAsia="zh-CN"/>
              </w:rPr>
              <w:t>L</w:t>
            </w:r>
            <w:r>
              <w:rPr>
                <w:rFonts w:hint="default" w:ascii="Times New Roman" w:hAnsi="Times New Roman" w:cs="Times New Roman"/>
                <w:kern w:val="0"/>
                <w:sz w:val="21"/>
                <w:szCs w:val="21"/>
              </w:rPr>
              <w:t>，MWCO：</w:t>
            </w:r>
            <w:r>
              <w:rPr>
                <w:rFonts w:hint="default" w:ascii="Times New Roman" w:hAnsi="Times New Roman" w:cs="Times New Roman"/>
                <w:kern w:val="0"/>
                <w:sz w:val="21"/>
                <w:szCs w:val="21"/>
                <w:lang w:val="en-US" w:eastAsia="zh-CN"/>
              </w:rPr>
              <w:t>10</w:t>
            </w:r>
            <w:r>
              <w:rPr>
                <w:rFonts w:hint="default" w:ascii="Times New Roman" w:hAnsi="Times New Roman" w:cs="Times New Roman"/>
                <w:kern w:val="0"/>
                <w:sz w:val="21"/>
                <w:szCs w:val="21"/>
              </w:rPr>
              <w:t>0 kDa，材质：改性聚醚砜，品牌：</w:t>
            </w:r>
            <w:r>
              <w:rPr>
                <w:rFonts w:hint="default" w:ascii="Times New Roman" w:hAnsi="Times New Roman" w:cs="Times New Roman"/>
                <w:kern w:val="0"/>
                <w:sz w:val="21"/>
                <w:szCs w:val="21"/>
                <w:lang w:val="en-US" w:eastAsia="zh-CN"/>
              </w:rPr>
              <w:t>Pall</w:t>
            </w:r>
          </w:p>
        </w:tc>
        <w:tc>
          <w:tcPr>
            <w:tcW w:w="1081" w:type="dxa"/>
            <w:noWrap w:val="0"/>
            <w:vAlign w:val="center"/>
          </w:tcPr>
          <w:p w14:paraId="7BC530EB">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kern w:val="0"/>
                <w:szCs w:val="24"/>
              </w:rPr>
              <w:t>规格：0.5 mL，MWCO：100 kDa，材质：改性聚醚砜，品牌：Pall，货号：OD100C35</w:t>
            </w:r>
          </w:p>
        </w:tc>
      </w:tr>
      <w:tr w14:paraId="0761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5" w:type="dxa"/>
            <w:noWrap w:val="0"/>
            <w:vAlign w:val="center"/>
          </w:tcPr>
          <w:p w14:paraId="6CDB059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紫外/可见吸收光谱仪</w:t>
            </w:r>
          </w:p>
        </w:tc>
        <w:tc>
          <w:tcPr>
            <w:tcW w:w="5936" w:type="dxa"/>
            <w:noWrap w:val="0"/>
            <w:vAlign w:val="center"/>
          </w:tcPr>
          <w:p w14:paraId="13CA847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kern w:val="0"/>
                <w:sz w:val="21"/>
                <w:szCs w:val="21"/>
              </w:rPr>
              <w:t>型号：UV-2600型，岛津</w:t>
            </w:r>
          </w:p>
        </w:tc>
        <w:tc>
          <w:tcPr>
            <w:tcW w:w="1081" w:type="dxa"/>
            <w:noWrap w:val="0"/>
            <w:vAlign w:val="center"/>
          </w:tcPr>
          <w:p w14:paraId="79A15D7B">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kern w:val="0"/>
                <w:szCs w:val="24"/>
              </w:rPr>
              <w:t>品牌：Thermo，型号：Evolution 201</w:t>
            </w:r>
          </w:p>
        </w:tc>
      </w:tr>
    </w:tbl>
    <w:p w14:paraId="6E243DD3">
      <w:pPr>
        <w:ind w:firstLine="0"/>
        <w:rPr>
          <w:rFonts w:hint="eastAsia"/>
          <w:szCs w:val="24"/>
        </w:rPr>
      </w:pPr>
    </w:p>
    <w:p w14:paraId="2403095B">
      <w:pPr>
        <w:pStyle w:val="53"/>
        <w:spacing w:line="360" w:lineRule="auto"/>
        <w:outlineLvl w:val="2"/>
        <w:rPr>
          <w:rFonts w:hint="default" w:ascii="Times New Roman" w:hAnsi="Times New Roman" w:cs="Times New Roman"/>
          <w:sz w:val="24"/>
          <w:szCs w:val="24"/>
        </w:rPr>
      </w:pPr>
      <w:bookmarkStart w:id="30" w:name="_Toc12096"/>
      <w:bookmarkStart w:id="31" w:name="_Toc31801"/>
      <w:r>
        <w:rPr>
          <w:rFonts w:hint="default" w:ascii="Times New Roman" w:hAnsi="Times New Roman" w:cs="Times New Roman"/>
          <w:sz w:val="24"/>
          <w:szCs w:val="24"/>
        </w:rPr>
        <w:t>3.2.2 试验过程</w:t>
      </w:r>
      <w:bookmarkEnd w:id="30"/>
      <w:bookmarkEnd w:id="31"/>
    </w:p>
    <w:p w14:paraId="1290EE33">
      <w:pPr>
        <w:pStyle w:val="53"/>
        <w:spacing w:line="360" w:lineRule="auto"/>
        <w:rPr>
          <w:rFonts w:hint="default" w:ascii="Times New Roman" w:hAnsi="Times New Roman" w:cs="Times New Roman"/>
          <w:sz w:val="24"/>
          <w:szCs w:val="24"/>
        </w:rPr>
      </w:pPr>
      <w:bookmarkStart w:id="32" w:name="_Toc2475"/>
      <w:r>
        <w:rPr>
          <w:rFonts w:hint="default" w:ascii="Times New Roman" w:hAnsi="Times New Roman" w:cs="Times New Roman"/>
          <w:sz w:val="24"/>
          <w:szCs w:val="24"/>
        </w:rPr>
        <w:t>3.2.2.1 标准曲线制备</w:t>
      </w:r>
      <w:bookmarkEnd w:id="32"/>
    </w:p>
    <w:p w14:paraId="50C7D7E8">
      <w:pPr>
        <w:spacing w:line="360" w:lineRule="auto"/>
        <w:ind w:firstLine="420"/>
        <w:rPr>
          <w:rFonts w:hint="default" w:ascii="Times New Roman" w:hAnsi="Times New Roman" w:cs="Times New Roman"/>
          <w:sz w:val="24"/>
          <w:szCs w:val="24"/>
          <w:lang w:val="en-US" w:eastAsia="zh-CN"/>
        </w:rPr>
      </w:pPr>
      <w:r>
        <w:rPr>
          <w:rFonts w:hint="default" w:ascii="Times New Roman" w:hAnsi="Times New Roman" w:cs="Times New Roman"/>
          <w:sz w:val="24"/>
          <w:szCs w:val="24"/>
        </w:rPr>
        <w:t>a)</w:t>
      </w:r>
      <w:r>
        <w:rPr>
          <w:rFonts w:hint="default" w:ascii="Times New Roman" w:hAnsi="Times New Roman" w:cs="Times New Roman"/>
          <w:sz w:val="24"/>
          <w:szCs w:val="24"/>
          <w:lang w:val="en-US" w:eastAsia="zh-CN"/>
        </w:rPr>
        <w:t xml:space="preserve"> 使用盐酸阿霉素（纯度</w:t>
      </w:r>
      <w:r>
        <w:rPr>
          <w:rFonts w:hint="eastAsia" w:ascii="宋体" w:hAnsi="宋体" w:eastAsia="宋体" w:cs="宋体"/>
          <w:sz w:val="24"/>
          <w:szCs w:val="24"/>
          <w:lang w:val="en-US" w:eastAsia="zh-CN"/>
        </w:rPr>
        <w:t>≥</w:t>
      </w:r>
      <w:r>
        <w:rPr>
          <w:rFonts w:hint="default" w:ascii="Times New Roman" w:hAnsi="Times New Roman" w:cs="Times New Roman"/>
          <w:sz w:val="24"/>
          <w:szCs w:val="24"/>
          <w:lang w:val="en-US" w:eastAsia="zh-CN"/>
        </w:rPr>
        <w:t>98%）配置</w:t>
      </w:r>
      <w:r>
        <w:rPr>
          <w:rFonts w:hint="default" w:ascii="Times New Roman" w:hAnsi="Times New Roman" w:cs="Times New Roman"/>
          <w:kern w:val="0"/>
          <w:sz w:val="24"/>
          <w:szCs w:val="24"/>
          <w:lang w:val="en-US" w:eastAsia="zh-CN"/>
        </w:rPr>
        <w:t xml:space="preserve">2 </w:t>
      </w:r>
      <w:r>
        <w:rPr>
          <w:rFonts w:hint="default" w:ascii="Times New Roman" w:hAnsi="Times New Roman" w:cs="Times New Roman"/>
          <w:sz w:val="24"/>
          <w:szCs w:val="24"/>
          <w:lang w:val="en-US" w:eastAsia="zh-CN"/>
        </w:rPr>
        <w:t>g/L</w:t>
      </w:r>
      <w:r>
        <w:rPr>
          <w:rFonts w:hint="default" w:ascii="Times New Roman" w:hAnsi="Times New Roman" w:cs="Times New Roman"/>
          <w:kern w:val="0"/>
          <w:sz w:val="24"/>
          <w:szCs w:val="24"/>
          <w:lang w:eastAsia="zh-CN"/>
        </w:rPr>
        <w:t>去离子水溶液，再配置</w:t>
      </w:r>
      <w:r>
        <w:rPr>
          <w:rFonts w:hint="default" w:ascii="Times New Roman" w:hAnsi="Times New Roman" w:cs="Times New Roman"/>
          <w:sz w:val="24"/>
          <w:szCs w:val="24"/>
          <w:lang w:val="en-US" w:eastAsia="zh-CN"/>
        </w:rPr>
        <w:t>200 mg/L的盐酸阿霉素</w:t>
      </w:r>
      <w:r>
        <w:rPr>
          <w:rFonts w:hint="default" w:ascii="Times New Roman" w:hAnsi="Times New Roman" w:cs="Times New Roman"/>
          <w:kern w:val="0"/>
          <w:sz w:val="24"/>
          <w:szCs w:val="24"/>
          <w:lang w:eastAsia="zh-CN"/>
        </w:rPr>
        <w:t>去离子水溶液</w:t>
      </w:r>
      <w:r>
        <w:rPr>
          <w:rFonts w:hint="default" w:ascii="Times New Roman" w:hAnsi="Times New Roman" w:cs="Times New Roman"/>
          <w:sz w:val="24"/>
          <w:szCs w:val="24"/>
          <w:lang w:val="en-US" w:eastAsia="zh-CN"/>
        </w:rPr>
        <w:t xml:space="preserve">。准确称量盐酸阿霉素20.559 mg溶解于10 ml去离子水中，配制2 mg/ml去离子水溶液，再稀释十倍得到10 ml 200 μg/ml的盐酸阿霉素去离子水溶液储备溶液（SS）。  </w:t>
      </w:r>
    </w:p>
    <w:p w14:paraId="4AE3677F">
      <w:pPr>
        <w:spacing w:line="360" w:lineRule="auto"/>
        <w:ind w:firstLine="42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超滤离心管预处理：取9个超滤离心管（0.5 mL</w:t>
      </w:r>
      <w:r>
        <w:rPr>
          <w:rFonts w:hint="default" w:ascii="Times New Roman" w:hAnsi="Times New Roman" w:cs="Times New Roman"/>
          <w:color w:val="auto"/>
          <w:sz w:val="24"/>
          <w:szCs w:val="24"/>
          <w:lang w:val="en-US" w:eastAsia="zh-CN"/>
        </w:rPr>
        <w:t>，100 kDa</w:t>
      </w:r>
      <w:r>
        <w:rPr>
          <w:rFonts w:hint="default" w:ascii="Times New Roman" w:hAnsi="Times New Roman" w:cs="Times New Roman"/>
          <w:sz w:val="24"/>
          <w:szCs w:val="24"/>
          <w:lang w:val="en-US" w:eastAsia="zh-CN"/>
        </w:rPr>
        <w:t>），</w:t>
      </w:r>
      <w:r>
        <w:rPr>
          <w:rFonts w:hint="default" w:ascii="Times New Roman" w:hAnsi="Times New Roman" w:cs="Times New Roman"/>
          <w:color w:val="auto"/>
          <w:sz w:val="24"/>
          <w:szCs w:val="24"/>
          <w:lang w:val="en-US" w:eastAsia="zh-CN"/>
        </w:rPr>
        <w:t>3个用于样品超滤，6个用于标曲溶液。</w:t>
      </w:r>
      <w:r>
        <w:rPr>
          <w:rFonts w:hint="default" w:ascii="Times New Roman" w:hAnsi="Times New Roman" w:cs="Times New Roman"/>
          <w:sz w:val="24"/>
          <w:szCs w:val="24"/>
          <w:lang w:val="en-US" w:eastAsia="zh-CN"/>
        </w:rPr>
        <w:t>加入0.5 mL 200 μg/ml Dox离心一次（18000 × g，10 min），加入0.5 mL去离子水冲洗一次，再加入0.5 mL去离子水离心一次。</w:t>
      </w:r>
    </w:p>
    <w:p w14:paraId="34969316">
      <w:pPr>
        <w:spacing w:line="360" w:lineRule="auto"/>
        <w:ind w:firstLine="420"/>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注1：枪头勿触碰滤膜，防止滤膜破裂漏液；</w:t>
      </w:r>
    </w:p>
    <w:p w14:paraId="0245A752">
      <w:pPr>
        <w:spacing w:line="360" w:lineRule="auto"/>
        <w:ind w:firstLine="420"/>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注2：将超滤离心管甩干水分备用。</w:t>
      </w:r>
    </w:p>
    <w:p w14:paraId="3236F804">
      <w:pPr>
        <w:spacing w:line="360" w:lineRule="auto"/>
        <w:ind w:firstLine="42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配制1.5、2.5、5、10、20、40 μg/ml的盐酸阿霉素水溶液（Dox）。</w:t>
      </w:r>
    </w:p>
    <w:tbl>
      <w:tblPr>
        <w:tblStyle w:val="9"/>
        <w:tblW w:w="8220" w:type="dxa"/>
        <w:jc w:val="center"/>
        <w:tblBorders>
          <w:top w:val="double" w:color="auto" w:sz="4" w:space="0"/>
          <w:left w:val="none" w:color="auto" w:sz="0" w:space="0"/>
          <w:bottom w:val="doub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9"/>
        <w:gridCol w:w="1653"/>
        <w:gridCol w:w="1650"/>
        <w:gridCol w:w="1650"/>
        <w:gridCol w:w="1638"/>
      </w:tblGrid>
      <w:tr w14:paraId="5C9C4289">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58" w:type="dxa"/>
            <w:tcBorders>
              <w:top w:val="double" w:color="auto" w:sz="4" w:space="0"/>
              <w:bottom w:val="single" w:color="auto" w:sz="4" w:space="0"/>
            </w:tcBorders>
            <w:noWrap w:val="0"/>
            <w:vAlign w:val="center"/>
          </w:tcPr>
          <w:p w14:paraId="226E6BB6">
            <w:pPr>
              <w:keepNext w:val="0"/>
              <w:keepLines w:val="0"/>
              <w:suppressLineNumbers w:val="0"/>
              <w:spacing w:before="0" w:beforeAutospacing="0" w:after="0" w:afterAutospacing="0"/>
              <w:ind w:left="0" w:right="0"/>
              <w:jc w:val="center"/>
              <w:rPr>
                <w:rFonts w:hint="default" w:ascii="Times New Roman" w:hAnsi="Times New Roman" w:cs="Times New Roman"/>
                <w:b w:val="0"/>
                <w:bCs/>
                <w:i w:val="0"/>
                <w:iCs w:val="0"/>
                <w:sz w:val="21"/>
                <w:szCs w:val="21"/>
              </w:rPr>
            </w:pPr>
            <w:r>
              <w:rPr>
                <w:rFonts w:hint="default" w:ascii="Times New Roman" w:hAnsi="Times New Roman" w:cs="Times New Roman"/>
                <w:b w:val="0"/>
                <w:bCs/>
                <w:i w:val="0"/>
                <w:iCs w:val="0"/>
                <w:sz w:val="21"/>
                <w:szCs w:val="21"/>
              </w:rPr>
              <w:t>名称</w:t>
            </w:r>
          </w:p>
        </w:tc>
        <w:tc>
          <w:tcPr>
            <w:tcW w:w="1378" w:type="dxa"/>
            <w:tcBorders>
              <w:top w:val="double" w:color="auto" w:sz="4" w:space="0"/>
              <w:bottom w:val="single" w:color="auto" w:sz="4" w:space="0"/>
            </w:tcBorders>
            <w:noWrap w:val="0"/>
            <w:vAlign w:val="center"/>
          </w:tcPr>
          <w:p w14:paraId="6961027A">
            <w:pPr>
              <w:keepNext w:val="0"/>
              <w:keepLines w:val="0"/>
              <w:suppressLineNumbers w:val="0"/>
              <w:spacing w:before="0" w:beforeAutospacing="0" w:after="0" w:afterAutospacing="0"/>
              <w:ind w:left="0" w:right="0"/>
              <w:jc w:val="center"/>
              <w:rPr>
                <w:rFonts w:hint="default" w:ascii="Times New Roman" w:hAnsi="Times New Roman" w:cs="Times New Roman"/>
                <w:b w:val="0"/>
                <w:bCs/>
                <w:i w:val="0"/>
                <w:iCs w:val="0"/>
                <w:sz w:val="21"/>
                <w:szCs w:val="21"/>
              </w:rPr>
            </w:pPr>
            <w:r>
              <w:rPr>
                <w:rFonts w:hint="default" w:ascii="Times New Roman" w:hAnsi="Times New Roman" w:cs="Times New Roman"/>
                <w:b w:val="0"/>
                <w:bCs/>
                <w:i w:val="0"/>
                <w:iCs w:val="0"/>
                <w:sz w:val="21"/>
                <w:szCs w:val="21"/>
              </w:rPr>
              <w:t>源溶液</w:t>
            </w:r>
          </w:p>
        </w:tc>
        <w:tc>
          <w:tcPr>
            <w:tcW w:w="1376" w:type="dxa"/>
            <w:tcBorders>
              <w:top w:val="double" w:color="auto" w:sz="4" w:space="0"/>
              <w:bottom w:val="single" w:color="auto" w:sz="4" w:space="0"/>
            </w:tcBorders>
            <w:noWrap w:val="0"/>
            <w:vAlign w:val="center"/>
          </w:tcPr>
          <w:p w14:paraId="623D5CE2">
            <w:pPr>
              <w:keepNext w:val="0"/>
              <w:keepLines w:val="0"/>
              <w:suppressLineNumbers w:val="0"/>
              <w:spacing w:before="0" w:beforeAutospacing="0" w:after="0" w:afterAutospacing="0"/>
              <w:ind w:left="0" w:right="0"/>
              <w:jc w:val="center"/>
              <w:rPr>
                <w:rFonts w:hint="default" w:ascii="Times New Roman" w:hAnsi="Times New Roman" w:cs="Times New Roman"/>
                <w:b w:val="0"/>
                <w:bCs/>
                <w:i w:val="0"/>
                <w:iCs w:val="0"/>
                <w:sz w:val="21"/>
                <w:szCs w:val="21"/>
                <w:lang w:val="fr-FR"/>
              </w:rPr>
            </w:pPr>
            <w:r>
              <w:rPr>
                <w:rFonts w:hint="default" w:ascii="Times New Roman" w:hAnsi="Times New Roman" w:cs="Times New Roman"/>
                <w:b w:val="0"/>
                <w:bCs/>
                <w:i w:val="0"/>
                <w:iCs w:val="0"/>
                <w:sz w:val="21"/>
                <w:szCs w:val="21"/>
                <w:lang w:val="fr-FR"/>
              </w:rPr>
              <w:t>源溶液体积(</w:t>
            </w:r>
            <w:r>
              <w:rPr>
                <w:rFonts w:hint="default" w:ascii="Times New Roman" w:hAnsi="Times New Roman" w:cs="Times New Roman"/>
                <w:b w:val="0"/>
                <w:bCs/>
                <w:i w:val="0"/>
                <w:iCs w:val="0"/>
                <w:sz w:val="21"/>
                <w:szCs w:val="21"/>
              </w:rPr>
              <w:t>μl</w:t>
            </w:r>
            <w:r>
              <w:rPr>
                <w:rFonts w:hint="default" w:ascii="Times New Roman" w:hAnsi="Times New Roman" w:cs="Times New Roman"/>
                <w:b w:val="0"/>
                <w:bCs/>
                <w:i w:val="0"/>
                <w:iCs w:val="0"/>
                <w:sz w:val="21"/>
                <w:szCs w:val="21"/>
                <w:lang w:val="fr-FR"/>
              </w:rPr>
              <w:t>)</w:t>
            </w:r>
          </w:p>
        </w:tc>
        <w:tc>
          <w:tcPr>
            <w:tcW w:w="1376" w:type="dxa"/>
            <w:tcBorders>
              <w:top w:val="double" w:color="auto" w:sz="4" w:space="0"/>
              <w:bottom w:val="single" w:color="auto" w:sz="4" w:space="0"/>
            </w:tcBorders>
            <w:noWrap w:val="0"/>
            <w:vAlign w:val="center"/>
          </w:tcPr>
          <w:p w14:paraId="0331D060">
            <w:pPr>
              <w:keepNext w:val="0"/>
              <w:keepLines w:val="0"/>
              <w:suppressLineNumbers w:val="0"/>
              <w:spacing w:before="0" w:beforeAutospacing="0" w:after="0" w:afterAutospacing="0"/>
              <w:ind w:left="0" w:right="0"/>
              <w:jc w:val="center"/>
              <w:rPr>
                <w:rFonts w:hint="default" w:ascii="Times New Roman" w:hAnsi="Times New Roman" w:cs="Times New Roman"/>
                <w:b w:val="0"/>
                <w:bCs/>
                <w:i w:val="0"/>
                <w:iCs w:val="0"/>
                <w:sz w:val="21"/>
                <w:szCs w:val="21"/>
              </w:rPr>
            </w:pPr>
            <w:r>
              <w:rPr>
                <w:rFonts w:hint="default" w:ascii="Times New Roman" w:hAnsi="Times New Roman" w:cs="Times New Roman"/>
                <w:b w:val="0"/>
                <w:bCs/>
                <w:i w:val="0"/>
                <w:iCs w:val="0"/>
                <w:sz w:val="21"/>
                <w:szCs w:val="21"/>
              </w:rPr>
              <w:t>稀释液体积 (μl)</w:t>
            </w:r>
          </w:p>
        </w:tc>
        <w:tc>
          <w:tcPr>
            <w:tcW w:w="1366" w:type="dxa"/>
            <w:tcBorders>
              <w:top w:val="double" w:color="auto" w:sz="4" w:space="0"/>
              <w:bottom w:val="single" w:color="auto" w:sz="4" w:space="0"/>
            </w:tcBorders>
            <w:noWrap w:val="0"/>
            <w:vAlign w:val="center"/>
          </w:tcPr>
          <w:p w14:paraId="7B50F090">
            <w:pPr>
              <w:keepNext w:val="0"/>
              <w:keepLines w:val="0"/>
              <w:suppressLineNumbers w:val="0"/>
              <w:spacing w:before="0" w:beforeAutospacing="0" w:after="0" w:afterAutospacing="0"/>
              <w:ind w:left="0" w:right="0"/>
              <w:jc w:val="center"/>
              <w:rPr>
                <w:rFonts w:hint="default" w:ascii="Times New Roman" w:hAnsi="Times New Roman" w:cs="Times New Roman"/>
                <w:b w:val="0"/>
                <w:bCs/>
                <w:i w:val="0"/>
                <w:iCs w:val="0"/>
                <w:sz w:val="21"/>
                <w:szCs w:val="21"/>
              </w:rPr>
            </w:pPr>
            <w:r>
              <w:rPr>
                <w:rFonts w:hint="default" w:ascii="Times New Roman" w:hAnsi="Times New Roman" w:cs="Times New Roman"/>
                <w:b w:val="0"/>
                <w:bCs/>
                <w:i w:val="0"/>
                <w:iCs w:val="0"/>
                <w:sz w:val="21"/>
                <w:szCs w:val="21"/>
              </w:rPr>
              <w:t>终浓度</w:t>
            </w:r>
          </w:p>
          <w:p w14:paraId="43FB0BC7">
            <w:pPr>
              <w:keepNext w:val="0"/>
              <w:keepLines w:val="0"/>
              <w:suppressLineNumbers w:val="0"/>
              <w:spacing w:before="0" w:beforeAutospacing="0" w:after="0" w:afterAutospacing="0"/>
              <w:ind w:left="0" w:right="0"/>
              <w:jc w:val="center"/>
              <w:rPr>
                <w:rFonts w:hint="default" w:ascii="Times New Roman" w:hAnsi="Times New Roman" w:cs="Times New Roman"/>
                <w:b w:val="0"/>
                <w:bCs/>
                <w:i w:val="0"/>
                <w:iCs w:val="0"/>
                <w:sz w:val="21"/>
                <w:szCs w:val="21"/>
              </w:rPr>
            </w:pPr>
            <w:r>
              <w:rPr>
                <w:rFonts w:hint="default" w:ascii="Times New Roman" w:hAnsi="Times New Roman" w:cs="Times New Roman"/>
                <w:b w:val="0"/>
                <w:bCs/>
                <w:i w:val="0"/>
                <w:iCs w:val="0"/>
                <w:sz w:val="21"/>
                <w:szCs w:val="21"/>
              </w:rPr>
              <w:t>(μg/ml)</w:t>
            </w:r>
          </w:p>
        </w:tc>
      </w:tr>
      <w:tr w14:paraId="4FF33BCD">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tcBorders>
              <w:top w:val="single" w:color="auto" w:sz="4" w:space="0"/>
              <w:bottom w:val="nil"/>
            </w:tcBorders>
            <w:noWrap w:val="0"/>
            <w:vAlign w:val="center"/>
          </w:tcPr>
          <w:p w14:paraId="3EBE6871">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-1</w:t>
            </w:r>
          </w:p>
        </w:tc>
        <w:tc>
          <w:tcPr>
            <w:tcW w:w="1378" w:type="dxa"/>
            <w:tcBorders>
              <w:top w:val="single" w:color="auto" w:sz="4" w:space="0"/>
              <w:bottom w:val="nil"/>
            </w:tcBorders>
            <w:noWrap w:val="0"/>
            <w:vAlign w:val="center"/>
          </w:tcPr>
          <w:p w14:paraId="605633BF">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SS</w:t>
            </w:r>
          </w:p>
        </w:tc>
        <w:tc>
          <w:tcPr>
            <w:tcW w:w="1376" w:type="dxa"/>
            <w:tcBorders>
              <w:top w:val="single" w:color="auto" w:sz="4" w:space="0"/>
              <w:bottom w:val="nil"/>
            </w:tcBorders>
            <w:noWrap w:val="0"/>
            <w:vAlign w:val="center"/>
          </w:tcPr>
          <w:p w14:paraId="07254986">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800</w:t>
            </w:r>
          </w:p>
        </w:tc>
        <w:tc>
          <w:tcPr>
            <w:tcW w:w="1376" w:type="dxa"/>
            <w:tcBorders>
              <w:top w:val="single" w:color="auto" w:sz="4" w:space="0"/>
              <w:bottom w:val="nil"/>
            </w:tcBorders>
            <w:noWrap w:val="0"/>
            <w:vAlign w:val="center"/>
          </w:tcPr>
          <w:p w14:paraId="4C0C1293">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3200</w:t>
            </w:r>
          </w:p>
        </w:tc>
        <w:tc>
          <w:tcPr>
            <w:tcW w:w="1366" w:type="dxa"/>
            <w:tcBorders>
              <w:top w:val="single" w:color="auto" w:sz="4" w:space="0"/>
              <w:bottom w:val="nil"/>
            </w:tcBorders>
            <w:noWrap w:val="0"/>
            <w:vAlign w:val="center"/>
          </w:tcPr>
          <w:p w14:paraId="586DA052">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rPr>
            </w:pPr>
            <w:r>
              <w:rPr>
                <w:rFonts w:hint="default" w:ascii="Times New Roman" w:hAnsi="Times New Roman" w:cs="Times New Roman"/>
                <w:i w:val="0"/>
                <w:iCs w:val="0"/>
                <w:sz w:val="21"/>
                <w:szCs w:val="21"/>
                <w:lang w:val="en-US" w:eastAsia="zh-CN"/>
              </w:rPr>
              <w:t>40</w:t>
            </w:r>
          </w:p>
        </w:tc>
      </w:tr>
      <w:tr w14:paraId="040A5AE2">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tcBorders>
              <w:top w:val="nil"/>
            </w:tcBorders>
            <w:noWrap w:val="0"/>
            <w:vAlign w:val="center"/>
          </w:tcPr>
          <w:p w14:paraId="72BB47A2">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-2</w:t>
            </w:r>
          </w:p>
        </w:tc>
        <w:tc>
          <w:tcPr>
            <w:tcW w:w="1378" w:type="dxa"/>
            <w:tcBorders>
              <w:top w:val="nil"/>
            </w:tcBorders>
            <w:noWrap w:val="0"/>
            <w:vAlign w:val="center"/>
          </w:tcPr>
          <w:p w14:paraId="027FD1A9">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kern w:val="2"/>
                <w:sz w:val="21"/>
                <w:szCs w:val="21"/>
                <w:lang w:val="en-US" w:eastAsia="zh-CN" w:bidi="ar-SA"/>
              </w:rPr>
            </w:pPr>
            <w:r>
              <w:rPr>
                <w:rFonts w:hint="default" w:ascii="Times New Roman" w:hAnsi="Times New Roman" w:cs="Times New Roman"/>
                <w:i w:val="0"/>
                <w:iCs w:val="0"/>
                <w:sz w:val="21"/>
                <w:szCs w:val="21"/>
              </w:rPr>
              <w:t>LSS -1</w:t>
            </w:r>
          </w:p>
        </w:tc>
        <w:tc>
          <w:tcPr>
            <w:tcW w:w="1376" w:type="dxa"/>
            <w:tcBorders>
              <w:top w:val="nil"/>
            </w:tcBorders>
            <w:noWrap w:val="0"/>
            <w:vAlign w:val="center"/>
          </w:tcPr>
          <w:p w14:paraId="25327D54">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eastAsia="zh-CN"/>
              </w:rPr>
            </w:pPr>
            <w:r>
              <w:rPr>
                <w:rFonts w:hint="default" w:ascii="Times New Roman" w:hAnsi="Times New Roman" w:cs="Times New Roman"/>
                <w:i w:val="0"/>
                <w:iCs w:val="0"/>
                <w:sz w:val="21"/>
                <w:szCs w:val="21"/>
                <w:lang w:val="en-US" w:eastAsia="zh-CN"/>
              </w:rPr>
              <w:t>2000</w:t>
            </w:r>
          </w:p>
        </w:tc>
        <w:tc>
          <w:tcPr>
            <w:tcW w:w="1376" w:type="dxa"/>
            <w:tcBorders>
              <w:top w:val="nil"/>
            </w:tcBorders>
            <w:noWrap w:val="0"/>
            <w:vAlign w:val="center"/>
          </w:tcPr>
          <w:p w14:paraId="03FC69B8">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eastAsia="zh-CN"/>
              </w:rPr>
            </w:pPr>
            <w:r>
              <w:rPr>
                <w:rFonts w:hint="default" w:ascii="Times New Roman" w:hAnsi="Times New Roman" w:cs="Times New Roman"/>
                <w:i w:val="0"/>
                <w:iCs w:val="0"/>
                <w:sz w:val="21"/>
                <w:szCs w:val="21"/>
                <w:lang w:val="en-US" w:eastAsia="zh-CN"/>
              </w:rPr>
              <w:t>2000</w:t>
            </w:r>
          </w:p>
        </w:tc>
        <w:tc>
          <w:tcPr>
            <w:tcW w:w="1366" w:type="dxa"/>
            <w:tcBorders>
              <w:top w:val="nil"/>
            </w:tcBorders>
            <w:noWrap w:val="0"/>
            <w:vAlign w:val="center"/>
          </w:tcPr>
          <w:p w14:paraId="4F6F8D02">
            <w:pPr>
              <w:keepNext w:val="0"/>
              <w:keepLines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i w:val="0"/>
                <w:iCs w:val="0"/>
                <w:sz w:val="21"/>
                <w:szCs w:val="21"/>
                <w:lang w:val="en-US" w:eastAsia="zh-CN"/>
              </w:rPr>
            </w:pPr>
            <w:r>
              <w:rPr>
                <w:rFonts w:hint="default" w:ascii="Times New Roman" w:hAnsi="Times New Roman" w:cs="Times New Roman"/>
                <w:i w:val="0"/>
                <w:iCs w:val="0"/>
                <w:sz w:val="21"/>
                <w:szCs w:val="21"/>
                <w:lang w:val="en-US" w:eastAsia="zh-CN"/>
              </w:rPr>
              <w:t>20</w:t>
            </w:r>
          </w:p>
        </w:tc>
      </w:tr>
      <w:tr w14:paraId="62BDE5DD">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noWrap w:val="0"/>
            <w:vAlign w:val="center"/>
          </w:tcPr>
          <w:p w14:paraId="291942A5">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-3</w:t>
            </w:r>
          </w:p>
        </w:tc>
        <w:tc>
          <w:tcPr>
            <w:tcW w:w="1378" w:type="dxa"/>
            <w:noWrap w:val="0"/>
            <w:vAlign w:val="center"/>
          </w:tcPr>
          <w:p w14:paraId="39D2B98D">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kern w:val="2"/>
                <w:sz w:val="21"/>
                <w:szCs w:val="21"/>
                <w:lang w:val="en-US" w:eastAsia="zh-CN" w:bidi="ar-SA"/>
              </w:rPr>
            </w:pPr>
            <w:r>
              <w:rPr>
                <w:rFonts w:hint="default" w:ascii="Times New Roman" w:hAnsi="Times New Roman" w:cs="Times New Roman"/>
                <w:i w:val="0"/>
                <w:iCs w:val="0"/>
                <w:sz w:val="21"/>
                <w:szCs w:val="21"/>
              </w:rPr>
              <w:t>LSS -2</w:t>
            </w:r>
          </w:p>
        </w:tc>
        <w:tc>
          <w:tcPr>
            <w:tcW w:w="1376" w:type="dxa"/>
            <w:noWrap w:val="0"/>
            <w:vAlign w:val="center"/>
          </w:tcPr>
          <w:p w14:paraId="514CD8AD">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2000</w:t>
            </w:r>
          </w:p>
        </w:tc>
        <w:tc>
          <w:tcPr>
            <w:tcW w:w="1376" w:type="dxa"/>
            <w:noWrap w:val="0"/>
            <w:vAlign w:val="center"/>
          </w:tcPr>
          <w:p w14:paraId="10DE461F">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rPr>
            </w:pPr>
            <w:r>
              <w:rPr>
                <w:rFonts w:hint="default" w:ascii="Times New Roman" w:hAnsi="Times New Roman" w:cs="Times New Roman"/>
                <w:i w:val="0"/>
                <w:iCs w:val="0"/>
                <w:sz w:val="21"/>
                <w:szCs w:val="21"/>
                <w:lang w:val="en-US" w:eastAsia="zh-CN"/>
              </w:rPr>
              <w:t>2000</w:t>
            </w:r>
          </w:p>
        </w:tc>
        <w:tc>
          <w:tcPr>
            <w:tcW w:w="1366" w:type="dxa"/>
            <w:noWrap w:val="0"/>
            <w:vAlign w:val="center"/>
          </w:tcPr>
          <w:p w14:paraId="3F81F367">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10</w:t>
            </w:r>
          </w:p>
        </w:tc>
      </w:tr>
      <w:tr w14:paraId="23B14AA1">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noWrap w:val="0"/>
            <w:vAlign w:val="center"/>
          </w:tcPr>
          <w:p w14:paraId="165643F0">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-4</w:t>
            </w:r>
          </w:p>
        </w:tc>
        <w:tc>
          <w:tcPr>
            <w:tcW w:w="1378" w:type="dxa"/>
            <w:noWrap w:val="0"/>
            <w:vAlign w:val="center"/>
          </w:tcPr>
          <w:p w14:paraId="62DA88A3">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kern w:val="2"/>
                <w:sz w:val="21"/>
                <w:szCs w:val="21"/>
                <w:lang w:val="en-US" w:eastAsia="zh-CN" w:bidi="ar-SA"/>
              </w:rPr>
            </w:pPr>
            <w:r>
              <w:rPr>
                <w:rFonts w:hint="default" w:ascii="Times New Roman" w:hAnsi="Times New Roman" w:cs="Times New Roman"/>
                <w:i w:val="0"/>
                <w:iCs w:val="0"/>
                <w:sz w:val="21"/>
                <w:szCs w:val="21"/>
              </w:rPr>
              <w:t>LSS -3</w:t>
            </w:r>
          </w:p>
        </w:tc>
        <w:tc>
          <w:tcPr>
            <w:tcW w:w="1376" w:type="dxa"/>
            <w:noWrap w:val="0"/>
            <w:vAlign w:val="center"/>
          </w:tcPr>
          <w:p w14:paraId="685C8D33">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2000</w:t>
            </w:r>
          </w:p>
        </w:tc>
        <w:tc>
          <w:tcPr>
            <w:tcW w:w="1376" w:type="dxa"/>
            <w:noWrap w:val="0"/>
            <w:vAlign w:val="center"/>
          </w:tcPr>
          <w:p w14:paraId="5C46BEC9">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2000</w:t>
            </w:r>
          </w:p>
        </w:tc>
        <w:tc>
          <w:tcPr>
            <w:tcW w:w="1366" w:type="dxa"/>
            <w:noWrap w:val="0"/>
            <w:vAlign w:val="center"/>
          </w:tcPr>
          <w:p w14:paraId="4FEED8B4">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rPr>
            </w:pPr>
            <w:r>
              <w:rPr>
                <w:rFonts w:hint="default" w:ascii="Times New Roman" w:hAnsi="Times New Roman" w:cs="Times New Roman"/>
                <w:i w:val="0"/>
                <w:iCs w:val="0"/>
                <w:sz w:val="21"/>
                <w:szCs w:val="21"/>
                <w:lang w:val="en-US" w:eastAsia="zh-CN"/>
              </w:rPr>
              <w:t>5</w:t>
            </w:r>
          </w:p>
        </w:tc>
      </w:tr>
      <w:tr w14:paraId="3D84D837">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noWrap w:val="0"/>
            <w:vAlign w:val="center"/>
          </w:tcPr>
          <w:p w14:paraId="59C4B7E3">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-5</w:t>
            </w:r>
          </w:p>
        </w:tc>
        <w:tc>
          <w:tcPr>
            <w:tcW w:w="1378" w:type="dxa"/>
            <w:noWrap w:val="0"/>
            <w:vAlign w:val="center"/>
          </w:tcPr>
          <w:p w14:paraId="58B18906">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kern w:val="2"/>
                <w:sz w:val="21"/>
                <w:szCs w:val="21"/>
                <w:lang w:val="en-US" w:eastAsia="zh-CN" w:bidi="ar-SA"/>
              </w:rPr>
            </w:pPr>
            <w:r>
              <w:rPr>
                <w:rFonts w:hint="default" w:ascii="Times New Roman" w:hAnsi="Times New Roman" w:cs="Times New Roman"/>
                <w:i w:val="0"/>
                <w:iCs w:val="0"/>
                <w:sz w:val="21"/>
                <w:szCs w:val="21"/>
              </w:rPr>
              <w:t>LSS -4</w:t>
            </w:r>
          </w:p>
        </w:tc>
        <w:tc>
          <w:tcPr>
            <w:tcW w:w="1376" w:type="dxa"/>
            <w:noWrap w:val="0"/>
            <w:vAlign w:val="center"/>
          </w:tcPr>
          <w:p w14:paraId="75A4A21D">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2000</w:t>
            </w:r>
          </w:p>
        </w:tc>
        <w:tc>
          <w:tcPr>
            <w:tcW w:w="1376" w:type="dxa"/>
            <w:noWrap w:val="0"/>
            <w:vAlign w:val="center"/>
          </w:tcPr>
          <w:p w14:paraId="68005102">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2000</w:t>
            </w:r>
          </w:p>
        </w:tc>
        <w:tc>
          <w:tcPr>
            <w:tcW w:w="1366" w:type="dxa"/>
            <w:noWrap w:val="0"/>
            <w:vAlign w:val="center"/>
          </w:tcPr>
          <w:p w14:paraId="37E9D4B2">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2.5</w:t>
            </w:r>
          </w:p>
        </w:tc>
      </w:tr>
      <w:tr w14:paraId="554105B6">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tcBorders>
              <w:top w:val="nil"/>
              <w:bottom w:val="double" w:color="auto" w:sz="4" w:space="0"/>
            </w:tcBorders>
            <w:noWrap w:val="0"/>
            <w:vAlign w:val="center"/>
          </w:tcPr>
          <w:p w14:paraId="7B176B93">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eastAsia="zh-CN"/>
              </w:rPr>
            </w:pPr>
            <w:r>
              <w:rPr>
                <w:rFonts w:hint="default" w:ascii="Times New Roman" w:hAnsi="Times New Roman" w:cs="Times New Roman"/>
                <w:i w:val="0"/>
                <w:iCs w:val="0"/>
                <w:sz w:val="21"/>
                <w:szCs w:val="21"/>
              </w:rPr>
              <w:t>LSS -</w:t>
            </w:r>
            <w:r>
              <w:rPr>
                <w:rFonts w:hint="default" w:ascii="Times New Roman" w:hAnsi="Times New Roman" w:cs="Times New Roman"/>
                <w:i w:val="0"/>
                <w:iCs w:val="0"/>
                <w:sz w:val="21"/>
                <w:szCs w:val="21"/>
                <w:lang w:val="en-US" w:eastAsia="zh-CN"/>
              </w:rPr>
              <w:t>6</w:t>
            </w:r>
          </w:p>
        </w:tc>
        <w:tc>
          <w:tcPr>
            <w:tcW w:w="1378" w:type="dxa"/>
            <w:tcBorders>
              <w:top w:val="nil"/>
              <w:bottom w:val="double" w:color="auto" w:sz="4" w:space="0"/>
            </w:tcBorders>
            <w:noWrap w:val="0"/>
            <w:vAlign w:val="center"/>
          </w:tcPr>
          <w:p w14:paraId="40253F68">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rPr>
              <w:t>LSS -</w:t>
            </w:r>
            <w:r>
              <w:rPr>
                <w:rFonts w:hint="default" w:ascii="Times New Roman" w:hAnsi="Times New Roman" w:cs="Times New Roman"/>
                <w:i w:val="0"/>
                <w:iCs w:val="0"/>
                <w:sz w:val="21"/>
                <w:szCs w:val="21"/>
                <w:lang w:val="en-US" w:eastAsia="zh-CN"/>
              </w:rPr>
              <w:t>5</w:t>
            </w:r>
          </w:p>
        </w:tc>
        <w:tc>
          <w:tcPr>
            <w:tcW w:w="1376" w:type="dxa"/>
            <w:tcBorders>
              <w:top w:val="nil"/>
              <w:bottom w:val="double" w:color="auto" w:sz="4" w:space="0"/>
            </w:tcBorders>
            <w:noWrap w:val="0"/>
            <w:vAlign w:val="center"/>
          </w:tcPr>
          <w:p w14:paraId="01A4A1D4">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rPr>
            </w:pPr>
            <w:r>
              <w:rPr>
                <w:rFonts w:hint="default" w:ascii="Times New Roman" w:hAnsi="Times New Roman" w:cs="Times New Roman"/>
                <w:i w:val="0"/>
                <w:iCs w:val="0"/>
                <w:sz w:val="21"/>
                <w:szCs w:val="21"/>
                <w:lang w:val="en-US" w:eastAsia="zh-CN"/>
              </w:rPr>
              <w:t>1200</w:t>
            </w:r>
          </w:p>
        </w:tc>
        <w:tc>
          <w:tcPr>
            <w:tcW w:w="1376" w:type="dxa"/>
            <w:tcBorders>
              <w:top w:val="nil"/>
              <w:bottom w:val="double" w:color="auto" w:sz="4" w:space="0"/>
            </w:tcBorders>
            <w:noWrap w:val="0"/>
            <w:vAlign w:val="center"/>
          </w:tcPr>
          <w:p w14:paraId="28FCDFD1">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rPr>
            </w:pPr>
            <w:r>
              <w:rPr>
                <w:rFonts w:hint="default" w:ascii="Times New Roman" w:hAnsi="Times New Roman" w:cs="Times New Roman"/>
                <w:i w:val="0"/>
                <w:iCs w:val="0"/>
                <w:sz w:val="21"/>
                <w:szCs w:val="21"/>
                <w:lang w:val="en-US" w:eastAsia="zh-CN"/>
              </w:rPr>
              <w:t>800</w:t>
            </w:r>
          </w:p>
        </w:tc>
        <w:tc>
          <w:tcPr>
            <w:tcW w:w="1366" w:type="dxa"/>
            <w:tcBorders>
              <w:top w:val="nil"/>
              <w:bottom w:val="double" w:color="auto" w:sz="4" w:space="0"/>
            </w:tcBorders>
            <w:noWrap w:val="0"/>
            <w:vAlign w:val="center"/>
          </w:tcPr>
          <w:p w14:paraId="00C08863">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1.5</w:t>
            </w:r>
          </w:p>
        </w:tc>
      </w:tr>
    </w:tbl>
    <w:p w14:paraId="2F1C4EFA">
      <w:pPr>
        <w:spacing w:line="360" w:lineRule="auto"/>
        <w:ind w:firstLine="42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取0.5 mL（c）中1.5、2.5、5、10、20、40 μg/ml的Dox溶液加入（b）的超滤管中，在18000 × g离心10min，收集滤液。</w:t>
      </w:r>
    </w:p>
    <w:p w14:paraId="7B7E6891">
      <w:pPr>
        <w:spacing w:line="360" w:lineRule="auto"/>
        <w:ind w:firstLine="420"/>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e</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lang w:val="en-US" w:eastAsia="zh-CN"/>
        </w:rPr>
        <w:t xml:space="preserve"> 重复d</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lang w:val="en-US" w:eastAsia="zh-CN"/>
        </w:rPr>
        <w:t>三次，收集总滤液约1.5 mL，进</w:t>
      </w:r>
      <w:r>
        <w:rPr>
          <w:rFonts w:hint="default" w:ascii="Times New Roman" w:hAnsi="Times New Roman" w:cs="Times New Roman"/>
          <w:sz w:val="24"/>
          <w:szCs w:val="24"/>
          <w:lang w:val="en-US" w:eastAsia="zh-CN"/>
        </w:rPr>
        <w:t>行紫外/可见吸收光谱测试，并检测c)标准溶液的吸</w:t>
      </w:r>
      <w:r>
        <w:rPr>
          <w:rFonts w:hint="default" w:ascii="Times New Roman" w:hAnsi="Times New Roman" w:cs="Times New Roman"/>
          <w:sz w:val="24"/>
          <w:szCs w:val="24"/>
          <w:highlight w:val="none"/>
          <w:lang w:val="en-US" w:eastAsia="zh-CN"/>
        </w:rPr>
        <w:t>收光谱。Dox损失率不得超过8 %。</w:t>
      </w:r>
    </w:p>
    <w:p w14:paraId="0B291EFA">
      <w:pPr>
        <w:spacing w:line="360" w:lineRule="auto"/>
        <w:ind w:firstLine="42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紫外/可见吸收光谱</w:t>
      </w:r>
      <w:r>
        <w:rPr>
          <w:rFonts w:hint="default" w:ascii="Times New Roman" w:hAnsi="Times New Roman" w:cs="Times New Roman"/>
          <w:b/>
          <w:bCs/>
          <w:sz w:val="24"/>
          <w:szCs w:val="24"/>
          <w:lang w:val="en-US" w:eastAsia="zh-CN"/>
        </w:rPr>
        <w:t>测试条件</w:t>
      </w:r>
      <w:r>
        <w:rPr>
          <w:rFonts w:hint="default" w:ascii="Times New Roman" w:hAnsi="Times New Roman" w:cs="Times New Roman"/>
          <w:sz w:val="24"/>
          <w:szCs w:val="24"/>
          <w:lang w:val="en-US" w:eastAsia="zh-CN"/>
        </w:rPr>
        <w:t>：扫描范围为300 nm～</w:t>
      </w:r>
      <w:r>
        <w:rPr>
          <w:rFonts w:hint="default" w:ascii="Times New Roman" w:hAnsi="Times New Roman" w:cs="Times New Roman"/>
          <w:color w:val="auto"/>
          <w:sz w:val="24"/>
          <w:szCs w:val="24"/>
          <w:lang w:val="en-US" w:eastAsia="zh-CN"/>
        </w:rPr>
        <w:t>800</w:t>
      </w:r>
      <w:r>
        <w:rPr>
          <w:rFonts w:hint="default" w:ascii="Times New Roman" w:hAnsi="Times New Roman" w:cs="Times New Roman"/>
          <w:sz w:val="24"/>
          <w:szCs w:val="24"/>
          <w:lang w:val="en-US" w:eastAsia="zh-CN"/>
        </w:rPr>
        <w:t xml:space="preserve"> nm，步长为4 nm，光谱带宽为2 nm，曝光时间0.1 s，扫描速度600 nm/min，采用去离子水进行基线校准。</w:t>
      </w:r>
    </w:p>
    <w:p w14:paraId="3358C59E">
      <w:pPr>
        <w:spacing w:line="360" w:lineRule="auto"/>
        <w:ind w:firstLine="420"/>
        <w:rPr>
          <w:rFonts w:hint="default" w:ascii="Times New Roman" w:hAnsi="Times New Roman" w:cs="Times New Roman"/>
          <w:sz w:val="24"/>
          <w:szCs w:val="24"/>
        </w:rPr>
      </w:pPr>
      <w:r>
        <w:rPr>
          <w:rFonts w:hint="default" w:ascii="Times New Roman" w:hAnsi="Times New Roman" w:cs="Times New Roman"/>
          <w:sz w:val="24"/>
          <w:szCs w:val="24"/>
          <w:lang w:val="en-US" w:eastAsia="zh-CN"/>
        </w:rPr>
        <w:t>g</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对480 nm处的吸光度进行线性拟合，相关系数（R</w:t>
      </w:r>
      <w:r>
        <w:rPr>
          <w:rFonts w:hint="default" w:ascii="Times New Roman" w:hAnsi="Times New Roman" w:cs="Times New Roman"/>
          <w:sz w:val="24"/>
          <w:szCs w:val="24"/>
          <w:vertAlign w:val="superscript"/>
        </w:rPr>
        <w:t>2</w:t>
      </w:r>
      <w:r>
        <w:rPr>
          <w:rFonts w:hint="default" w:ascii="Times New Roman" w:hAnsi="Times New Roman" w:cs="Times New Roman"/>
          <w:sz w:val="24"/>
          <w:szCs w:val="24"/>
        </w:rPr>
        <w:t>）应不低于0.99</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w:t>
      </w:r>
    </w:p>
    <w:p w14:paraId="4266CF3D">
      <w:pPr>
        <w:numPr>
          <w:ilvl w:val="0"/>
          <w:numId w:val="0"/>
        </w:numPr>
        <w:jc w:val="center"/>
      </w:pPr>
      <w:r>
        <w:drawing>
          <wp:inline distT="0" distB="0" distL="114300" distR="114300">
            <wp:extent cx="3253740" cy="2288540"/>
            <wp:effectExtent l="5080" t="5080" r="17780" b="7620"/>
            <wp:docPr id="1" name="图表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DA7DDD5">
      <w:pPr>
        <w:numPr>
          <w:ilvl w:val="0"/>
          <w:numId w:val="0"/>
        </w:numPr>
        <w:jc w:val="center"/>
        <w:rPr>
          <w:rFonts w:hint="eastAsia"/>
          <w:b/>
          <w:bCs/>
          <w:sz w:val="21"/>
          <w:szCs w:val="21"/>
          <w:lang w:val="en-US" w:eastAsia="zh-CN"/>
        </w:rPr>
      </w:pPr>
      <w:r>
        <w:rPr>
          <w:rFonts w:hint="eastAsia"/>
          <w:b/>
          <w:bCs/>
          <w:sz w:val="21"/>
          <w:szCs w:val="21"/>
          <w:lang w:val="en-US" w:eastAsia="zh-CN"/>
        </w:rPr>
        <w:t>图</w:t>
      </w:r>
      <w:r>
        <w:rPr>
          <w:rFonts w:hint="default" w:ascii="Times New Roman" w:hAnsi="Times New Roman" w:cs="Times New Roman"/>
          <w:b/>
          <w:bCs/>
          <w:sz w:val="21"/>
          <w:szCs w:val="21"/>
          <w:lang w:val="en-US" w:eastAsia="zh-CN"/>
        </w:rPr>
        <w:t>3-2-1</w:t>
      </w:r>
      <w:r>
        <w:rPr>
          <w:rFonts w:hint="eastAsia"/>
          <w:b/>
          <w:bCs/>
          <w:sz w:val="21"/>
          <w:szCs w:val="21"/>
          <w:lang w:val="en-US" w:eastAsia="zh-CN"/>
        </w:rPr>
        <w:t xml:space="preserve"> 实验室</w:t>
      </w:r>
      <w:r>
        <w:rPr>
          <w:rFonts w:hint="default" w:ascii="Times New Roman" w:hAnsi="Times New Roman" w:cs="Times New Roman"/>
          <w:b/>
          <w:bCs/>
          <w:sz w:val="21"/>
          <w:szCs w:val="21"/>
          <w:lang w:val="en-US" w:eastAsia="zh-CN"/>
        </w:rPr>
        <w:t>1超</w:t>
      </w:r>
      <w:r>
        <w:rPr>
          <w:rFonts w:hint="eastAsia"/>
          <w:b/>
          <w:bCs/>
          <w:sz w:val="21"/>
          <w:szCs w:val="21"/>
          <w:lang w:val="en-US" w:eastAsia="zh-CN"/>
        </w:rPr>
        <w:t>滤前标准曲线</w:t>
      </w:r>
    </w:p>
    <w:p w14:paraId="7CC979E0">
      <w:pPr>
        <w:numPr>
          <w:ilvl w:val="0"/>
          <w:numId w:val="0"/>
        </w:numPr>
        <w:jc w:val="center"/>
        <w:rPr>
          <w:rFonts w:hint="eastAsia"/>
          <w:b/>
          <w:bCs/>
          <w:sz w:val="24"/>
          <w:szCs w:val="24"/>
          <w:lang w:val="en-US" w:eastAsia="zh-CN"/>
        </w:rPr>
      </w:pPr>
      <w:r>
        <w:drawing>
          <wp:inline distT="0" distB="0" distL="114300" distR="114300">
            <wp:extent cx="3338830" cy="2044065"/>
            <wp:effectExtent l="4445" t="4445" r="9525" b="8890"/>
            <wp:docPr id="4" name="图表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45A1893">
      <w:pPr>
        <w:numPr>
          <w:ilvl w:val="0"/>
          <w:numId w:val="0"/>
        </w:num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图3-2-2 </w:t>
      </w: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lang w:val="en-US" w:eastAsia="zh-CN"/>
        </w:rPr>
        <w:t>超滤后标准曲线</w:t>
      </w:r>
    </w:p>
    <w:p w14:paraId="5C55681C">
      <w:pPr>
        <w:jc w:val="center"/>
        <w:rPr>
          <w:b/>
          <w:bCs/>
          <w:szCs w:val="24"/>
        </w:rPr>
      </w:pPr>
      <w:r>
        <w:drawing>
          <wp:inline distT="0" distB="0" distL="114300" distR="114300">
            <wp:extent cx="3253740" cy="1996440"/>
            <wp:effectExtent l="0" t="0" r="7620" b="0"/>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pic:cNvPicPr>
                      <a:picLocks noChangeAspect="1"/>
                    </pic:cNvPicPr>
                  </pic:nvPicPr>
                  <pic:blipFill>
                    <a:blip r:embed="rId9"/>
                    <a:stretch>
                      <a:fillRect/>
                    </a:stretch>
                  </pic:blipFill>
                  <pic:spPr>
                    <a:xfrm>
                      <a:off x="0" y="0"/>
                      <a:ext cx="3253740" cy="1996440"/>
                    </a:xfrm>
                    <a:prstGeom prst="rect">
                      <a:avLst/>
                    </a:prstGeom>
                    <a:noFill/>
                    <a:ln>
                      <a:noFill/>
                    </a:ln>
                  </pic:spPr>
                </pic:pic>
              </a:graphicData>
            </a:graphic>
          </wp:inline>
        </w:drawing>
      </w:r>
    </w:p>
    <w:p w14:paraId="70067C57">
      <w:pPr>
        <w:pStyle w:val="41"/>
        <w:spacing w:line="360" w:lineRule="auto"/>
        <w:ind w:firstLine="0" w:firstLineChars="0"/>
        <w:jc w:val="center"/>
        <w:rPr>
          <w:rFonts w:hint="eastAsia"/>
          <w:sz w:val="21"/>
          <w:szCs w:val="21"/>
        </w:rPr>
      </w:pPr>
      <w:r>
        <w:rPr>
          <w:rFonts w:hint="eastAsia"/>
          <w:b/>
          <w:bCs/>
          <w:sz w:val="21"/>
          <w:szCs w:val="21"/>
        </w:rPr>
        <w:t>图</w:t>
      </w:r>
      <w:r>
        <w:rPr>
          <w:rFonts w:ascii="Times New Roman"/>
          <w:b/>
          <w:bCs/>
          <w:sz w:val="21"/>
          <w:szCs w:val="21"/>
        </w:rPr>
        <w:t>3-2-</w:t>
      </w:r>
      <w:r>
        <w:rPr>
          <w:rFonts w:hint="eastAsia" w:ascii="Times New Roman"/>
          <w:b/>
          <w:bCs/>
          <w:sz w:val="21"/>
          <w:szCs w:val="21"/>
          <w:lang w:val="en-US" w:eastAsia="zh-CN"/>
        </w:rPr>
        <w:t>3</w:t>
      </w:r>
      <w:r>
        <w:rPr>
          <w:rFonts w:hint="eastAsia"/>
          <w:b/>
          <w:bCs/>
          <w:sz w:val="21"/>
          <w:szCs w:val="21"/>
        </w:rPr>
        <w:t xml:space="preserve"> </w:t>
      </w:r>
      <w:r>
        <w:rPr>
          <w:rFonts w:hint="eastAsia"/>
          <w:b/>
          <w:bCs/>
          <w:sz w:val="21"/>
          <w:szCs w:val="21"/>
          <w:lang w:val="en-US" w:eastAsia="zh-CN"/>
        </w:rPr>
        <w:t>实验室</w:t>
      </w:r>
      <w:r>
        <w:rPr>
          <w:rFonts w:hint="default" w:ascii="Times New Roman" w:hAnsi="Times New Roman" w:cs="Times New Roman"/>
          <w:b/>
          <w:bCs/>
          <w:sz w:val="21"/>
          <w:szCs w:val="21"/>
          <w:lang w:val="en-US" w:eastAsia="zh-CN"/>
        </w:rPr>
        <w:t>2</w:t>
      </w:r>
      <w:r>
        <w:rPr>
          <w:rFonts w:hint="eastAsia"/>
          <w:b/>
          <w:bCs/>
          <w:sz w:val="21"/>
          <w:szCs w:val="21"/>
        </w:rPr>
        <w:t>超滤前后阿霉素标准曲线比较</w:t>
      </w:r>
    </w:p>
    <w:p w14:paraId="5740215B">
      <w:pPr>
        <w:numPr>
          <w:ilvl w:val="0"/>
          <w:numId w:val="0"/>
        </w:numPr>
        <w:jc w:val="center"/>
        <w:rPr>
          <w:rFonts w:hint="default" w:ascii="Times New Roman" w:hAnsi="Times New Roman" w:cs="Times New Roman"/>
          <w:lang w:val="en-US" w:eastAsia="zh-CN"/>
        </w:rPr>
      </w:pPr>
    </w:p>
    <w:p w14:paraId="42E5A544">
      <w:pPr>
        <w:numPr>
          <w:ilvl w:val="0"/>
          <w:numId w:val="0"/>
        </w:num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表3-2-1 实验室</w:t>
      </w:r>
      <w:r>
        <w:rPr>
          <w:rFonts w:hint="eastAsia" w:ascii="Times New Roman" w:hAnsi="Times New Roman" w:cs="Times New Roman"/>
          <w:b/>
          <w:bCs/>
          <w:sz w:val="21"/>
          <w:szCs w:val="21"/>
          <w:lang w:val="en-US" w:eastAsia="zh-CN"/>
        </w:rPr>
        <w:t>1</w:t>
      </w:r>
      <w:r>
        <w:rPr>
          <w:rFonts w:hint="default" w:ascii="Times New Roman" w:hAnsi="Times New Roman" w:cs="Times New Roman"/>
          <w:b/>
          <w:bCs/>
          <w:sz w:val="21"/>
          <w:szCs w:val="21"/>
          <w:lang w:val="en-US" w:eastAsia="zh-CN"/>
        </w:rPr>
        <w:t>超滤前后标准溶液的吸光度值表</w:t>
      </w:r>
    </w:p>
    <w:tbl>
      <w:tblPr>
        <w:tblStyle w:val="1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1"/>
        <w:gridCol w:w="1975"/>
        <w:gridCol w:w="2080"/>
        <w:gridCol w:w="2458"/>
      </w:tblGrid>
      <w:tr w14:paraId="6765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1991" w:type="dxa"/>
            <w:noWrap w:val="0"/>
            <w:vAlign w:val="center"/>
          </w:tcPr>
          <w:p w14:paraId="7B065D5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标准溶液中的</w:t>
            </w:r>
          </w:p>
          <w:p w14:paraId="063F28D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Dox浓度（mg/L）</w:t>
            </w:r>
          </w:p>
        </w:tc>
        <w:tc>
          <w:tcPr>
            <w:tcW w:w="1975" w:type="dxa"/>
            <w:noWrap w:val="0"/>
            <w:vAlign w:val="center"/>
          </w:tcPr>
          <w:p w14:paraId="17ECC95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lang w:val="en-US" w:eastAsia="zh-CN"/>
              </w:rPr>
              <w:t>超滤前480 nm处的吸光度</w:t>
            </w:r>
          </w:p>
        </w:tc>
        <w:tc>
          <w:tcPr>
            <w:tcW w:w="2080" w:type="dxa"/>
            <w:noWrap w:val="0"/>
            <w:vAlign w:val="center"/>
          </w:tcPr>
          <w:p w14:paraId="3AF10BF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lang w:val="en-US" w:eastAsia="zh-CN"/>
              </w:rPr>
              <w:t>超滤后480 nm处的吸光度</w:t>
            </w:r>
          </w:p>
        </w:tc>
        <w:tc>
          <w:tcPr>
            <w:tcW w:w="2458" w:type="dxa"/>
            <w:noWrap w:val="0"/>
            <w:vAlign w:val="center"/>
          </w:tcPr>
          <w:p w14:paraId="7BFA8FD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损失（%，损失为负）</w:t>
            </w:r>
          </w:p>
        </w:tc>
      </w:tr>
      <w:tr w14:paraId="1E99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991" w:type="dxa"/>
            <w:noWrap w:val="0"/>
            <w:vAlign w:val="center"/>
          </w:tcPr>
          <w:p w14:paraId="4119F24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1.5</w:t>
            </w:r>
          </w:p>
        </w:tc>
        <w:tc>
          <w:tcPr>
            <w:tcW w:w="1975" w:type="dxa"/>
            <w:noWrap w:val="0"/>
            <w:vAlign w:val="center"/>
          </w:tcPr>
          <w:p w14:paraId="22C86CF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0.0288</w:t>
            </w:r>
          </w:p>
        </w:tc>
        <w:tc>
          <w:tcPr>
            <w:tcW w:w="2080" w:type="dxa"/>
            <w:noWrap w:val="0"/>
            <w:vAlign w:val="center"/>
          </w:tcPr>
          <w:p w14:paraId="071AF52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0.0418</w:t>
            </w:r>
          </w:p>
        </w:tc>
        <w:tc>
          <w:tcPr>
            <w:tcW w:w="2458" w:type="dxa"/>
            <w:noWrap w:val="0"/>
            <w:vAlign w:val="center"/>
          </w:tcPr>
          <w:p w14:paraId="7AE299C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45.13</w:t>
            </w:r>
          </w:p>
        </w:tc>
      </w:tr>
      <w:tr w14:paraId="14C5F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991" w:type="dxa"/>
            <w:noWrap w:val="0"/>
            <w:vAlign w:val="center"/>
          </w:tcPr>
          <w:p w14:paraId="1867D2A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2.5</w:t>
            </w:r>
          </w:p>
        </w:tc>
        <w:tc>
          <w:tcPr>
            <w:tcW w:w="1975" w:type="dxa"/>
            <w:noWrap w:val="0"/>
            <w:vAlign w:val="center"/>
          </w:tcPr>
          <w:p w14:paraId="093F526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0.0521</w:t>
            </w:r>
          </w:p>
        </w:tc>
        <w:tc>
          <w:tcPr>
            <w:tcW w:w="2080" w:type="dxa"/>
            <w:noWrap w:val="0"/>
            <w:vAlign w:val="center"/>
          </w:tcPr>
          <w:p w14:paraId="535AA57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0.0580</w:t>
            </w:r>
          </w:p>
        </w:tc>
        <w:tc>
          <w:tcPr>
            <w:tcW w:w="2458" w:type="dxa"/>
            <w:noWrap w:val="0"/>
            <w:vAlign w:val="center"/>
          </w:tcPr>
          <w:p w14:paraId="282E896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11.32</w:t>
            </w:r>
          </w:p>
        </w:tc>
      </w:tr>
      <w:tr w14:paraId="0DE78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991" w:type="dxa"/>
            <w:noWrap w:val="0"/>
            <w:vAlign w:val="center"/>
          </w:tcPr>
          <w:p w14:paraId="784D99D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w:t>
            </w:r>
          </w:p>
        </w:tc>
        <w:tc>
          <w:tcPr>
            <w:tcW w:w="1975" w:type="dxa"/>
            <w:noWrap w:val="0"/>
            <w:vAlign w:val="center"/>
          </w:tcPr>
          <w:p w14:paraId="1FA15A1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0.1033</w:t>
            </w:r>
          </w:p>
        </w:tc>
        <w:tc>
          <w:tcPr>
            <w:tcW w:w="2080" w:type="dxa"/>
            <w:noWrap w:val="0"/>
            <w:vAlign w:val="center"/>
          </w:tcPr>
          <w:p w14:paraId="740A2B1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0.0978</w:t>
            </w:r>
          </w:p>
        </w:tc>
        <w:tc>
          <w:tcPr>
            <w:tcW w:w="2458" w:type="dxa"/>
            <w:noWrap w:val="0"/>
            <w:vAlign w:val="center"/>
          </w:tcPr>
          <w:p w14:paraId="5059F05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-5.32</w:t>
            </w:r>
          </w:p>
        </w:tc>
      </w:tr>
      <w:tr w14:paraId="2497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991" w:type="dxa"/>
            <w:noWrap w:val="0"/>
            <w:vAlign w:val="center"/>
          </w:tcPr>
          <w:p w14:paraId="563BE02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10</w:t>
            </w:r>
          </w:p>
        </w:tc>
        <w:tc>
          <w:tcPr>
            <w:tcW w:w="1975" w:type="dxa"/>
            <w:noWrap w:val="0"/>
            <w:vAlign w:val="center"/>
          </w:tcPr>
          <w:p w14:paraId="7A3189B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0.2041</w:t>
            </w:r>
          </w:p>
        </w:tc>
        <w:tc>
          <w:tcPr>
            <w:tcW w:w="2080" w:type="dxa"/>
            <w:noWrap w:val="0"/>
            <w:vAlign w:val="center"/>
          </w:tcPr>
          <w:p w14:paraId="5463C48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0.1940</w:t>
            </w:r>
          </w:p>
        </w:tc>
        <w:tc>
          <w:tcPr>
            <w:tcW w:w="2458" w:type="dxa"/>
            <w:noWrap w:val="0"/>
            <w:vAlign w:val="center"/>
          </w:tcPr>
          <w:p w14:paraId="2636684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-4.94</w:t>
            </w:r>
          </w:p>
        </w:tc>
      </w:tr>
      <w:tr w14:paraId="1571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991" w:type="dxa"/>
            <w:noWrap w:val="0"/>
            <w:vAlign w:val="center"/>
          </w:tcPr>
          <w:p w14:paraId="196B703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20</w:t>
            </w:r>
          </w:p>
        </w:tc>
        <w:tc>
          <w:tcPr>
            <w:tcW w:w="1975" w:type="dxa"/>
            <w:noWrap w:val="0"/>
            <w:vAlign w:val="center"/>
          </w:tcPr>
          <w:p w14:paraId="2D1E391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0.4000</w:t>
            </w:r>
          </w:p>
        </w:tc>
        <w:tc>
          <w:tcPr>
            <w:tcW w:w="2080" w:type="dxa"/>
            <w:noWrap w:val="0"/>
            <w:vAlign w:val="center"/>
          </w:tcPr>
          <w:p w14:paraId="21F7DCD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0.3820</w:t>
            </w:r>
          </w:p>
        </w:tc>
        <w:tc>
          <w:tcPr>
            <w:tcW w:w="2458" w:type="dxa"/>
            <w:noWrap w:val="0"/>
            <w:vAlign w:val="center"/>
          </w:tcPr>
          <w:p w14:paraId="4F9B59C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-4.50</w:t>
            </w:r>
          </w:p>
        </w:tc>
      </w:tr>
      <w:tr w14:paraId="1932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991" w:type="dxa"/>
            <w:noWrap w:val="0"/>
            <w:vAlign w:val="center"/>
          </w:tcPr>
          <w:p w14:paraId="591149F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40</w:t>
            </w:r>
          </w:p>
        </w:tc>
        <w:tc>
          <w:tcPr>
            <w:tcW w:w="1975" w:type="dxa"/>
            <w:noWrap w:val="0"/>
            <w:vAlign w:val="center"/>
          </w:tcPr>
          <w:p w14:paraId="75D3E7B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0.7776</w:t>
            </w:r>
          </w:p>
        </w:tc>
        <w:tc>
          <w:tcPr>
            <w:tcW w:w="2080" w:type="dxa"/>
            <w:noWrap w:val="0"/>
            <w:vAlign w:val="center"/>
          </w:tcPr>
          <w:p w14:paraId="1C7ADDF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0.7475</w:t>
            </w:r>
          </w:p>
        </w:tc>
        <w:tc>
          <w:tcPr>
            <w:tcW w:w="2458" w:type="dxa"/>
            <w:noWrap w:val="0"/>
            <w:vAlign w:val="center"/>
          </w:tcPr>
          <w:p w14:paraId="108048A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-3.87</w:t>
            </w:r>
          </w:p>
        </w:tc>
      </w:tr>
    </w:tbl>
    <w:p w14:paraId="67A58A52">
      <w:pPr>
        <w:jc w:val="center"/>
        <w:rPr>
          <w:b/>
          <w:bCs/>
          <w:szCs w:val="24"/>
        </w:rPr>
      </w:pPr>
    </w:p>
    <w:p w14:paraId="5DC5DFB8">
      <w:pPr>
        <w:jc w:val="center"/>
        <w:rPr>
          <w:rFonts w:hint="default" w:ascii="Times New Roman" w:hAnsi="Times New Roman" w:cs="Times New Roman"/>
          <w:b/>
          <w:bCs/>
        </w:rPr>
      </w:pPr>
      <w:r>
        <w:rPr>
          <w:rFonts w:hint="default" w:ascii="Times New Roman" w:hAnsi="Times New Roman" w:cs="Times New Roman"/>
          <w:b/>
          <w:bCs/>
          <w:szCs w:val="24"/>
        </w:rPr>
        <w:t>表3-2-</w:t>
      </w:r>
      <w:r>
        <w:rPr>
          <w:rFonts w:hint="eastAsia" w:ascii="Times New Roman" w:hAnsi="Times New Roman" w:cs="Times New Roman"/>
          <w:b/>
          <w:bCs/>
          <w:szCs w:val="24"/>
          <w:lang w:val="en-US" w:eastAsia="zh-CN"/>
        </w:rPr>
        <w:t>2</w:t>
      </w:r>
      <w:r>
        <w:rPr>
          <w:rFonts w:hint="default" w:ascii="Times New Roman" w:hAnsi="Times New Roman" w:cs="Times New Roman"/>
          <w:b/>
          <w:bCs/>
          <w:szCs w:val="24"/>
        </w:rPr>
        <w:t xml:space="preserve"> 实验室2超滤前后标准溶液的吸光度值表</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0"/>
        <w:gridCol w:w="2221"/>
        <w:gridCol w:w="2221"/>
        <w:gridCol w:w="1478"/>
      </w:tblGrid>
      <w:tr w14:paraId="13BE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25" w:type="pct"/>
            <w:noWrap w:val="0"/>
            <w:vAlign w:val="center"/>
          </w:tcPr>
          <w:p w14:paraId="73C1D39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rPr>
            </w:pPr>
            <w:r>
              <w:rPr>
                <w:rFonts w:hint="default" w:ascii="Times New Roman" w:hAnsi="Times New Roman" w:cs="Times New Roman"/>
                <w:b/>
                <w:bCs/>
              </w:rPr>
              <w:t>标准溶液中</w:t>
            </w:r>
          </w:p>
          <w:p w14:paraId="49E78B4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rPr>
            </w:pPr>
            <w:r>
              <w:rPr>
                <w:rFonts w:hint="default" w:ascii="Times New Roman" w:hAnsi="Times New Roman" w:cs="Times New Roman"/>
                <w:b/>
                <w:bCs/>
              </w:rPr>
              <w:t>Dox浓度（mg/L）</w:t>
            </w:r>
          </w:p>
        </w:tc>
        <w:tc>
          <w:tcPr>
            <w:tcW w:w="1303" w:type="pct"/>
            <w:noWrap w:val="0"/>
            <w:vAlign w:val="center"/>
          </w:tcPr>
          <w:p w14:paraId="407E4A0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rPr>
            </w:pPr>
            <w:r>
              <w:rPr>
                <w:rFonts w:hint="default" w:ascii="Times New Roman" w:hAnsi="Times New Roman" w:cs="Times New Roman"/>
                <w:b/>
                <w:bCs/>
                <w:szCs w:val="24"/>
              </w:rPr>
              <w:t>超滤前480 nm处的吸光度</w:t>
            </w:r>
          </w:p>
        </w:tc>
        <w:tc>
          <w:tcPr>
            <w:tcW w:w="1303" w:type="pct"/>
            <w:noWrap w:val="0"/>
            <w:vAlign w:val="center"/>
          </w:tcPr>
          <w:p w14:paraId="2125BA5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rPr>
            </w:pPr>
            <w:r>
              <w:rPr>
                <w:rFonts w:hint="default" w:ascii="Times New Roman" w:hAnsi="Times New Roman" w:cs="Times New Roman"/>
                <w:b/>
                <w:bCs/>
                <w:szCs w:val="24"/>
              </w:rPr>
              <w:t>超滤后480 nm处的吸光度</w:t>
            </w:r>
          </w:p>
        </w:tc>
        <w:tc>
          <w:tcPr>
            <w:tcW w:w="867" w:type="pct"/>
            <w:noWrap w:val="0"/>
            <w:vAlign w:val="center"/>
          </w:tcPr>
          <w:p w14:paraId="1C30707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rPr>
            </w:pPr>
            <w:r>
              <w:rPr>
                <w:rFonts w:hint="default" w:ascii="Times New Roman" w:hAnsi="Times New Roman" w:cs="Times New Roman"/>
                <w:b/>
                <w:bCs/>
              </w:rPr>
              <w:t>损失</w:t>
            </w:r>
          </w:p>
        </w:tc>
      </w:tr>
      <w:tr w14:paraId="3BC9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525" w:type="pct"/>
            <w:noWrap w:val="0"/>
            <w:vAlign w:val="center"/>
          </w:tcPr>
          <w:p w14:paraId="37303CE0">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1.496</w:t>
            </w:r>
          </w:p>
        </w:tc>
        <w:tc>
          <w:tcPr>
            <w:tcW w:w="1303" w:type="pct"/>
            <w:noWrap w:val="0"/>
            <w:vAlign w:val="center"/>
          </w:tcPr>
          <w:p w14:paraId="36A28C7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0.0324</w:t>
            </w:r>
          </w:p>
        </w:tc>
        <w:tc>
          <w:tcPr>
            <w:tcW w:w="1303" w:type="pct"/>
            <w:noWrap w:val="0"/>
            <w:vAlign w:val="center"/>
          </w:tcPr>
          <w:p w14:paraId="3216408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0.0338</w:t>
            </w:r>
          </w:p>
        </w:tc>
        <w:tc>
          <w:tcPr>
            <w:tcW w:w="867" w:type="pct"/>
            <w:noWrap w:val="0"/>
            <w:vAlign w:val="center"/>
          </w:tcPr>
          <w:p w14:paraId="115D7B6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4.3%</w:t>
            </w:r>
          </w:p>
        </w:tc>
      </w:tr>
      <w:tr w14:paraId="7A36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525" w:type="pct"/>
            <w:noWrap w:val="0"/>
            <w:vAlign w:val="center"/>
          </w:tcPr>
          <w:p w14:paraId="7ED30B9E">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2.494</w:t>
            </w:r>
          </w:p>
        </w:tc>
        <w:tc>
          <w:tcPr>
            <w:tcW w:w="1303" w:type="pct"/>
            <w:noWrap w:val="0"/>
            <w:vAlign w:val="center"/>
          </w:tcPr>
          <w:p w14:paraId="272EB3B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0.0609</w:t>
            </w:r>
          </w:p>
        </w:tc>
        <w:tc>
          <w:tcPr>
            <w:tcW w:w="1303" w:type="pct"/>
            <w:noWrap w:val="0"/>
            <w:vAlign w:val="center"/>
          </w:tcPr>
          <w:p w14:paraId="29C3244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0.0611</w:t>
            </w:r>
          </w:p>
        </w:tc>
        <w:tc>
          <w:tcPr>
            <w:tcW w:w="867" w:type="pct"/>
            <w:noWrap w:val="0"/>
            <w:vAlign w:val="center"/>
          </w:tcPr>
          <w:p w14:paraId="6117913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0.3%</w:t>
            </w:r>
          </w:p>
        </w:tc>
      </w:tr>
      <w:tr w14:paraId="31CB1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525" w:type="pct"/>
            <w:noWrap w:val="0"/>
            <w:vAlign w:val="center"/>
          </w:tcPr>
          <w:p w14:paraId="2483D671">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4.987</w:t>
            </w:r>
          </w:p>
        </w:tc>
        <w:tc>
          <w:tcPr>
            <w:tcW w:w="1303" w:type="pct"/>
            <w:noWrap w:val="0"/>
            <w:vAlign w:val="center"/>
          </w:tcPr>
          <w:p w14:paraId="4F7239A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0.1145</w:t>
            </w:r>
          </w:p>
        </w:tc>
        <w:tc>
          <w:tcPr>
            <w:tcW w:w="1303" w:type="pct"/>
            <w:noWrap w:val="0"/>
            <w:vAlign w:val="center"/>
          </w:tcPr>
          <w:p w14:paraId="6491E56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0.1205</w:t>
            </w:r>
          </w:p>
        </w:tc>
        <w:tc>
          <w:tcPr>
            <w:tcW w:w="867" w:type="pct"/>
            <w:noWrap w:val="0"/>
            <w:vAlign w:val="center"/>
          </w:tcPr>
          <w:p w14:paraId="7EBC4C5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5.2%</w:t>
            </w:r>
          </w:p>
        </w:tc>
      </w:tr>
      <w:tr w14:paraId="72D84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525" w:type="pct"/>
            <w:noWrap w:val="0"/>
            <w:vAlign w:val="center"/>
          </w:tcPr>
          <w:p w14:paraId="42BC34BE">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9.975</w:t>
            </w:r>
          </w:p>
        </w:tc>
        <w:tc>
          <w:tcPr>
            <w:tcW w:w="1303" w:type="pct"/>
            <w:noWrap w:val="0"/>
            <w:vAlign w:val="center"/>
          </w:tcPr>
          <w:p w14:paraId="10F352F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0.2183</w:t>
            </w:r>
          </w:p>
        </w:tc>
        <w:tc>
          <w:tcPr>
            <w:tcW w:w="1303" w:type="pct"/>
            <w:noWrap w:val="0"/>
            <w:vAlign w:val="center"/>
          </w:tcPr>
          <w:p w14:paraId="6447B4B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0.2233</w:t>
            </w:r>
          </w:p>
        </w:tc>
        <w:tc>
          <w:tcPr>
            <w:tcW w:w="867" w:type="pct"/>
            <w:noWrap w:val="0"/>
            <w:vAlign w:val="center"/>
          </w:tcPr>
          <w:p w14:paraId="67AE8BC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2.3%</w:t>
            </w:r>
          </w:p>
        </w:tc>
      </w:tr>
      <w:tr w14:paraId="3FD10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525" w:type="pct"/>
            <w:noWrap w:val="0"/>
            <w:vAlign w:val="center"/>
          </w:tcPr>
          <w:p w14:paraId="43E7FE9D">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19.949</w:t>
            </w:r>
          </w:p>
        </w:tc>
        <w:tc>
          <w:tcPr>
            <w:tcW w:w="1303" w:type="pct"/>
            <w:noWrap w:val="0"/>
            <w:vAlign w:val="center"/>
          </w:tcPr>
          <w:p w14:paraId="2147BD1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0.4489</w:t>
            </w:r>
          </w:p>
        </w:tc>
        <w:tc>
          <w:tcPr>
            <w:tcW w:w="1303" w:type="pct"/>
            <w:noWrap w:val="0"/>
            <w:vAlign w:val="center"/>
          </w:tcPr>
          <w:p w14:paraId="33AA181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0.4479</w:t>
            </w:r>
          </w:p>
        </w:tc>
        <w:tc>
          <w:tcPr>
            <w:tcW w:w="867" w:type="pct"/>
            <w:noWrap w:val="0"/>
            <w:vAlign w:val="center"/>
          </w:tcPr>
          <w:p w14:paraId="325E8BE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-0.2%</w:t>
            </w:r>
          </w:p>
        </w:tc>
      </w:tr>
      <w:tr w14:paraId="1BF81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525" w:type="pct"/>
            <w:noWrap w:val="0"/>
            <w:vAlign w:val="center"/>
          </w:tcPr>
          <w:p w14:paraId="4E26B5AF">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39.899</w:t>
            </w:r>
          </w:p>
        </w:tc>
        <w:tc>
          <w:tcPr>
            <w:tcW w:w="1303" w:type="pct"/>
            <w:noWrap w:val="0"/>
            <w:vAlign w:val="center"/>
          </w:tcPr>
          <w:p w14:paraId="3C039B0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0.8769</w:t>
            </w:r>
          </w:p>
        </w:tc>
        <w:tc>
          <w:tcPr>
            <w:tcW w:w="1303" w:type="pct"/>
            <w:noWrap w:val="0"/>
            <w:vAlign w:val="center"/>
          </w:tcPr>
          <w:p w14:paraId="67579BB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0.8821</w:t>
            </w:r>
          </w:p>
        </w:tc>
        <w:tc>
          <w:tcPr>
            <w:tcW w:w="867" w:type="pct"/>
            <w:noWrap w:val="0"/>
            <w:vAlign w:val="center"/>
          </w:tcPr>
          <w:p w14:paraId="7A29293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0.6%</w:t>
            </w:r>
          </w:p>
        </w:tc>
      </w:tr>
    </w:tbl>
    <w:p w14:paraId="1DCDF277">
      <w:pPr>
        <w:jc w:val="center"/>
        <w:rPr>
          <w:b/>
          <w:bCs/>
          <w:szCs w:val="24"/>
        </w:rPr>
      </w:pPr>
    </w:p>
    <w:p w14:paraId="71EDC825">
      <w:pPr>
        <w:pStyle w:val="53"/>
        <w:rPr>
          <w:rFonts w:hint="default" w:ascii="Times New Roman" w:hAnsi="Times New Roman" w:cs="Times New Roman"/>
          <w:sz w:val="24"/>
          <w:szCs w:val="24"/>
        </w:rPr>
      </w:pPr>
      <w:bookmarkStart w:id="33" w:name="_Toc1410"/>
      <w:r>
        <w:rPr>
          <w:rFonts w:hint="default" w:ascii="Times New Roman" w:hAnsi="Times New Roman" w:cs="Times New Roman"/>
          <w:sz w:val="24"/>
          <w:szCs w:val="24"/>
        </w:rPr>
        <w:t>3.2.2.2 样品含量测定</w:t>
      </w:r>
      <w:bookmarkEnd w:id="33"/>
    </w:p>
    <w:p w14:paraId="5B21D4D1">
      <w:pPr>
        <w:pStyle w:val="41"/>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a) </w:t>
      </w:r>
      <w:r>
        <w:rPr>
          <w:rFonts w:hint="default" w:ascii="Times New Roman" w:hAnsi="Times New Roman" w:cs="Times New Roman"/>
          <w:sz w:val="24"/>
          <w:szCs w:val="24"/>
          <w:lang w:eastAsia="zh-CN"/>
        </w:rPr>
        <w:t>将</w:t>
      </w:r>
      <w:r>
        <w:rPr>
          <w:rFonts w:hint="default" w:ascii="Times New Roman" w:hAnsi="Times New Roman" w:cs="Times New Roman"/>
          <w:sz w:val="24"/>
          <w:szCs w:val="24"/>
        </w:rPr>
        <w:t>2 mg/mL阿霉素脂质体，</w:t>
      </w:r>
      <w:r>
        <w:rPr>
          <w:rFonts w:hint="default" w:ascii="Times New Roman" w:hAnsi="Times New Roman" w:cs="Times New Roman"/>
          <w:sz w:val="24"/>
          <w:szCs w:val="24"/>
          <w:lang w:eastAsia="zh-CN"/>
        </w:rPr>
        <w:t>用</w:t>
      </w:r>
      <w:r>
        <w:rPr>
          <w:rFonts w:hint="default" w:ascii="Times New Roman" w:hAnsi="Times New Roman" w:cs="Times New Roman"/>
          <w:color w:val="auto"/>
          <w:sz w:val="24"/>
          <w:szCs w:val="24"/>
          <w:lang w:eastAsia="zh-CN"/>
        </w:rPr>
        <w:t>去离子水稀释</w:t>
      </w:r>
      <w:r>
        <w:rPr>
          <w:rFonts w:hint="default" w:ascii="Times New Roman" w:hAnsi="Times New Roman" w:cs="Times New Roman"/>
          <w:color w:val="auto"/>
          <w:sz w:val="24"/>
          <w:szCs w:val="24"/>
          <w:lang w:val="en-US" w:eastAsia="zh-CN"/>
        </w:rPr>
        <w:t>5倍</w:t>
      </w:r>
      <w:r>
        <w:rPr>
          <w:rFonts w:hint="default" w:ascii="Times New Roman" w:hAnsi="Times New Roman" w:cs="Times New Roman"/>
          <w:sz w:val="24"/>
          <w:szCs w:val="24"/>
        </w:rPr>
        <w:t>，温和混匀，避免起泡。</w:t>
      </w:r>
    </w:p>
    <w:p w14:paraId="382C0653">
      <w:pPr>
        <w:pStyle w:val="41"/>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b) 取</w:t>
      </w:r>
      <w:r>
        <w:rPr>
          <w:rFonts w:hint="default" w:ascii="Times New Roman" w:hAnsi="Times New Roman" w:cs="Times New Roman"/>
          <w:color w:val="auto"/>
          <w:sz w:val="24"/>
          <w:szCs w:val="24"/>
        </w:rPr>
        <w:t>0.5 m</w:t>
      </w:r>
      <w:r>
        <w:rPr>
          <w:rFonts w:hint="default" w:ascii="Times New Roman" w:hAnsi="Times New Roman" w:cs="Times New Roman"/>
          <w:color w:val="auto"/>
          <w:sz w:val="24"/>
          <w:szCs w:val="24"/>
          <w:lang w:val="en-US" w:eastAsia="zh-CN"/>
        </w:rPr>
        <w:t>L</w:t>
      </w:r>
      <w:r>
        <w:rPr>
          <w:rFonts w:hint="default" w:ascii="Times New Roman" w:hAnsi="Times New Roman" w:cs="Times New Roman"/>
          <w:sz w:val="24"/>
          <w:szCs w:val="24"/>
        </w:rPr>
        <w:t xml:space="preserve"> 3.2.2.2</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a)中制备的溶液置于3.2.2.</w:t>
      </w:r>
      <w:r>
        <w:rPr>
          <w:rFonts w:hint="default" w:ascii="Times New Roman" w:hAnsi="Times New Roman" w:cs="Times New Roman"/>
          <w:sz w:val="24"/>
          <w:szCs w:val="24"/>
          <w:lang w:val="en-US" w:eastAsia="zh-CN"/>
        </w:rPr>
        <w:t>1 b</w:t>
      </w:r>
      <w:r>
        <w:rPr>
          <w:rFonts w:hint="default" w:ascii="Times New Roman" w:hAnsi="Times New Roman" w:cs="Times New Roman"/>
          <w:sz w:val="24"/>
          <w:szCs w:val="24"/>
        </w:rPr>
        <w:t>)超滤离心管中</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3个平行样</w:t>
      </w:r>
      <w:r>
        <w:rPr>
          <w:rFonts w:hint="default" w:ascii="Times New Roman" w:hAnsi="Times New Roman" w:cs="Times New Roman"/>
          <w:sz w:val="24"/>
          <w:szCs w:val="24"/>
          <w:lang w:eastAsia="zh-CN"/>
        </w:rPr>
        <w:t>）</w:t>
      </w:r>
      <w:r>
        <w:rPr>
          <w:rFonts w:hint="default" w:ascii="Times New Roman" w:hAnsi="Times New Roman" w:cs="Times New Roman"/>
          <w:sz w:val="24"/>
          <w:szCs w:val="24"/>
        </w:rPr>
        <w:t>，进行超滤离心（</w:t>
      </w:r>
      <w:r>
        <w:rPr>
          <w:rFonts w:hint="default" w:ascii="Times New Roman" w:hAnsi="Times New Roman" w:cs="Times New Roman"/>
          <w:sz w:val="24"/>
          <w:szCs w:val="24"/>
          <w:highlight w:val="none"/>
        </w:rPr>
        <w:t>离心力为</w:t>
      </w:r>
      <w:r>
        <w:rPr>
          <w:rFonts w:hint="default" w:ascii="Times New Roman" w:hAnsi="Times New Roman" w:cs="Times New Roman"/>
          <w:sz w:val="24"/>
          <w:szCs w:val="24"/>
          <w:highlight w:val="none"/>
          <w:lang w:val="en-US" w:eastAsia="zh-CN"/>
        </w:rPr>
        <w:t>1350</w:t>
      </w:r>
      <w:r>
        <w:rPr>
          <w:rFonts w:hint="default" w:ascii="Times New Roman" w:hAnsi="Times New Roman" w:cs="Times New Roman"/>
          <w:sz w:val="24"/>
          <w:szCs w:val="24"/>
          <w:highlight w:val="none"/>
        </w:rPr>
        <w:t>0</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g，</w:t>
      </w:r>
      <w:r>
        <w:rPr>
          <w:rFonts w:hint="default" w:ascii="Times New Roman" w:hAnsi="Times New Roman" w:cs="Times New Roman"/>
          <w:sz w:val="24"/>
          <w:szCs w:val="24"/>
          <w:highlight w:val="none"/>
          <w:lang w:eastAsia="zh-CN"/>
        </w:rPr>
        <w:t>离心</w:t>
      </w:r>
      <w:r>
        <w:rPr>
          <w:rFonts w:hint="default" w:ascii="Times New Roman" w:hAnsi="Times New Roman" w:cs="Times New Roman"/>
          <w:sz w:val="24"/>
          <w:szCs w:val="24"/>
          <w:highlight w:val="none"/>
        </w:rPr>
        <w:t>温度2</w:t>
      </w:r>
      <w:r>
        <w:rPr>
          <w:rFonts w:hint="default" w:ascii="Times New Roman" w:hAnsi="Times New Roman" w:cs="Times New Roman"/>
          <w:sz w:val="24"/>
          <w:szCs w:val="24"/>
          <w:highlight w:val="none"/>
          <w:lang w:val="en-US" w:eastAsia="zh-CN"/>
        </w:rPr>
        <w:t>0</w:t>
      </w:r>
      <w:r>
        <w:rPr>
          <w:rFonts w:hint="default" w:ascii="Times New Roman" w:hAnsi="Times New Roman" w:cs="Times New Roman"/>
          <w:sz w:val="24"/>
          <w:szCs w:val="24"/>
          <w:highlight w:val="none"/>
        </w:rPr>
        <w:t>℃，离心时间</w:t>
      </w:r>
      <w:r>
        <w:rPr>
          <w:rFonts w:hint="default" w:ascii="Times New Roman" w:hAnsi="Times New Roman" w:cs="Times New Roman"/>
          <w:sz w:val="24"/>
          <w:szCs w:val="24"/>
          <w:highlight w:val="none"/>
          <w:lang w:val="en-US" w:eastAsia="zh-CN"/>
        </w:rPr>
        <w:t>50 min</w:t>
      </w:r>
      <w:r>
        <w:rPr>
          <w:rFonts w:hint="default" w:ascii="Times New Roman" w:hAnsi="Times New Roman" w:cs="Times New Roman"/>
          <w:sz w:val="24"/>
          <w:szCs w:val="24"/>
        </w:rPr>
        <w:t>）。</w:t>
      </w:r>
    </w:p>
    <w:p w14:paraId="2F338F50">
      <w:pPr>
        <w:pStyle w:val="41"/>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c) </w:t>
      </w:r>
      <w:r>
        <w:rPr>
          <w:rFonts w:hint="default" w:ascii="Times New Roman" w:hAnsi="Times New Roman" w:cs="Times New Roman"/>
          <w:sz w:val="24"/>
          <w:szCs w:val="24"/>
          <w:lang w:val="en-US" w:eastAsia="zh-CN"/>
        </w:rPr>
        <w:t>重复</w:t>
      </w:r>
      <w:r>
        <w:rPr>
          <w:rFonts w:hint="default" w:ascii="Times New Roman" w:hAnsi="Times New Roman" w:cs="Times New Roman"/>
          <w:sz w:val="24"/>
          <w:szCs w:val="24"/>
        </w:rPr>
        <w:t>b)</w:t>
      </w:r>
      <w:r>
        <w:rPr>
          <w:rFonts w:hint="default" w:ascii="Times New Roman" w:hAnsi="Times New Roman" w:cs="Times New Roman"/>
          <w:sz w:val="24"/>
          <w:szCs w:val="24"/>
          <w:lang w:val="en-US" w:eastAsia="zh-CN"/>
        </w:rPr>
        <w:t>三次，收集总滤液约2 mL，进行紫外/可见吸收光谱测试（测试条件见3.2.2.1 f)），</w:t>
      </w:r>
      <w:r>
        <w:rPr>
          <w:rFonts w:hint="default" w:ascii="Times New Roman" w:hAnsi="Times New Roman" w:cs="Times New Roman"/>
          <w:sz w:val="24"/>
          <w:szCs w:val="24"/>
        </w:rPr>
        <w:t>检测该</w:t>
      </w:r>
      <w:r>
        <w:rPr>
          <w:rFonts w:hint="default" w:ascii="Times New Roman" w:hAnsi="Times New Roman" w:cs="Times New Roman"/>
          <w:sz w:val="24"/>
          <w:szCs w:val="24"/>
          <w:lang w:val="en-US" w:eastAsia="zh-CN"/>
        </w:rPr>
        <w:t>滤液</w:t>
      </w:r>
      <w:r>
        <w:rPr>
          <w:rFonts w:hint="default" w:ascii="Times New Roman" w:hAnsi="Times New Roman" w:cs="Times New Roman"/>
          <w:sz w:val="24"/>
          <w:szCs w:val="24"/>
        </w:rPr>
        <w:t>中</w:t>
      </w:r>
      <w:r>
        <w:rPr>
          <w:rFonts w:hint="default" w:ascii="Times New Roman" w:hAnsi="Times New Roman" w:cs="Times New Roman"/>
          <w:sz w:val="24"/>
          <w:szCs w:val="24"/>
          <w:highlight w:val="none"/>
          <w:lang w:val="en-US" w:eastAsia="zh-CN"/>
        </w:rPr>
        <w:t>Dox</w:t>
      </w:r>
      <w:r>
        <w:rPr>
          <w:rFonts w:hint="default" w:ascii="Times New Roman" w:hAnsi="Times New Roman" w:cs="Times New Roman"/>
          <w:sz w:val="24"/>
          <w:szCs w:val="24"/>
        </w:rPr>
        <w:t>的</w:t>
      </w:r>
      <w:r>
        <w:rPr>
          <w:rFonts w:hint="default" w:ascii="Times New Roman" w:hAnsi="Times New Roman" w:cs="Times New Roman"/>
          <w:sz w:val="24"/>
          <w:szCs w:val="24"/>
          <w:lang w:eastAsia="zh-CN"/>
        </w:rPr>
        <w:t>含</w:t>
      </w:r>
      <w:r>
        <w:rPr>
          <w:rFonts w:hint="default" w:ascii="Times New Roman" w:hAnsi="Times New Roman" w:cs="Times New Roman"/>
          <w:sz w:val="24"/>
          <w:szCs w:val="24"/>
        </w:rPr>
        <w:t>量，得到480 nm处的吸光度。</w:t>
      </w:r>
    </w:p>
    <w:p w14:paraId="76B9CB20">
      <w:pPr>
        <w:pStyle w:val="41"/>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lang w:val="en-US" w:eastAsia="zh-CN"/>
        </w:rPr>
        <w:t>d</w:t>
      </w:r>
      <w:r>
        <w:rPr>
          <w:rFonts w:hint="default" w:ascii="Times New Roman" w:hAnsi="Times New Roman" w:cs="Times New Roman"/>
          <w:sz w:val="24"/>
          <w:szCs w:val="24"/>
        </w:rPr>
        <w:t xml:space="preserve">) </w:t>
      </w:r>
      <w:r>
        <w:rPr>
          <w:rFonts w:hint="default" w:ascii="Times New Roman" w:hAnsi="Times New Roman" w:cs="Times New Roman"/>
          <w:sz w:val="24"/>
          <w:szCs w:val="24"/>
          <w:lang w:eastAsia="zh-CN"/>
        </w:rPr>
        <w:t>破乳检测总</w:t>
      </w:r>
      <w:r>
        <w:rPr>
          <w:rFonts w:hint="default" w:ascii="Times New Roman" w:hAnsi="Times New Roman" w:cs="Times New Roman"/>
          <w:sz w:val="24"/>
          <w:szCs w:val="24"/>
          <w:lang w:val="en-US" w:eastAsia="zh-CN"/>
        </w:rPr>
        <w:t>Dox含量：</w:t>
      </w:r>
      <w:r>
        <w:rPr>
          <w:rFonts w:hint="default" w:ascii="Times New Roman" w:hAnsi="Times New Roman" w:cs="Times New Roman"/>
          <w:sz w:val="24"/>
          <w:szCs w:val="24"/>
        </w:rPr>
        <w:t xml:space="preserve">取2 </w:t>
      </w:r>
      <w:r>
        <w:rPr>
          <w:rFonts w:hint="default" w:ascii="Times New Roman" w:hAnsi="Times New Roman" w:cs="Times New Roman"/>
          <w:sz w:val="24"/>
          <w:szCs w:val="24"/>
          <w:lang w:val="en-US" w:eastAsia="zh-CN"/>
        </w:rPr>
        <w:t>m</w:t>
      </w:r>
      <w:r>
        <w:rPr>
          <w:rFonts w:hint="default" w:ascii="Times New Roman" w:hAnsi="Times New Roman" w:cs="Times New Roman"/>
          <w:sz w:val="24"/>
          <w:szCs w:val="24"/>
        </w:rPr>
        <w:t>g/</w:t>
      </w:r>
      <w:r>
        <w:rPr>
          <w:rFonts w:hint="default" w:ascii="Times New Roman" w:hAnsi="Times New Roman" w:cs="Times New Roman"/>
          <w:sz w:val="24"/>
          <w:szCs w:val="24"/>
          <w:lang w:val="en-US" w:eastAsia="zh-CN"/>
        </w:rPr>
        <w:t>m</w:t>
      </w:r>
      <w:r>
        <w:rPr>
          <w:rFonts w:hint="default" w:ascii="Times New Roman" w:hAnsi="Times New Roman" w:cs="Times New Roman"/>
          <w:sz w:val="24"/>
          <w:szCs w:val="24"/>
        </w:rPr>
        <w:t>L阿霉素脂质体</w:t>
      </w:r>
      <w:r>
        <w:rPr>
          <w:rFonts w:hint="default" w:ascii="Times New Roman" w:hAnsi="Times New Roman" w:cs="Times New Roman"/>
          <w:color w:val="auto"/>
          <w:sz w:val="24"/>
          <w:szCs w:val="24"/>
        </w:rPr>
        <w:t>20 μ</w:t>
      </w:r>
      <w:r>
        <w:rPr>
          <w:rFonts w:hint="default" w:ascii="Times New Roman" w:hAnsi="Times New Roman" w:cs="Times New Roman"/>
          <w:color w:val="auto"/>
          <w:sz w:val="24"/>
          <w:szCs w:val="24"/>
          <w:lang w:val="en-US" w:eastAsia="zh-CN"/>
        </w:rPr>
        <w:t>L</w:t>
      </w:r>
      <w:r>
        <w:rPr>
          <w:rFonts w:hint="default" w:ascii="Times New Roman" w:hAnsi="Times New Roman" w:cs="Times New Roman"/>
          <w:sz w:val="24"/>
          <w:szCs w:val="24"/>
        </w:rPr>
        <w:t>，</w:t>
      </w:r>
      <w:r>
        <w:rPr>
          <w:rFonts w:hint="default" w:ascii="Times New Roman" w:hAnsi="Times New Roman" w:cs="Times New Roman"/>
          <w:sz w:val="24"/>
          <w:szCs w:val="24"/>
          <w:lang w:eastAsia="zh-CN"/>
        </w:rPr>
        <w:t>加入</w:t>
      </w:r>
      <w:r>
        <w:rPr>
          <w:rFonts w:hint="default" w:ascii="Times New Roman" w:hAnsi="Times New Roman" w:cs="Times New Roman"/>
          <w:sz w:val="24"/>
          <w:szCs w:val="24"/>
          <w:lang w:val="en-US" w:eastAsia="zh-CN"/>
        </w:rPr>
        <w:t>1% Triton and 0.5% SDS in PBS（pH=7.4）溶液1.98 mL，</w:t>
      </w:r>
      <w:r>
        <w:rPr>
          <w:rFonts w:hint="default" w:ascii="Times New Roman" w:hAnsi="Times New Roman" w:cs="Times New Roman"/>
          <w:color w:val="auto"/>
          <w:sz w:val="24"/>
          <w:szCs w:val="24"/>
          <w:lang w:eastAsia="zh-CN"/>
        </w:rPr>
        <w:t>稀释</w:t>
      </w:r>
      <w:r>
        <w:rPr>
          <w:rFonts w:hint="default" w:ascii="Times New Roman" w:hAnsi="Times New Roman" w:cs="Times New Roman"/>
          <w:color w:val="auto"/>
          <w:sz w:val="24"/>
          <w:szCs w:val="24"/>
          <w:lang w:val="en-US" w:eastAsia="zh-CN"/>
        </w:rPr>
        <w:t>100倍，</w:t>
      </w:r>
      <w:r>
        <w:rPr>
          <w:rFonts w:hint="default" w:ascii="Times New Roman" w:hAnsi="Times New Roman" w:cs="Times New Roman"/>
          <w:sz w:val="24"/>
          <w:szCs w:val="24"/>
          <w:lang w:val="en-US" w:eastAsia="zh-CN"/>
        </w:rPr>
        <w:t>50℃水浴放置1h。</w:t>
      </w:r>
      <w:r>
        <w:rPr>
          <w:rFonts w:hint="default" w:ascii="Times New Roman" w:hAnsi="Times New Roman" w:cs="Times New Roman"/>
          <w:sz w:val="24"/>
          <w:szCs w:val="24"/>
        </w:rPr>
        <w:t>检测该溶液中</w:t>
      </w:r>
      <w:r>
        <w:rPr>
          <w:rFonts w:hint="default" w:ascii="Times New Roman" w:hAnsi="Times New Roman" w:cs="Times New Roman"/>
          <w:sz w:val="24"/>
          <w:szCs w:val="24"/>
          <w:highlight w:val="none"/>
          <w:lang w:val="en-US" w:eastAsia="zh-CN"/>
        </w:rPr>
        <w:t>Dox</w:t>
      </w:r>
      <w:r>
        <w:rPr>
          <w:rFonts w:hint="default" w:ascii="Times New Roman" w:hAnsi="Times New Roman" w:cs="Times New Roman"/>
          <w:sz w:val="24"/>
          <w:szCs w:val="24"/>
        </w:rPr>
        <w:t>的总量，得到480 nm处的吸光度。</w:t>
      </w:r>
    </w:p>
    <w:p w14:paraId="35CD3997">
      <w:pPr>
        <w:numPr>
          <w:ilvl w:val="0"/>
          <w:numId w:val="0"/>
        </w:numPr>
        <w:jc w:val="center"/>
        <w:rPr>
          <w:rFonts w:hint="eastAsia"/>
          <w:b/>
          <w:bCs/>
          <w:sz w:val="21"/>
          <w:szCs w:val="21"/>
          <w:lang w:val="en-US" w:eastAsia="zh-CN"/>
        </w:rPr>
      </w:pPr>
      <w:r>
        <w:rPr>
          <w:rFonts w:hint="default" w:ascii="Times New Roman" w:hAnsi="Times New Roman" w:cs="Times New Roman"/>
          <w:b/>
          <w:bCs/>
          <w:sz w:val="21"/>
          <w:szCs w:val="21"/>
          <w:lang w:val="en-US" w:eastAsia="zh-CN"/>
        </w:rPr>
        <w:t>表3-2-2 样品溶液</w:t>
      </w:r>
      <w:r>
        <w:rPr>
          <w:rFonts w:hint="eastAsia"/>
          <w:b/>
          <w:bCs/>
          <w:sz w:val="21"/>
          <w:szCs w:val="21"/>
          <w:lang w:val="en-US" w:eastAsia="zh-CN"/>
        </w:rPr>
        <w:t>（总）的吸光度值表</w:t>
      </w:r>
    </w:p>
    <w:tbl>
      <w:tblPr>
        <w:tblStyle w:val="10"/>
        <w:tblW w:w="7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1242"/>
        <w:gridCol w:w="1390"/>
        <w:gridCol w:w="1832"/>
        <w:gridCol w:w="1839"/>
      </w:tblGrid>
      <w:tr w14:paraId="0FE0B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242" w:type="dxa"/>
            <w:noWrap w:val="0"/>
            <w:vAlign w:val="center"/>
          </w:tcPr>
          <w:p w14:paraId="1CB8EF3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p>
        </w:tc>
        <w:tc>
          <w:tcPr>
            <w:tcW w:w="1242" w:type="dxa"/>
            <w:noWrap w:val="0"/>
            <w:vAlign w:val="center"/>
          </w:tcPr>
          <w:p w14:paraId="71F5811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取样编号</w:t>
            </w:r>
          </w:p>
        </w:tc>
        <w:tc>
          <w:tcPr>
            <w:tcW w:w="1390" w:type="dxa"/>
            <w:noWrap w:val="0"/>
            <w:vAlign w:val="center"/>
          </w:tcPr>
          <w:p w14:paraId="6CB7A56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lang w:val="en-US" w:eastAsia="zh-CN"/>
              </w:rPr>
              <w:t>超滤后480 nm处的吸光度</w:t>
            </w:r>
          </w:p>
        </w:tc>
        <w:tc>
          <w:tcPr>
            <w:tcW w:w="1832" w:type="dxa"/>
            <w:noWrap w:val="0"/>
            <w:vAlign w:val="center"/>
          </w:tcPr>
          <w:p w14:paraId="6AB99BF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vertAlign w:val="baseline"/>
                <w:lang w:val="en-US" w:eastAsia="zh-CN"/>
              </w:rPr>
              <w:t>Dox的浓度（mg/L）</w:t>
            </w:r>
          </w:p>
        </w:tc>
        <w:tc>
          <w:tcPr>
            <w:tcW w:w="1839" w:type="dxa"/>
            <w:noWrap w:val="0"/>
            <w:vAlign w:val="center"/>
          </w:tcPr>
          <w:p w14:paraId="5A8D5F6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Dox的浓度（mg/L）</w:t>
            </w:r>
          </w:p>
          <w:p w14:paraId="46DE812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平均值±标准偏差</w:t>
            </w:r>
          </w:p>
        </w:tc>
      </w:tr>
      <w:tr w14:paraId="6820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42" w:type="dxa"/>
            <w:vMerge w:val="restart"/>
            <w:noWrap w:val="0"/>
            <w:vAlign w:val="center"/>
          </w:tcPr>
          <w:p w14:paraId="1E46E62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实验室1</w:t>
            </w:r>
          </w:p>
        </w:tc>
        <w:tc>
          <w:tcPr>
            <w:tcW w:w="1242" w:type="dxa"/>
            <w:noWrap w:val="0"/>
            <w:vAlign w:val="center"/>
          </w:tcPr>
          <w:p w14:paraId="405D7F3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w:t>
            </w:r>
          </w:p>
        </w:tc>
        <w:tc>
          <w:tcPr>
            <w:tcW w:w="1390" w:type="dxa"/>
            <w:noWrap w:val="0"/>
            <w:vAlign w:val="center"/>
          </w:tcPr>
          <w:p w14:paraId="18E474B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0.4217</w:t>
            </w:r>
          </w:p>
        </w:tc>
        <w:tc>
          <w:tcPr>
            <w:tcW w:w="1832" w:type="dxa"/>
            <w:noWrap w:val="0"/>
            <w:vAlign w:val="center"/>
          </w:tcPr>
          <w:p w14:paraId="1869DBA6">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2145.36</w:t>
            </w:r>
          </w:p>
        </w:tc>
        <w:tc>
          <w:tcPr>
            <w:tcW w:w="1839" w:type="dxa"/>
            <w:vMerge w:val="restart"/>
            <w:noWrap w:val="0"/>
            <w:vAlign w:val="center"/>
          </w:tcPr>
          <w:p w14:paraId="103D9EE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lang w:val="en-US" w:eastAsia="zh-CN"/>
              </w:rPr>
              <w:t>2128.87±16.49</w:t>
            </w:r>
          </w:p>
        </w:tc>
      </w:tr>
      <w:tr w14:paraId="3ADC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242" w:type="dxa"/>
            <w:vMerge w:val="continue"/>
            <w:noWrap w:val="0"/>
            <w:vAlign w:val="center"/>
          </w:tcPr>
          <w:p w14:paraId="4BB6320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p>
        </w:tc>
        <w:tc>
          <w:tcPr>
            <w:tcW w:w="1242" w:type="dxa"/>
            <w:noWrap w:val="0"/>
            <w:vAlign w:val="center"/>
          </w:tcPr>
          <w:p w14:paraId="51C08B3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w:t>
            </w:r>
          </w:p>
        </w:tc>
        <w:tc>
          <w:tcPr>
            <w:tcW w:w="1390" w:type="dxa"/>
            <w:noWrap w:val="0"/>
            <w:vAlign w:val="center"/>
          </w:tcPr>
          <w:p w14:paraId="734A532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0.4185</w:t>
            </w:r>
          </w:p>
        </w:tc>
        <w:tc>
          <w:tcPr>
            <w:tcW w:w="1832" w:type="dxa"/>
            <w:noWrap w:val="0"/>
            <w:vAlign w:val="center"/>
          </w:tcPr>
          <w:p w14:paraId="6A6E6238">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2128.87</w:t>
            </w:r>
          </w:p>
        </w:tc>
        <w:tc>
          <w:tcPr>
            <w:tcW w:w="1839" w:type="dxa"/>
            <w:vMerge w:val="continue"/>
            <w:noWrap w:val="0"/>
            <w:vAlign w:val="center"/>
          </w:tcPr>
          <w:p w14:paraId="3553A12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086EB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42" w:type="dxa"/>
            <w:vMerge w:val="continue"/>
            <w:noWrap w:val="0"/>
            <w:vAlign w:val="center"/>
          </w:tcPr>
          <w:p w14:paraId="4F9D23F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p>
        </w:tc>
        <w:tc>
          <w:tcPr>
            <w:tcW w:w="1242" w:type="dxa"/>
            <w:noWrap w:val="0"/>
            <w:vAlign w:val="center"/>
          </w:tcPr>
          <w:p w14:paraId="3B16507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w:t>
            </w:r>
          </w:p>
        </w:tc>
        <w:tc>
          <w:tcPr>
            <w:tcW w:w="1390" w:type="dxa"/>
            <w:noWrap w:val="0"/>
            <w:vAlign w:val="center"/>
          </w:tcPr>
          <w:p w14:paraId="04B47B3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0.4153</w:t>
            </w:r>
          </w:p>
        </w:tc>
        <w:tc>
          <w:tcPr>
            <w:tcW w:w="1832" w:type="dxa"/>
            <w:noWrap w:val="0"/>
            <w:vAlign w:val="center"/>
          </w:tcPr>
          <w:p w14:paraId="47AD38BE">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2112.37</w:t>
            </w:r>
          </w:p>
        </w:tc>
        <w:tc>
          <w:tcPr>
            <w:tcW w:w="1839" w:type="dxa"/>
            <w:vMerge w:val="continue"/>
            <w:noWrap w:val="0"/>
            <w:vAlign w:val="center"/>
          </w:tcPr>
          <w:p w14:paraId="729CC84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70A6B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42" w:type="dxa"/>
            <w:vMerge w:val="restart"/>
            <w:noWrap w:val="0"/>
            <w:vAlign w:val="center"/>
          </w:tcPr>
          <w:p w14:paraId="0AF22B1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实验室2</w:t>
            </w:r>
          </w:p>
        </w:tc>
        <w:tc>
          <w:tcPr>
            <w:tcW w:w="1242" w:type="dxa"/>
            <w:shd w:val="clear" w:color="auto" w:fill="auto"/>
            <w:noWrap w:val="0"/>
            <w:vAlign w:val="center"/>
          </w:tcPr>
          <w:p w14:paraId="6417D30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1</w:t>
            </w:r>
          </w:p>
        </w:tc>
        <w:tc>
          <w:tcPr>
            <w:tcW w:w="1390" w:type="dxa"/>
            <w:shd w:val="clear" w:color="auto" w:fill="auto"/>
            <w:noWrap w:val="0"/>
            <w:vAlign w:val="center"/>
          </w:tcPr>
          <w:p w14:paraId="6283C31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0.4250</w:t>
            </w:r>
          </w:p>
        </w:tc>
        <w:tc>
          <w:tcPr>
            <w:tcW w:w="1832" w:type="dxa"/>
            <w:shd w:val="clear" w:color="auto" w:fill="auto"/>
            <w:noWrap w:val="0"/>
            <w:vAlign w:val="center"/>
          </w:tcPr>
          <w:p w14:paraId="6F0CC611">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1905.217</w:t>
            </w:r>
          </w:p>
        </w:tc>
        <w:tc>
          <w:tcPr>
            <w:tcW w:w="1839" w:type="dxa"/>
            <w:vMerge w:val="restart"/>
            <w:noWrap w:val="0"/>
            <w:vAlign w:val="center"/>
          </w:tcPr>
          <w:p w14:paraId="784E5F9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1920.21</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12.99</w:t>
            </w:r>
          </w:p>
        </w:tc>
      </w:tr>
      <w:tr w14:paraId="7FE9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42" w:type="dxa"/>
            <w:vMerge w:val="continue"/>
            <w:noWrap w:val="0"/>
            <w:vAlign w:val="center"/>
          </w:tcPr>
          <w:p w14:paraId="5FB7C9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p>
        </w:tc>
        <w:tc>
          <w:tcPr>
            <w:tcW w:w="1242" w:type="dxa"/>
            <w:shd w:val="clear" w:color="auto" w:fill="auto"/>
            <w:noWrap w:val="0"/>
            <w:vAlign w:val="center"/>
          </w:tcPr>
          <w:p w14:paraId="3318F58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2</w:t>
            </w:r>
          </w:p>
        </w:tc>
        <w:tc>
          <w:tcPr>
            <w:tcW w:w="1390" w:type="dxa"/>
            <w:shd w:val="clear" w:color="auto" w:fill="auto"/>
            <w:noWrap w:val="0"/>
            <w:vAlign w:val="center"/>
          </w:tcPr>
          <w:p w14:paraId="169EEC23">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0.4299</w:t>
            </w:r>
          </w:p>
        </w:tc>
        <w:tc>
          <w:tcPr>
            <w:tcW w:w="1832" w:type="dxa"/>
            <w:shd w:val="clear" w:color="auto" w:fill="auto"/>
            <w:noWrap w:val="0"/>
            <w:vAlign w:val="center"/>
          </w:tcPr>
          <w:p w14:paraId="02DBA088">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1927.489</w:t>
            </w:r>
          </w:p>
        </w:tc>
        <w:tc>
          <w:tcPr>
            <w:tcW w:w="1839" w:type="dxa"/>
            <w:vMerge w:val="continue"/>
            <w:noWrap w:val="0"/>
            <w:vAlign w:val="center"/>
          </w:tcPr>
          <w:p w14:paraId="4694BE1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3730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42" w:type="dxa"/>
            <w:vMerge w:val="continue"/>
            <w:noWrap w:val="0"/>
            <w:vAlign w:val="center"/>
          </w:tcPr>
          <w:p w14:paraId="11D2347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p>
        </w:tc>
        <w:tc>
          <w:tcPr>
            <w:tcW w:w="1242" w:type="dxa"/>
            <w:shd w:val="clear" w:color="auto" w:fill="auto"/>
            <w:noWrap w:val="0"/>
            <w:vAlign w:val="center"/>
          </w:tcPr>
          <w:p w14:paraId="08FAD24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3</w:t>
            </w:r>
          </w:p>
        </w:tc>
        <w:tc>
          <w:tcPr>
            <w:tcW w:w="1390" w:type="dxa"/>
            <w:shd w:val="clear" w:color="auto" w:fill="auto"/>
            <w:noWrap w:val="0"/>
            <w:vAlign w:val="center"/>
          </w:tcPr>
          <w:p w14:paraId="585F6446">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0.4300</w:t>
            </w:r>
          </w:p>
        </w:tc>
        <w:tc>
          <w:tcPr>
            <w:tcW w:w="1832" w:type="dxa"/>
            <w:shd w:val="clear" w:color="auto" w:fill="auto"/>
            <w:noWrap w:val="0"/>
            <w:vAlign w:val="center"/>
          </w:tcPr>
          <w:p w14:paraId="684684E8">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1927.944</w:t>
            </w:r>
          </w:p>
        </w:tc>
        <w:tc>
          <w:tcPr>
            <w:tcW w:w="1839" w:type="dxa"/>
            <w:vMerge w:val="continue"/>
            <w:noWrap w:val="0"/>
            <w:vAlign w:val="center"/>
          </w:tcPr>
          <w:p w14:paraId="7DA7FE9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bl>
    <w:p w14:paraId="02CC0B90">
      <w:pPr>
        <w:pStyle w:val="53"/>
        <w:keepNext w:val="0"/>
        <w:keepLines w:val="0"/>
        <w:pageBreakBefore w:val="0"/>
        <w:kinsoku/>
        <w:wordWrap/>
        <w:overflowPunct/>
        <w:topLinePunct w:val="0"/>
        <w:bidi w:val="0"/>
        <w:adjustRightInd/>
        <w:snapToGrid/>
        <w:spacing w:line="360" w:lineRule="auto"/>
        <w:textAlignment w:val="auto"/>
        <w:outlineLvl w:val="2"/>
        <w:rPr>
          <w:rFonts w:hint="default" w:ascii="Times New Roman" w:hAnsi="Times New Roman" w:cs="Times New Roman"/>
          <w:sz w:val="24"/>
          <w:szCs w:val="24"/>
        </w:rPr>
      </w:pPr>
      <w:bookmarkStart w:id="34" w:name="_Toc13289"/>
      <w:bookmarkStart w:id="35" w:name="_Toc8672"/>
    </w:p>
    <w:p w14:paraId="428E03A3">
      <w:pPr>
        <w:pStyle w:val="53"/>
        <w:keepNext w:val="0"/>
        <w:keepLines w:val="0"/>
        <w:pageBreakBefore w:val="0"/>
        <w:kinsoku/>
        <w:wordWrap/>
        <w:overflowPunct/>
        <w:topLinePunct w:val="0"/>
        <w:bidi w:val="0"/>
        <w:adjustRightInd/>
        <w:snapToGrid/>
        <w:spacing w:line="360" w:lineRule="auto"/>
        <w:textAlignment w:val="auto"/>
        <w:outlineLvl w:val="2"/>
        <w:rPr>
          <w:rFonts w:hint="default" w:ascii="Times New Roman" w:hAnsi="Times New Roman" w:cs="Times New Roman"/>
          <w:sz w:val="24"/>
          <w:szCs w:val="24"/>
        </w:rPr>
      </w:pPr>
      <w:r>
        <w:rPr>
          <w:rFonts w:hint="default" w:ascii="Times New Roman" w:hAnsi="Times New Roman" w:cs="Times New Roman"/>
          <w:sz w:val="24"/>
          <w:szCs w:val="24"/>
        </w:rPr>
        <w:t>3.2.3 验证结果计算</w:t>
      </w:r>
      <w:bookmarkEnd w:id="34"/>
      <w:bookmarkEnd w:id="35"/>
    </w:p>
    <w:p w14:paraId="0F7F62FC">
      <w:pPr>
        <w:pStyle w:val="41"/>
        <w:keepNext w:val="0"/>
        <w:keepLines w:val="0"/>
        <w:pageBreakBefore w:val="0"/>
        <w:kinsoku/>
        <w:wordWrap/>
        <w:overflowPunct/>
        <w:topLinePunct w:val="0"/>
        <w:bidi w:val="0"/>
        <w:adjustRightInd/>
        <w:snapToGrid/>
        <w:spacing w:line="360" w:lineRule="auto"/>
        <w:ind w:firstLine="42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根据包封率计算公式计算有效成分包封率：</w:t>
      </w:r>
    </w:p>
    <w:p w14:paraId="2D3C9066">
      <w:pPr>
        <w:pStyle w:val="41"/>
        <w:ind w:firstLine="420"/>
        <w:jc w:val="center"/>
        <w:rPr>
          <w:rFonts w:hAnsi="Cambria Math" w:cs="Cambria Math"/>
          <w:b w:val="0"/>
          <w:i w:val="0"/>
          <w:color w:val="auto"/>
        </w:rPr>
      </w:pPr>
      <m:oMathPara>
        <m:oMath>
          <m:r>
            <m:rPr>
              <m:sty m:val="p"/>
            </m:rPr>
            <w:rPr>
              <w:rFonts w:hint="default" w:ascii="Cambria Math" w:hAnsi="Cambria Math"/>
              <w:color w:val="auto"/>
              <w:lang w:val="en-US" w:eastAsia="zh-CN"/>
            </w:rPr>
            <m:t>EE</m:t>
          </m:r>
          <m:r>
            <m:rPr>
              <m:sty m:val="p"/>
            </m:rPr>
            <w:rPr>
              <w:rFonts w:hint="default" w:ascii="Cambria Math" w:hAnsi="Cambria Math"/>
              <w:color w:val="auto"/>
            </w:rPr>
            <m:t>=</m:t>
          </m:r>
          <m:f>
            <m:fPr>
              <m:ctrlPr>
                <w:rPr>
                  <w:rFonts w:hint="default" w:ascii="Cambria Math" w:hAnsi="Cambria Math" w:cs="Cambria Math"/>
                  <w:b w:val="0"/>
                  <w:i w:val="0"/>
                  <w:color w:val="auto"/>
                  <w:sz w:val="21"/>
                  <w:lang w:val="en-US" w:eastAsia="zh-CN" w:bidi="ar-SA"/>
                </w:rPr>
              </m:ctrlPr>
            </m:fPr>
            <m:num>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E</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num>
            <m:den>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total</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den>
          </m:f>
          <m:r>
            <m:rPr>
              <m:sty m:val="p"/>
            </m:rPr>
            <w:rPr>
              <w:rFonts w:hint="default" w:ascii="Cambria Math" w:hAnsi="Cambria Math" w:cs="Cambria Math"/>
              <w:color w:val="auto"/>
            </w:rPr>
            <m:t>×</m:t>
          </m:r>
          <m:r>
            <m:rPr>
              <m:sty m:val="p"/>
            </m:rPr>
            <w:rPr>
              <w:rFonts w:hint="default" w:ascii="Cambria Math" w:hAnsi="Cambria Math"/>
              <w:color w:val="auto"/>
            </w:rPr>
            <m:t>100%</m:t>
          </m:r>
          <m:r>
            <m:rPr>
              <m:sty m:val="p"/>
            </m:rPr>
            <w:rPr>
              <w:rFonts w:hint="default" w:ascii="Cambria Math" w:hAnsi="Cambria Math" w:cs="Cambria Math"/>
              <w:color w:val="auto"/>
            </w:rPr>
            <m:t>=</m:t>
          </m:r>
          <m:d>
            <m:dPr>
              <m:ctrlPr>
                <w:rPr>
                  <w:rFonts w:hint="default" w:ascii="Cambria Math" w:hAnsi="Cambria Math" w:cs="Cambria Math"/>
                  <w:color w:val="auto"/>
                </w:rPr>
              </m:ctrlPr>
            </m:dPr>
            <m:e>
              <m:r>
                <m:rPr>
                  <m:sty m:val="p"/>
                </m:rPr>
                <w:rPr>
                  <w:rFonts w:hint="default" w:ascii="Cambria Math" w:hAnsi="Cambria Math" w:cs="Cambria Math"/>
                  <w:color w:val="auto"/>
                </w:rPr>
                <m:t>1−</m:t>
              </m:r>
              <m:f>
                <m:fPr>
                  <m:ctrlPr>
                    <w:rPr>
                      <w:rFonts w:hint="default" w:ascii="Cambria Math" w:hAnsi="Cambria Math" w:cs="Cambria Math"/>
                      <w:b w:val="0"/>
                      <w:i w:val="0"/>
                      <w:color w:val="auto"/>
                      <w:sz w:val="21"/>
                      <w:lang w:val="en-US" w:eastAsia="zh-CN" w:bidi="ar-SA"/>
                    </w:rPr>
                  </m:ctrlPr>
                </m:fPr>
                <m:num>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free</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num>
                <m:den>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total</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den>
              </m:f>
              <m:ctrlPr>
                <w:rPr>
                  <w:rFonts w:hint="default" w:ascii="Cambria Math" w:hAnsi="Cambria Math" w:cs="Cambria Math"/>
                  <w:color w:val="auto"/>
                </w:rPr>
              </m:ctrlPr>
            </m:e>
          </m:d>
          <m:r>
            <m:rPr>
              <m:sty m:val="p"/>
            </m:rPr>
            <w:rPr>
              <w:rFonts w:hint="default" w:ascii="Cambria Math" w:hAnsi="Cambria Math" w:cs="Cambria Math"/>
              <w:color w:val="auto"/>
            </w:rPr>
            <m:t>×100%</m:t>
          </m:r>
        </m:oMath>
      </m:oMathPara>
    </w:p>
    <w:p w14:paraId="690718B4">
      <w:pPr>
        <w:pStyle w:val="41"/>
        <w:ind w:firstLine="420"/>
        <w:jc w:val="center"/>
        <w:rPr>
          <w:rFonts w:hAnsi="Cambria Math" w:cs="Cambria Math"/>
          <w:b w:val="0"/>
          <w:i w:val="0"/>
          <w:color w:val="0000FF"/>
        </w:rPr>
      </w:pPr>
      <m:oMathPara>
        <m:oMath>
          <m:r>
            <m:rPr>
              <m:sty m:val="p"/>
            </m:rPr>
            <w:rPr>
              <w:rFonts w:hint="default" w:ascii="Cambria Math" w:hAnsi="Cambria Math"/>
            </w:rPr>
            <m:t>=</m:t>
          </m:r>
          <m:d>
            <m:dPr>
              <m:ctrlPr>
                <w:rPr>
                  <w:rFonts w:hint="default" w:ascii="Cambria Math" w:hAnsi="Cambria Math"/>
                </w:rPr>
              </m:ctrlPr>
            </m:dPr>
            <m:e>
              <m:r>
                <m:rPr>
                  <m:sty m:val="p"/>
                </m:rPr>
                <w:rPr>
                  <w:rFonts w:hint="default" w:ascii="Cambria Math" w:hAnsi="Cambria Math"/>
                </w:rPr>
                <m:t>1−</m:t>
              </m:r>
              <m:f>
                <m:fPr>
                  <m:ctrlPr>
                    <w:rPr>
                      <w:rFonts w:hint="default" w:ascii="Cambria Math" w:hAnsi="Cambria Math"/>
                    </w:rPr>
                  </m:ctrlPr>
                </m:fPr>
                <m:num>
                  <m:r>
                    <m:rPr>
                      <m:sty m:val="p"/>
                    </m:rPr>
                    <w:rPr>
                      <w:rFonts w:hint="default" w:ascii="Cambria Math" w:hAnsi="Cambria Math"/>
                      <w:lang w:val="en-US" w:eastAsia="zh-CN"/>
                    </w:rPr>
                    <m:t>n</m:t>
                  </m:r>
                  <m:r>
                    <m:rPr>
                      <m:sty m:val="p"/>
                    </m:rPr>
                    <w:rPr>
                      <w:rFonts w:hint="eastAsia" w:ascii="Cambria Math" w:hAnsi="Cambria Math"/>
                    </w:rPr>
                    <m:t>b</m:t>
                  </m:r>
                  <m:ctrlPr>
                    <w:rPr>
                      <w:rFonts w:hint="default" w:ascii="Cambria Math" w:hAnsi="Cambria Math"/>
                    </w:rPr>
                  </m:ctrlPr>
                </m:num>
                <m:den>
                  <m:r>
                    <m:rPr>
                      <m:sty m:val="p"/>
                    </m:rPr>
                    <w:rPr>
                      <w:rFonts w:hint="default" w:ascii="Cambria Math" w:hAnsi="Cambria Math"/>
                      <w:lang w:val="en-US" w:eastAsia="zh-CN"/>
                    </w:rPr>
                    <m:t>m</m:t>
                  </m:r>
                  <m:r>
                    <m:rPr>
                      <m:sty m:val="p"/>
                    </m:rPr>
                    <w:rPr>
                      <w:rFonts w:hint="eastAsia" w:ascii="Cambria Math" w:hAnsi="Cambria Math"/>
                    </w:rPr>
                    <m:t>a</m:t>
                  </m:r>
                  <m:ctrlPr>
                    <w:rPr>
                      <w:rFonts w:hint="default" w:ascii="Cambria Math" w:hAnsi="Cambria Math"/>
                    </w:rPr>
                  </m:ctrlPr>
                </m:den>
              </m:f>
              <m:ctrlPr>
                <w:rPr>
                  <w:rFonts w:hint="default" w:ascii="Cambria Math" w:hAnsi="Cambria Math"/>
                </w:rPr>
              </m:ctrlPr>
            </m:e>
          </m:d>
          <m:r>
            <m:rPr>
              <m:sty m:val="p"/>
            </m:rPr>
            <w:rPr>
              <w:rFonts w:hint="default" w:ascii="Cambria Math" w:hAnsi="Cambria Math" w:cs="Cambria Math"/>
            </w:rPr>
            <m:t>×</m:t>
          </m:r>
          <m:r>
            <m:rPr>
              <m:sty m:val="p"/>
            </m:rPr>
            <w:rPr>
              <w:rFonts w:hint="default" w:ascii="Cambria Math" w:hAnsi="Cambria Math"/>
            </w:rPr>
            <m:t>100%</m:t>
          </m:r>
        </m:oMath>
      </m:oMathPara>
    </w:p>
    <w:p w14:paraId="7EEFB5DF">
      <w:pPr>
        <w:pStyle w:val="41"/>
        <w:ind w:firstLine="420"/>
        <w:rPr>
          <w:rFonts w:hint="eastAsia" w:hAnsi="Cambria Math" w:eastAsia="宋体"/>
          <w:b w:val="0"/>
          <w:i w:val="0"/>
          <w:color w:val="auto"/>
          <w:lang w:val="en-US" w:eastAsia="zh-CN"/>
        </w:rPr>
      </w:pPr>
      <w:r>
        <w:rPr>
          <w:rFonts w:hint="eastAsia" w:hAnsi="Cambria Math"/>
          <w:b w:val="0"/>
          <w:i w:val="0"/>
          <w:color w:val="auto"/>
          <w:lang w:val="en-US" w:eastAsia="zh-CN"/>
        </w:rPr>
        <w:t>式中：</w:t>
      </w:r>
    </w:p>
    <w:p w14:paraId="513BB5C0">
      <w:pPr>
        <w:pStyle w:val="41"/>
        <w:ind w:firstLine="420"/>
        <w:rPr>
          <w:rFonts w:hint="eastAsia" w:hAnsi="Cambria Math"/>
          <w:b w:val="0"/>
          <w:i w:val="0"/>
          <w:color w:val="auto"/>
          <w:lang w:val="en-US" w:eastAsia="zh-CN"/>
        </w:rPr>
      </w:pPr>
      <w:r>
        <w:rPr>
          <w:rFonts w:hint="default" w:ascii="Times New Roman" w:hAnsi="Times New Roman" w:cs="Times New Roman"/>
          <w:b w:val="0"/>
          <w:i w:val="0"/>
          <w:color w:val="auto"/>
          <w:lang w:val="en-US" w:eastAsia="zh-CN"/>
        </w:rPr>
        <w:t>EE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——包封率，%</w:t>
      </w:r>
      <w:r>
        <w:rPr>
          <w:rFonts w:hint="eastAsia" w:hAnsi="Cambria Math"/>
          <w:b w:val="0"/>
          <w:i w:val="0"/>
          <w:color w:val="auto"/>
          <w:lang w:val="en-US" w:eastAsia="zh-CN"/>
        </w:rPr>
        <w:t>；</w:t>
      </w:r>
    </w:p>
    <w:p w14:paraId="7AC5690A">
      <w:pPr>
        <w:pStyle w:val="41"/>
        <w:ind w:firstLine="420"/>
        <w:rPr>
          <w:rFonts w:hint="eastAsia" w:ascii="Times New Roman" w:hAnsi="Times New Roman" w:eastAsia="宋体"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——分子递送载体中包封的有效成分的量</w:t>
      </w:r>
      <w:r>
        <w:rPr>
          <w:rFonts w:hint="eastAsia" w:hAnsi="Cambria Math"/>
          <w:b w:val="0"/>
          <w:i w:val="0"/>
          <w:color w:val="auto"/>
          <w:lang w:eastAsia="zh-CN"/>
        </w:rPr>
        <w:t>；</w:t>
      </w:r>
    </w:p>
    <w:p w14:paraId="322F85F1">
      <w:pPr>
        <w:pStyle w:val="41"/>
        <w:ind w:firstLine="420"/>
        <w:rPr>
          <w:rFonts w:hint="eastAsia" w:ascii="Times New Roman" w:hAnsi="Times New Roman" w:eastAsia="宋体"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total</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——分子递送载体中包封的有效成分量和未包封的有效成分的总量</w:t>
      </w:r>
      <w:r>
        <w:rPr>
          <w:rFonts w:hint="eastAsia" w:hAnsi="Cambria Math"/>
          <w:b w:val="0"/>
          <w:i w:val="0"/>
          <w:color w:val="auto"/>
          <w:lang w:eastAsia="zh-CN"/>
        </w:rPr>
        <w:t>；</w:t>
      </w:r>
    </w:p>
    <w:p w14:paraId="3DF1ECD2">
      <w:pPr>
        <w:pStyle w:val="41"/>
        <w:ind w:firstLine="420"/>
        <w:rPr>
          <w:rFonts w:hint="default" w:ascii="Times New Roman" w:hAnsi="Times New Roman"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free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——液体介质中未包封的有效成分的量。</w:t>
      </w:r>
    </w:p>
    <w:p w14:paraId="2D5407A3">
      <w:pPr>
        <w:pStyle w:val="41"/>
        <w:ind w:firstLine="420"/>
        <w:rPr>
          <w:rFonts w:hint="default" w:ascii="Times New Roman" w:hAnsi="Times New Roman" w:cs="Times New Roman"/>
          <w:b w:val="0"/>
          <w:i w:val="0"/>
          <w:color w:val="auto"/>
          <w:lang w:val="en-US" w:eastAsia="zh-CN"/>
        </w:rPr>
      </w:pPr>
    </w:p>
    <w:tbl>
      <w:tblPr>
        <w:tblStyle w:val="10"/>
        <w:tblW w:w="8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0"/>
        <w:gridCol w:w="1060"/>
        <w:gridCol w:w="1186"/>
        <w:gridCol w:w="1564"/>
        <w:gridCol w:w="1570"/>
        <w:gridCol w:w="1570"/>
      </w:tblGrid>
      <w:tr w14:paraId="5C3A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060" w:type="dxa"/>
            <w:noWrap w:val="0"/>
            <w:vAlign w:val="center"/>
          </w:tcPr>
          <w:p w14:paraId="40CD7BB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p>
        </w:tc>
        <w:tc>
          <w:tcPr>
            <w:tcW w:w="1060" w:type="dxa"/>
            <w:noWrap w:val="0"/>
            <w:vAlign w:val="center"/>
          </w:tcPr>
          <w:p w14:paraId="708A4E8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取样编号</w:t>
            </w:r>
          </w:p>
        </w:tc>
        <w:tc>
          <w:tcPr>
            <w:tcW w:w="1186" w:type="dxa"/>
            <w:noWrap w:val="0"/>
            <w:vAlign w:val="center"/>
          </w:tcPr>
          <w:p w14:paraId="5B0E938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lang w:val="en-US" w:eastAsia="zh-CN"/>
              </w:rPr>
              <w:t>超滤后</w:t>
            </w:r>
            <w:r>
              <w:rPr>
                <w:rFonts w:hint="default" w:ascii="Times New Roman" w:hAnsi="Times New Roman" w:cs="Times New Roman"/>
                <w:b/>
                <w:bCs/>
                <w:sz w:val="21"/>
                <w:szCs w:val="21"/>
                <w:vertAlign w:val="baseline"/>
                <w:lang w:val="en-US" w:eastAsia="zh-CN"/>
              </w:rPr>
              <w:t>游离Dox在</w:t>
            </w:r>
            <w:r>
              <w:rPr>
                <w:rFonts w:hint="default" w:ascii="Times New Roman" w:hAnsi="Times New Roman" w:cs="Times New Roman"/>
                <w:b/>
                <w:bCs/>
                <w:sz w:val="21"/>
                <w:szCs w:val="21"/>
                <w:lang w:val="en-US" w:eastAsia="zh-CN"/>
              </w:rPr>
              <w:t>480 nm处的吸光度</w:t>
            </w:r>
          </w:p>
        </w:tc>
        <w:tc>
          <w:tcPr>
            <w:tcW w:w="1564" w:type="dxa"/>
            <w:noWrap w:val="0"/>
            <w:vAlign w:val="center"/>
          </w:tcPr>
          <w:p w14:paraId="4B8C251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vertAlign w:val="baseline"/>
                <w:lang w:val="en-US" w:eastAsia="zh-CN"/>
              </w:rPr>
              <w:t>游离Dox的浓度（mg/L）</w:t>
            </w:r>
          </w:p>
        </w:tc>
        <w:tc>
          <w:tcPr>
            <w:tcW w:w="1570" w:type="dxa"/>
            <w:noWrap w:val="0"/>
            <w:vAlign w:val="center"/>
          </w:tcPr>
          <w:p w14:paraId="6C0DBD0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包封率</w:t>
            </w:r>
          </w:p>
          <w:p w14:paraId="61EF96B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w:t>
            </w:r>
          </w:p>
        </w:tc>
        <w:tc>
          <w:tcPr>
            <w:tcW w:w="1570" w:type="dxa"/>
            <w:noWrap w:val="0"/>
            <w:vAlign w:val="center"/>
          </w:tcPr>
          <w:p w14:paraId="27A0008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包封率</w:t>
            </w:r>
          </w:p>
          <w:p w14:paraId="73FB24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w:t>
            </w:r>
          </w:p>
          <w:p w14:paraId="643364B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平均值±标准偏差</w:t>
            </w:r>
          </w:p>
        </w:tc>
      </w:tr>
      <w:tr w14:paraId="21DBC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60" w:type="dxa"/>
            <w:vMerge w:val="restart"/>
            <w:noWrap w:val="0"/>
            <w:vAlign w:val="center"/>
          </w:tcPr>
          <w:p w14:paraId="58B31C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实验室1</w:t>
            </w:r>
          </w:p>
        </w:tc>
        <w:tc>
          <w:tcPr>
            <w:tcW w:w="1060" w:type="dxa"/>
            <w:noWrap w:val="0"/>
            <w:vAlign w:val="center"/>
          </w:tcPr>
          <w:p w14:paraId="77D8230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w:t>
            </w:r>
          </w:p>
        </w:tc>
        <w:tc>
          <w:tcPr>
            <w:tcW w:w="1186" w:type="dxa"/>
            <w:noWrap w:val="0"/>
            <w:vAlign w:val="center"/>
          </w:tcPr>
          <w:p w14:paraId="1915CC8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0.0642</w:t>
            </w:r>
          </w:p>
        </w:tc>
        <w:tc>
          <w:tcPr>
            <w:tcW w:w="1564" w:type="dxa"/>
            <w:noWrap w:val="0"/>
            <w:vAlign w:val="center"/>
          </w:tcPr>
          <w:p w14:paraId="554B3B3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15.13</w:t>
            </w:r>
          </w:p>
        </w:tc>
        <w:tc>
          <w:tcPr>
            <w:tcW w:w="1570" w:type="dxa"/>
            <w:noWrap w:val="0"/>
            <w:vAlign w:val="center"/>
          </w:tcPr>
          <w:p w14:paraId="3E7B4F6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99.29</w:t>
            </w:r>
          </w:p>
        </w:tc>
        <w:tc>
          <w:tcPr>
            <w:tcW w:w="1570" w:type="dxa"/>
            <w:vMerge w:val="restart"/>
            <w:noWrap w:val="0"/>
            <w:vAlign w:val="center"/>
          </w:tcPr>
          <w:p w14:paraId="79467B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99.12</w:t>
            </w:r>
            <w:r>
              <w:rPr>
                <w:rFonts w:hint="default" w:ascii="Times New Roman" w:hAnsi="Times New Roman" w:cs="Times New Roman"/>
                <w:sz w:val="21"/>
                <w:szCs w:val="21"/>
                <w:lang w:val="en-US" w:eastAsia="zh-CN"/>
              </w:rPr>
              <w:t>±0.32</w:t>
            </w:r>
          </w:p>
        </w:tc>
      </w:tr>
      <w:tr w14:paraId="7602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60" w:type="dxa"/>
            <w:vMerge w:val="continue"/>
            <w:noWrap w:val="0"/>
            <w:vAlign w:val="center"/>
          </w:tcPr>
          <w:p w14:paraId="485901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1060" w:type="dxa"/>
            <w:noWrap w:val="0"/>
            <w:vAlign w:val="center"/>
          </w:tcPr>
          <w:p w14:paraId="7400DC3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w:t>
            </w:r>
          </w:p>
        </w:tc>
        <w:tc>
          <w:tcPr>
            <w:tcW w:w="1186" w:type="dxa"/>
            <w:noWrap w:val="0"/>
            <w:vAlign w:val="center"/>
          </w:tcPr>
          <w:p w14:paraId="34834C4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0.0624</w:t>
            </w:r>
          </w:p>
        </w:tc>
        <w:tc>
          <w:tcPr>
            <w:tcW w:w="1564" w:type="dxa"/>
            <w:noWrap w:val="0"/>
            <w:vAlign w:val="center"/>
          </w:tcPr>
          <w:p w14:paraId="5FD26BF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14.66</w:t>
            </w:r>
          </w:p>
        </w:tc>
        <w:tc>
          <w:tcPr>
            <w:tcW w:w="1570" w:type="dxa"/>
            <w:noWrap w:val="0"/>
            <w:vAlign w:val="center"/>
          </w:tcPr>
          <w:p w14:paraId="34C4789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99.31</w:t>
            </w:r>
          </w:p>
        </w:tc>
        <w:tc>
          <w:tcPr>
            <w:tcW w:w="1570" w:type="dxa"/>
            <w:vMerge w:val="continue"/>
            <w:noWrap w:val="0"/>
            <w:vAlign w:val="center"/>
          </w:tcPr>
          <w:p w14:paraId="6BD0B44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395B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60" w:type="dxa"/>
            <w:vMerge w:val="continue"/>
            <w:noWrap w:val="0"/>
            <w:vAlign w:val="center"/>
          </w:tcPr>
          <w:p w14:paraId="6CFDA11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1060" w:type="dxa"/>
            <w:noWrap w:val="0"/>
            <w:vAlign w:val="center"/>
          </w:tcPr>
          <w:p w14:paraId="180A0E6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w:t>
            </w:r>
          </w:p>
        </w:tc>
        <w:tc>
          <w:tcPr>
            <w:tcW w:w="1186" w:type="dxa"/>
            <w:noWrap w:val="0"/>
            <w:vAlign w:val="center"/>
          </w:tcPr>
          <w:p w14:paraId="1BFD077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0.1088</w:t>
            </w:r>
          </w:p>
        </w:tc>
        <w:tc>
          <w:tcPr>
            <w:tcW w:w="1564" w:type="dxa"/>
            <w:noWrap w:val="0"/>
            <w:vAlign w:val="center"/>
          </w:tcPr>
          <w:p w14:paraId="4618608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26.62</w:t>
            </w:r>
          </w:p>
        </w:tc>
        <w:tc>
          <w:tcPr>
            <w:tcW w:w="1570" w:type="dxa"/>
            <w:noWrap w:val="0"/>
            <w:vAlign w:val="center"/>
          </w:tcPr>
          <w:p w14:paraId="64B3F64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98.75</w:t>
            </w:r>
          </w:p>
        </w:tc>
        <w:tc>
          <w:tcPr>
            <w:tcW w:w="1570" w:type="dxa"/>
            <w:vMerge w:val="continue"/>
            <w:noWrap w:val="0"/>
            <w:vAlign w:val="center"/>
          </w:tcPr>
          <w:p w14:paraId="55A5C2F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3BD7F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60" w:type="dxa"/>
            <w:vMerge w:val="restart"/>
            <w:shd w:val="clear" w:color="auto" w:fill="auto"/>
            <w:noWrap w:val="0"/>
            <w:vAlign w:val="center"/>
          </w:tcPr>
          <w:p w14:paraId="065F406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实验室2</w:t>
            </w:r>
          </w:p>
        </w:tc>
        <w:tc>
          <w:tcPr>
            <w:tcW w:w="1060" w:type="dxa"/>
            <w:shd w:val="clear" w:color="auto" w:fill="auto"/>
            <w:noWrap w:val="0"/>
            <w:vAlign w:val="center"/>
          </w:tcPr>
          <w:p w14:paraId="273F1C8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1</w:t>
            </w:r>
          </w:p>
        </w:tc>
        <w:tc>
          <w:tcPr>
            <w:tcW w:w="1186" w:type="dxa"/>
            <w:shd w:val="clear" w:color="auto" w:fill="auto"/>
            <w:noWrap w:val="0"/>
            <w:vAlign w:val="center"/>
          </w:tcPr>
          <w:p w14:paraId="7BCEC981">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0.0521</w:t>
            </w:r>
          </w:p>
        </w:tc>
        <w:tc>
          <w:tcPr>
            <w:tcW w:w="1564" w:type="dxa"/>
            <w:noWrap w:val="0"/>
            <w:vAlign w:val="center"/>
          </w:tcPr>
          <w:p w14:paraId="0107593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rPr>
              <w:t>10.513</w:t>
            </w:r>
          </w:p>
        </w:tc>
        <w:tc>
          <w:tcPr>
            <w:tcW w:w="1570" w:type="dxa"/>
            <w:shd w:val="clear" w:color="auto" w:fill="auto"/>
            <w:noWrap w:val="0"/>
            <w:vAlign w:val="center"/>
          </w:tcPr>
          <w:p w14:paraId="663BE215">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99.45</w:t>
            </w:r>
          </w:p>
        </w:tc>
        <w:tc>
          <w:tcPr>
            <w:tcW w:w="1570" w:type="dxa"/>
            <w:vMerge w:val="restart"/>
            <w:noWrap w:val="0"/>
            <w:vAlign w:val="center"/>
          </w:tcPr>
          <w:p w14:paraId="7D2B897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99.</w:t>
            </w:r>
            <w:r>
              <w:rPr>
                <w:rFonts w:hint="eastAsia" w:ascii="Times New Roman" w:hAnsi="Times New Roman" w:cs="Times New Roman"/>
                <w:sz w:val="21"/>
                <w:szCs w:val="21"/>
                <w:vertAlign w:val="baseline"/>
                <w:lang w:val="en-US" w:eastAsia="zh-CN"/>
              </w:rPr>
              <w:t>49</w:t>
            </w:r>
            <w:r>
              <w:rPr>
                <w:rFonts w:hint="default" w:ascii="Times New Roman" w:hAnsi="Times New Roman" w:cs="Times New Roman"/>
                <w:sz w:val="21"/>
                <w:szCs w:val="21"/>
                <w:lang w:val="en-US" w:eastAsia="zh-CN"/>
              </w:rPr>
              <w:t>±0.</w:t>
            </w:r>
            <w:r>
              <w:rPr>
                <w:rFonts w:hint="eastAsia" w:ascii="Times New Roman" w:hAnsi="Times New Roman" w:cs="Times New Roman"/>
                <w:sz w:val="21"/>
                <w:szCs w:val="21"/>
                <w:lang w:val="en-US" w:eastAsia="zh-CN"/>
              </w:rPr>
              <w:t>03</w:t>
            </w:r>
          </w:p>
        </w:tc>
      </w:tr>
      <w:tr w14:paraId="3A51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60" w:type="dxa"/>
            <w:vMerge w:val="continue"/>
            <w:shd w:val="clear" w:color="auto" w:fill="auto"/>
            <w:noWrap w:val="0"/>
            <w:vAlign w:val="center"/>
          </w:tcPr>
          <w:p w14:paraId="2A06DA1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p>
        </w:tc>
        <w:tc>
          <w:tcPr>
            <w:tcW w:w="1060" w:type="dxa"/>
            <w:shd w:val="clear" w:color="auto" w:fill="auto"/>
            <w:noWrap w:val="0"/>
            <w:vAlign w:val="center"/>
          </w:tcPr>
          <w:p w14:paraId="40172A3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2</w:t>
            </w:r>
          </w:p>
        </w:tc>
        <w:tc>
          <w:tcPr>
            <w:tcW w:w="1186" w:type="dxa"/>
            <w:shd w:val="clear" w:color="auto" w:fill="auto"/>
            <w:noWrap w:val="0"/>
            <w:vAlign w:val="center"/>
          </w:tcPr>
          <w:p w14:paraId="32E36AE9">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0.0479</w:t>
            </w:r>
          </w:p>
        </w:tc>
        <w:tc>
          <w:tcPr>
            <w:tcW w:w="1564" w:type="dxa"/>
            <w:noWrap w:val="0"/>
            <w:vAlign w:val="center"/>
          </w:tcPr>
          <w:p w14:paraId="0FE6318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rPr>
              <w:t>9.558</w:t>
            </w:r>
          </w:p>
        </w:tc>
        <w:tc>
          <w:tcPr>
            <w:tcW w:w="1570" w:type="dxa"/>
            <w:shd w:val="clear" w:color="auto" w:fill="auto"/>
            <w:noWrap w:val="0"/>
            <w:vAlign w:val="center"/>
          </w:tcPr>
          <w:p w14:paraId="3E244199">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99.50</w:t>
            </w:r>
          </w:p>
        </w:tc>
        <w:tc>
          <w:tcPr>
            <w:tcW w:w="1570" w:type="dxa"/>
            <w:vMerge w:val="continue"/>
            <w:noWrap w:val="0"/>
            <w:vAlign w:val="center"/>
          </w:tcPr>
          <w:p w14:paraId="7BC6896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52CD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60" w:type="dxa"/>
            <w:vMerge w:val="continue"/>
            <w:shd w:val="clear" w:color="auto" w:fill="auto"/>
            <w:noWrap w:val="0"/>
            <w:vAlign w:val="center"/>
          </w:tcPr>
          <w:p w14:paraId="7AF31DE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sz w:val="21"/>
                <w:szCs w:val="21"/>
                <w:vertAlign w:val="baseline"/>
                <w:lang w:val="en-US" w:eastAsia="zh-CN"/>
              </w:rPr>
            </w:pPr>
          </w:p>
        </w:tc>
        <w:tc>
          <w:tcPr>
            <w:tcW w:w="1060" w:type="dxa"/>
            <w:shd w:val="clear" w:color="auto" w:fill="auto"/>
            <w:noWrap w:val="0"/>
            <w:vAlign w:val="center"/>
          </w:tcPr>
          <w:p w14:paraId="5125EF8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3</w:t>
            </w:r>
          </w:p>
        </w:tc>
        <w:tc>
          <w:tcPr>
            <w:tcW w:w="1186" w:type="dxa"/>
            <w:shd w:val="clear" w:color="auto" w:fill="auto"/>
            <w:noWrap w:val="0"/>
            <w:vAlign w:val="center"/>
          </w:tcPr>
          <w:p w14:paraId="20222267">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0.0475</w:t>
            </w:r>
          </w:p>
        </w:tc>
        <w:tc>
          <w:tcPr>
            <w:tcW w:w="1564" w:type="dxa"/>
            <w:noWrap w:val="0"/>
            <w:vAlign w:val="center"/>
          </w:tcPr>
          <w:p w14:paraId="46EDA78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rPr>
              <w:t>9.467</w:t>
            </w:r>
          </w:p>
        </w:tc>
        <w:tc>
          <w:tcPr>
            <w:tcW w:w="1570" w:type="dxa"/>
            <w:shd w:val="clear" w:color="auto" w:fill="auto"/>
            <w:noWrap w:val="0"/>
            <w:vAlign w:val="center"/>
          </w:tcPr>
          <w:p w14:paraId="5ADB19C0">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rPr>
              <w:t>99.51</w:t>
            </w:r>
          </w:p>
        </w:tc>
        <w:tc>
          <w:tcPr>
            <w:tcW w:w="1570" w:type="dxa"/>
            <w:vMerge w:val="continue"/>
            <w:noWrap w:val="0"/>
            <w:vAlign w:val="center"/>
          </w:tcPr>
          <w:p w14:paraId="11E677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bl>
    <w:p w14:paraId="2DC7A533">
      <w:pPr>
        <w:pStyle w:val="41"/>
        <w:spacing w:line="360" w:lineRule="auto"/>
        <w:ind w:left="482" w:hanging="482" w:hangingChars="200"/>
        <w:rPr>
          <w:rFonts w:hint="eastAsia" w:ascii="Times New Roman" w:hAnsi="Times New Roman" w:eastAsia="宋体" w:cs="Times New Roman"/>
          <w:b/>
          <w:bCs/>
          <w:i w:val="0"/>
          <w:iCs w:val="0"/>
          <w:caps w:val="0"/>
          <w:spacing w:val="0"/>
          <w:sz w:val="24"/>
          <w:szCs w:val="24"/>
          <w:shd w:val="clear" w:color="auto" w:fill="auto"/>
        </w:rPr>
      </w:pPr>
    </w:p>
    <w:p w14:paraId="11C305F8">
      <w:pPr>
        <w:pStyle w:val="41"/>
        <w:spacing w:line="360" w:lineRule="auto"/>
        <w:ind w:left="482" w:hanging="482" w:hangingChars="200"/>
        <w:outlineLvl w:val="2"/>
        <w:rPr>
          <w:rFonts w:hint="eastAsia" w:ascii="Times New Roman" w:hAnsi="Times New Roman" w:eastAsia="宋体" w:cs="Times New Roman"/>
          <w:b/>
          <w:bCs/>
          <w:i w:val="0"/>
          <w:iCs w:val="0"/>
          <w:caps w:val="0"/>
          <w:spacing w:val="0"/>
          <w:sz w:val="24"/>
          <w:szCs w:val="24"/>
          <w:shd w:val="clear" w:color="auto" w:fill="auto"/>
        </w:rPr>
      </w:pPr>
      <w:bookmarkStart w:id="36" w:name="_Toc7530"/>
      <w:r>
        <w:rPr>
          <w:rFonts w:hint="eastAsia" w:ascii="Times New Roman" w:hAnsi="Times New Roman" w:eastAsia="宋体" w:cs="Times New Roman"/>
          <w:b/>
          <w:bCs/>
          <w:i w:val="0"/>
          <w:iCs w:val="0"/>
          <w:caps w:val="0"/>
          <w:spacing w:val="0"/>
          <w:sz w:val="24"/>
          <w:szCs w:val="24"/>
          <w:shd w:val="clear" w:color="auto" w:fill="auto"/>
        </w:rPr>
        <w:t>3.</w:t>
      </w:r>
      <w:r>
        <w:rPr>
          <w:rFonts w:hint="eastAsia" w:ascii="Times New Roman" w:cs="Times New Roman"/>
          <w:b/>
          <w:bCs/>
          <w:i w:val="0"/>
          <w:iCs w:val="0"/>
          <w:caps w:val="0"/>
          <w:spacing w:val="0"/>
          <w:sz w:val="24"/>
          <w:szCs w:val="24"/>
          <w:shd w:val="clear" w:color="auto" w:fill="auto"/>
          <w:lang w:val="en-US" w:eastAsia="zh-CN"/>
        </w:rPr>
        <w:t>2</w:t>
      </w:r>
      <w:r>
        <w:rPr>
          <w:rFonts w:hint="eastAsia" w:ascii="Times New Roman" w:hAnsi="Times New Roman" w:eastAsia="宋体" w:cs="Times New Roman"/>
          <w:b/>
          <w:bCs/>
          <w:i w:val="0"/>
          <w:iCs w:val="0"/>
          <w:caps w:val="0"/>
          <w:spacing w:val="0"/>
          <w:sz w:val="24"/>
          <w:szCs w:val="24"/>
          <w:shd w:val="clear" w:color="auto" w:fill="auto"/>
        </w:rPr>
        <w:t>.4 验证结果判定</w:t>
      </w:r>
      <w:bookmarkEnd w:id="36"/>
    </w:p>
    <w:p w14:paraId="3A8436B7">
      <w:pPr>
        <w:pStyle w:val="41"/>
        <w:ind w:firstLine="480" w:firstLineChars="200"/>
        <w:rPr>
          <w:rFonts w:hint="eastAsia" w:ascii="Times New Roman" w:hAnsi="Times New Roman" w:eastAsia="宋体" w:cs="Times New Roman"/>
          <w:i w:val="0"/>
          <w:iCs w:val="0"/>
          <w:caps w:val="0"/>
          <w:spacing w:val="0"/>
          <w:sz w:val="24"/>
          <w:szCs w:val="24"/>
          <w:shd w:val="clear" w:color="auto" w:fill="auto"/>
        </w:rPr>
      </w:pPr>
      <w:r>
        <w:rPr>
          <w:rFonts w:hint="eastAsia" w:ascii="Times New Roman" w:hAnsi="Times New Roman" w:eastAsia="宋体" w:cs="Times New Roman"/>
          <w:i w:val="0"/>
          <w:iCs w:val="0"/>
          <w:caps w:val="0"/>
          <w:spacing w:val="0"/>
          <w:sz w:val="24"/>
          <w:szCs w:val="24"/>
          <w:shd w:val="clear" w:color="auto" w:fill="auto"/>
        </w:rPr>
        <w:t>平行测定</w:t>
      </w:r>
      <w:r>
        <w:rPr>
          <w:rFonts w:hint="eastAsia" w:ascii="Times New Roman" w:cs="Times New Roman"/>
          <w:i w:val="0"/>
          <w:iCs w:val="0"/>
          <w:caps w:val="0"/>
          <w:spacing w:val="0"/>
          <w:sz w:val="24"/>
          <w:szCs w:val="24"/>
          <w:shd w:val="clear" w:color="auto" w:fill="auto"/>
          <w:lang w:eastAsia="zh-CN"/>
        </w:rPr>
        <w:t>三</w:t>
      </w:r>
      <w:r>
        <w:rPr>
          <w:rFonts w:hint="eastAsia" w:ascii="Times New Roman" w:hAnsi="Times New Roman" w:eastAsia="宋体" w:cs="Times New Roman"/>
          <w:i w:val="0"/>
          <w:iCs w:val="0"/>
          <w:caps w:val="0"/>
          <w:spacing w:val="0"/>
          <w:sz w:val="24"/>
          <w:szCs w:val="24"/>
          <w:shd w:val="clear" w:color="auto" w:fill="auto"/>
        </w:rPr>
        <w:t>份样品，包封率结果</w:t>
      </w:r>
      <w:r>
        <w:rPr>
          <w:rFonts w:hint="eastAsia" w:ascii="Times New Roman" w:cs="Times New Roman"/>
          <w:i w:val="0"/>
          <w:iCs w:val="0"/>
          <w:caps w:val="0"/>
          <w:spacing w:val="0"/>
          <w:sz w:val="24"/>
          <w:szCs w:val="24"/>
          <w:shd w:val="clear" w:color="auto" w:fill="auto"/>
          <w:lang w:val="en-US" w:eastAsia="zh-CN"/>
        </w:rPr>
        <w:t>均</w:t>
      </w:r>
      <w:r>
        <w:rPr>
          <w:rFonts w:hint="eastAsia" w:ascii="Times New Roman" w:hAnsi="Times New Roman" w:eastAsia="宋体" w:cs="Times New Roman"/>
          <w:i w:val="0"/>
          <w:iCs w:val="0"/>
          <w:caps w:val="0"/>
          <w:spacing w:val="0"/>
          <w:sz w:val="24"/>
          <w:szCs w:val="24"/>
          <w:shd w:val="clear" w:color="auto" w:fill="auto"/>
        </w:rPr>
        <w:t>在≥</w:t>
      </w:r>
      <w:r>
        <w:rPr>
          <w:rFonts w:hint="eastAsia" w:ascii="Times New Roman" w:cs="Times New Roman"/>
          <w:i w:val="0"/>
          <w:iCs w:val="0"/>
          <w:caps w:val="0"/>
          <w:spacing w:val="0"/>
          <w:sz w:val="24"/>
          <w:szCs w:val="24"/>
          <w:shd w:val="clear" w:color="auto" w:fill="auto"/>
          <w:lang w:val="en-US" w:eastAsia="zh-CN"/>
        </w:rPr>
        <w:t>80</w:t>
      </w:r>
      <w:r>
        <w:rPr>
          <w:rFonts w:hint="eastAsia" w:ascii="Times New Roman" w:hAnsi="Times New Roman" w:eastAsia="宋体" w:cs="Times New Roman"/>
          <w:i w:val="0"/>
          <w:iCs w:val="0"/>
          <w:caps w:val="0"/>
          <w:spacing w:val="0"/>
          <w:sz w:val="24"/>
          <w:szCs w:val="24"/>
          <w:shd w:val="clear" w:color="auto" w:fill="auto"/>
        </w:rPr>
        <w:t>%，</w:t>
      </w:r>
      <w:r>
        <w:rPr>
          <w:rFonts w:hint="eastAsia" w:ascii="Times New Roman" w:cs="Times New Roman"/>
          <w:i w:val="0"/>
          <w:iCs w:val="0"/>
          <w:caps w:val="0"/>
          <w:spacing w:val="0"/>
          <w:sz w:val="24"/>
          <w:szCs w:val="24"/>
          <w:shd w:val="clear" w:color="auto" w:fill="auto"/>
          <w:lang w:val="en-US" w:eastAsia="zh-CN"/>
        </w:rPr>
        <w:t>且</w:t>
      </w:r>
      <w:r>
        <w:rPr>
          <w:rFonts w:hint="eastAsia" w:ascii="Times New Roman"/>
          <w:sz w:val="24"/>
          <w:szCs w:val="24"/>
          <w:lang w:eastAsia="zh-CN"/>
        </w:rPr>
        <w:t>相对标准</w:t>
      </w:r>
      <w:r>
        <w:rPr>
          <w:rFonts w:hint="eastAsia" w:ascii="Times New Roman"/>
          <w:sz w:val="24"/>
          <w:szCs w:val="24"/>
        </w:rPr>
        <w:t>偏差</w:t>
      </w:r>
      <w:r>
        <w:rPr>
          <w:rFonts w:hint="eastAsia" w:ascii="Times New Roman" w:cs="Times New Roman"/>
          <w:i w:val="0"/>
          <w:iCs w:val="0"/>
          <w:caps w:val="0"/>
          <w:spacing w:val="0"/>
          <w:sz w:val="24"/>
          <w:szCs w:val="24"/>
          <w:shd w:val="clear" w:color="auto" w:fill="auto"/>
          <w:lang w:val="en-US" w:eastAsia="zh-CN"/>
        </w:rPr>
        <w:t>均未</w:t>
      </w:r>
      <w:r>
        <w:rPr>
          <w:rFonts w:hint="eastAsia" w:ascii="Times New Roman" w:hAnsi="Times New Roman" w:eastAsia="宋体" w:cs="Times New Roman"/>
          <w:i w:val="0"/>
          <w:iCs w:val="0"/>
          <w:caps w:val="0"/>
          <w:spacing w:val="0"/>
          <w:sz w:val="24"/>
          <w:szCs w:val="24"/>
          <w:shd w:val="clear" w:color="auto" w:fill="auto"/>
        </w:rPr>
        <w:t>超过</w:t>
      </w:r>
      <w:r>
        <w:rPr>
          <w:rFonts w:hint="eastAsia" w:ascii="Times New Roman" w:cs="Times New Roman"/>
          <w:i w:val="0"/>
          <w:iCs w:val="0"/>
          <w:caps w:val="0"/>
          <w:spacing w:val="0"/>
          <w:sz w:val="24"/>
          <w:szCs w:val="24"/>
          <w:shd w:val="clear" w:color="auto" w:fill="auto"/>
          <w:lang w:val="en-US" w:eastAsia="zh-CN"/>
        </w:rPr>
        <w:t>10</w:t>
      </w:r>
      <w:r>
        <w:rPr>
          <w:rFonts w:hint="eastAsia" w:ascii="Times New Roman" w:hAnsi="Times New Roman" w:eastAsia="宋体" w:cs="Times New Roman"/>
          <w:i w:val="0"/>
          <w:iCs w:val="0"/>
          <w:caps w:val="0"/>
          <w:spacing w:val="0"/>
          <w:sz w:val="24"/>
          <w:szCs w:val="24"/>
          <w:shd w:val="clear" w:color="auto" w:fill="auto"/>
        </w:rPr>
        <w:t>%。</w:t>
      </w:r>
    </w:p>
    <w:p w14:paraId="3B3C7E12">
      <w:pPr>
        <w:pStyle w:val="41"/>
        <w:spacing w:line="360" w:lineRule="auto"/>
        <w:ind w:left="0" w:leftChars="0" w:firstLine="0" w:firstLineChars="0"/>
        <w:rPr>
          <w:rFonts w:hint="default" w:ascii="Times New Roman" w:hAnsi="Times New Roman" w:eastAsia="宋体" w:cs="Times New Roman"/>
          <w:i w:val="0"/>
          <w:iCs w:val="0"/>
          <w:caps w:val="0"/>
          <w:spacing w:val="0"/>
          <w:sz w:val="24"/>
          <w:szCs w:val="24"/>
          <w:shd w:val="clear" w:color="auto" w:fill="auto"/>
        </w:rPr>
      </w:pPr>
    </w:p>
    <w:p w14:paraId="571B919C">
      <w:pPr>
        <w:pStyle w:val="52"/>
        <w:spacing w:line="360" w:lineRule="auto"/>
        <w:outlineLvl w:val="1"/>
        <w:rPr>
          <w:rFonts w:hint="default" w:ascii="Times New Roman" w:hAnsi="Times New Roman" w:cs="Times New Roman"/>
          <w:sz w:val="24"/>
          <w:szCs w:val="24"/>
        </w:rPr>
      </w:pPr>
      <w:bookmarkStart w:id="37" w:name="_Toc224738380"/>
      <w:bookmarkStart w:id="38" w:name="_Toc12541"/>
      <w:bookmarkStart w:id="39" w:name="_Toc14690"/>
      <w:r>
        <w:rPr>
          <w:rFonts w:hint="default" w:ascii="Times New Roman" w:hAnsi="Times New Roman" w:cs="Times New Roman"/>
          <w:sz w:val="24"/>
          <w:szCs w:val="24"/>
        </w:rPr>
        <w:t>3.3 白蛋白类分子递送载体包封率测定</w:t>
      </w:r>
      <w:bookmarkEnd w:id="37"/>
      <w:bookmarkEnd w:id="38"/>
      <w:bookmarkEnd w:id="39"/>
    </w:p>
    <w:p w14:paraId="0D3E12B6">
      <w:pPr>
        <w:spacing w:line="360" w:lineRule="auto"/>
        <w:rPr>
          <w:rFonts w:hint="default" w:ascii="Times New Roman" w:hAnsi="Times New Roman" w:cs="Times New Roman"/>
          <w:sz w:val="24"/>
          <w:szCs w:val="24"/>
        </w:rPr>
      </w:pPr>
      <w:r>
        <w:rPr>
          <w:rFonts w:hint="default" w:ascii="Times New Roman" w:hAnsi="Times New Roman" w:cs="Times New Roman"/>
          <w:b/>
          <w:bCs/>
          <w:sz w:val="24"/>
          <w:szCs w:val="24"/>
        </w:rPr>
        <w:t>测定原理：</w:t>
      </w:r>
      <w:r>
        <w:rPr>
          <w:rFonts w:hint="default" w:ascii="Times New Roman" w:hAnsi="Times New Roman" w:cs="Times New Roman"/>
          <w:sz w:val="24"/>
          <w:szCs w:val="24"/>
        </w:rPr>
        <w:t>采用超滤离心法分离游离</w:t>
      </w:r>
      <w:r>
        <w:rPr>
          <w:rFonts w:hint="default" w:ascii="Times New Roman" w:hAnsi="Times New Roman" w:cs="Times New Roman"/>
          <w:sz w:val="24"/>
          <w:szCs w:val="24"/>
          <w:lang w:eastAsia="zh-CN"/>
        </w:rPr>
        <w:t>有效成分</w:t>
      </w:r>
      <w:r>
        <w:rPr>
          <w:rFonts w:hint="default" w:ascii="Times New Roman" w:hAnsi="Times New Roman" w:cs="Times New Roman"/>
          <w:sz w:val="24"/>
          <w:szCs w:val="24"/>
        </w:rPr>
        <w:t>与白蛋白（白蛋白粒径约10~30 nm，需使用较小MWCO超滤管）。注意白蛋白可能吸附</w:t>
      </w:r>
      <w:r>
        <w:rPr>
          <w:rFonts w:hint="default" w:ascii="Times New Roman" w:hAnsi="Times New Roman" w:cs="Times New Roman"/>
          <w:sz w:val="24"/>
          <w:szCs w:val="24"/>
          <w:lang w:eastAsia="zh-CN"/>
        </w:rPr>
        <w:t>有效成分</w:t>
      </w:r>
      <w:r>
        <w:rPr>
          <w:rFonts w:hint="default" w:ascii="Times New Roman" w:hAnsi="Times New Roman" w:cs="Times New Roman"/>
          <w:sz w:val="24"/>
          <w:szCs w:val="24"/>
        </w:rPr>
        <w:t>，应验证回收率。</w:t>
      </w:r>
    </w:p>
    <w:p w14:paraId="69D8B6C3">
      <w:pPr>
        <w:pStyle w:val="53"/>
        <w:spacing w:line="360" w:lineRule="auto"/>
        <w:outlineLvl w:val="2"/>
        <w:rPr>
          <w:rFonts w:hint="default" w:ascii="Times New Roman" w:hAnsi="Times New Roman" w:cs="Times New Roman"/>
          <w:sz w:val="24"/>
          <w:szCs w:val="24"/>
        </w:rPr>
      </w:pPr>
      <w:bookmarkStart w:id="40" w:name="_Toc16541"/>
      <w:bookmarkStart w:id="41" w:name="_Toc21402"/>
      <w:r>
        <w:rPr>
          <w:rFonts w:hint="default" w:ascii="Times New Roman" w:hAnsi="Times New Roman" w:cs="Times New Roman"/>
          <w:sz w:val="24"/>
          <w:szCs w:val="24"/>
        </w:rPr>
        <w:t>3.3.1 试验设备及材料</w:t>
      </w:r>
      <w:bookmarkEnd w:id="40"/>
      <w:bookmarkEnd w:id="41"/>
    </w:p>
    <w:p w14:paraId="701B6B5B">
      <w:pPr>
        <w:spacing w:line="360" w:lineRule="auto"/>
        <w:ind w:firstLine="420"/>
        <w:rPr>
          <w:rFonts w:hint="default" w:ascii="Times New Roman" w:hAnsi="Times New Roman" w:cs="Times New Roman"/>
          <w:sz w:val="24"/>
          <w:szCs w:val="24"/>
        </w:rPr>
      </w:pPr>
      <w:r>
        <w:rPr>
          <w:rFonts w:hint="default" w:ascii="Times New Roman" w:hAnsi="Times New Roman" w:cs="Times New Roman"/>
          <w:color w:val="000000"/>
          <w:sz w:val="24"/>
          <w:szCs w:val="24"/>
        </w:rPr>
        <w:t>紫杉醇白蛋白、紫杉醇</w:t>
      </w:r>
      <w:r>
        <w:rPr>
          <w:rFonts w:hint="default" w:ascii="Times New Roman" w:hAnsi="Times New Roman" w:cs="Times New Roman"/>
          <w:sz w:val="24"/>
          <w:szCs w:val="24"/>
        </w:rPr>
        <w:t>、离心机、超滤离心管、高效液相色谱</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2"/>
        <w:gridCol w:w="3804"/>
        <w:gridCol w:w="3576"/>
      </w:tblGrid>
      <w:tr w14:paraId="37A10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noWrap w:val="0"/>
            <w:vAlign w:val="top"/>
          </w:tcPr>
          <w:p w14:paraId="37B68024">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rPr>
              <w:t>材料/设备</w:t>
            </w:r>
          </w:p>
        </w:tc>
        <w:tc>
          <w:tcPr>
            <w:tcW w:w="3804" w:type="dxa"/>
            <w:noWrap w:val="0"/>
            <w:vAlign w:val="top"/>
          </w:tcPr>
          <w:p w14:paraId="5B718B31">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lang w:val="en-US" w:eastAsia="zh-CN"/>
              </w:rPr>
              <w:t>实验室1</w:t>
            </w:r>
            <w:r>
              <w:rPr>
                <w:rFonts w:hint="default" w:ascii="Times New Roman" w:hAnsi="Times New Roman" w:cs="Times New Roman"/>
                <w:b/>
                <w:bCs/>
                <w:sz w:val="21"/>
                <w:szCs w:val="21"/>
              </w:rPr>
              <w:t>规格/型号</w:t>
            </w:r>
          </w:p>
        </w:tc>
        <w:tc>
          <w:tcPr>
            <w:tcW w:w="0" w:type="auto"/>
            <w:noWrap w:val="0"/>
            <w:vAlign w:val="top"/>
          </w:tcPr>
          <w:p w14:paraId="5241A531">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lang w:val="en-US" w:eastAsia="zh-CN"/>
              </w:rPr>
              <w:t>实验室1</w:t>
            </w:r>
            <w:r>
              <w:rPr>
                <w:rFonts w:hint="default" w:ascii="Times New Roman" w:hAnsi="Times New Roman" w:cs="Times New Roman"/>
                <w:b/>
                <w:bCs/>
                <w:sz w:val="21"/>
                <w:szCs w:val="21"/>
              </w:rPr>
              <w:t>规格/型号</w:t>
            </w:r>
          </w:p>
        </w:tc>
      </w:tr>
      <w:tr w14:paraId="3F44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2" w:type="dxa"/>
            <w:noWrap w:val="0"/>
            <w:vAlign w:val="center"/>
          </w:tcPr>
          <w:p w14:paraId="1280681D">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紫杉醇白蛋白</w:t>
            </w:r>
          </w:p>
        </w:tc>
        <w:tc>
          <w:tcPr>
            <w:tcW w:w="3804" w:type="dxa"/>
            <w:noWrap w:val="0"/>
            <w:vAlign w:val="center"/>
          </w:tcPr>
          <w:p w14:paraId="27C30BC5">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lang w:val="en-US"/>
              </w:rPr>
            </w:pPr>
            <w:r>
              <w:rPr>
                <w:rFonts w:hint="default" w:ascii="Times New Roman" w:hAnsi="Times New Roman" w:cs="Times New Roman"/>
                <w:szCs w:val="24"/>
              </w:rPr>
              <w:t>品牌：石药集团，粒径：~130 nm，100 mg/瓶</w:t>
            </w:r>
          </w:p>
        </w:tc>
        <w:tc>
          <w:tcPr>
            <w:tcW w:w="0" w:type="auto"/>
            <w:noWrap w:val="0"/>
            <w:vAlign w:val="center"/>
          </w:tcPr>
          <w:p w14:paraId="66703C30">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Cs w:val="24"/>
              </w:rPr>
              <w:t>品牌：石药集团，粒径：~130 nm，100 mg/瓶</w:t>
            </w:r>
          </w:p>
        </w:tc>
      </w:tr>
      <w:tr w14:paraId="2541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noWrap w:val="0"/>
            <w:vAlign w:val="center"/>
          </w:tcPr>
          <w:p w14:paraId="02C253C0">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紫杉醇对照品</w:t>
            </w:r>
          </w:p>
        </w:tc>
        <w:tc>
          <w:tcPr>
            <w:tcW w:w="3804" w:type="dxa"/>
            <w:noWrap w:val="0"/>
            <w:vAlign w:val="center"/>
          </w:tcPr>
          <w:p w14:paraId="6E817342">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中国药品检定研究院，100382-202205，含量：99.7%</w:t>
            </w:r>
          </w:p>
        </w:tc>
        <w:tc>
          <w:tcPr>
            <w:tcW w:w="0" w:type="auto"/>
            <w:noWrap w:val="0"/>
            <w:vAlign w:val="center"/>
          </w:tcPr>
          <w:p w14:paraId="4B701A7A">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批号：902-2401404，品牌：福建南方制药股份，含量：100.0%</w:t>
            </w:r>
          </w:p>
        </w:tc>
      </w:tr>
      <w:tr w14:paraId="26EC3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noWrap w:val="0"/>
            <w:vAlign w:val="center"/>
          </w:tcPr>
          <w:p w14:paraId="4D1D02FD">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rPr>
            </w:pPr>
            <w:r>
              <w:rPr>
                <w:rFonts w:hint="default" w:ascii="Times New Roman" w:hAnsi="Times New Roman" w:cs="Times New Roman"/>
                <w:sz w:val="21"/>
                <w:szCs w:val="21"/>
              </w:rPr>
              <w:t>二甲基亚砜</w:t>
            </w:r>
          </w:p>
        </w:tc>
        <w:tc>
          <w:tcPr>
            <w:tcW w:w="3804" w:type="dxa"/>
            <w:noWrap w:val="0"/>
            <w:vAlign w:val="center"/>
          </w:tcPr>
          <w:p w14:paraId="60982EE4">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DMSO，Solarbio</w:t>
            </w:r>
          </w:p>
        </w:tc>
        <w:tc>
          <w:tcPr>
            <w:tcW w:w="0" w:type="auto"/>
            <w:noWrap w:val="0"/>
            <w:vAlign w:val="center"/>
          </w:tcPr>
          <w:p w14:paraId="17931B90">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p>
        </w:tc>
      </w:tr>
      <w:tr w14:paraId="080AD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2" w:type="dxa"/>
            <w:noWrap w:val="0"/>
            <w:vAlign w:val="center"/>
          </w:tcPr>
          <w:p w14:paraId="5D9EBA27">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稀释液</w:t>
            </w:r>
          </w:p>
        </w:tc>
        <w:tc>
          <w:tcPr>
            <w:tcW w:w="3804" w:type="dxa"/>
            <w:noWrap w:val="0"/>
            <w:vAlign w:val="center"/>
          </w:tcPr>
          <w:p w14:paraId="057A37F9">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去离子水/乙腈</w:t>
            </w:r>
            <w:r>
              <w:rPr>
                <w:rFonts w:hint="default" w:ascii="Times New Roman" w:hAnsi="Times New Roman" w:cs="Times New Roman"/>
                <w:sz w:val="21"/>
                <w:szCs w:val="21"/>
                <w:lang w:eastAsia="zh-CN"/>
              </w:rPr>
              <w:t>（色谱级）</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0:</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0，体积比）</w:t>
            </w:r>
          </w:p>
        </w:tc>
        <w:tc>
          <w:tcPr>
            <w:tcW w:w="0" w:type="auto"/>
            <w:noWrap w:val="0"/>
            <w:vAlign w:val="center"/>
          </w:tcPr>
          <w:p w14:paraId="24B46FAF">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去离子水/乙腈（色谱级）（50:50，体积比）</w:t>
            </w:r>
          </w:p>
        </w:tc>
      </w:tr>
      <w:tr w14:paraId="2A7C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noWrap w:val="0"/>
            <w:vAlign w:val="center"/>
          </w:tcPr>
          <w:p w14:paraId="6EF449E1">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离心机</w:t>
            </w:r>
          </w:p>
        </w:tc>
        <w:tc>
          <w:tcPr>
            <w:tcW w:w="3804" w:type="dxa"/>
            <w:noWrap w:val="0"/>
            <w:vAlign w:val="center"/>
          </w:tcPr>
          <w:p w14:paraId="76BFDBDA">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型号：</w:t>
            </w:r>
            <w:r>
              <w:rPr>
                <w:rFonts w:hint="default" w:ascii="Times New Roman" w:hAnsi="Times New Roman" w:cs="Times New Roman"/>
                <w:sz w:val="21"/>
                <w:szCs w:val="21"/>
                <w:lang w:val="en-US" w:eastAsia="zh-CN"/>
              </w:rPr>
              <w:t>eppendorf Centrifuge 5425R</w:t>
            </w:r>
          </w:p>
        </w:tc>
        <w:tc>
          <w:tcPr>
            <w:tcW w:w="0" w:type="auto"/>
            <w:noWrap w:val="0"/>
            <w:vAlign w:val="center"/>
          </w:tcPr>
          <w:p w14:paraId="48B3EA47">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品牌：美瑞克，型号：</w:t>
            </w:r>
            <w:r>
              <w:rPr>
                <w:rFonts w:hint="default" w:ascii="Times New Roman" w:hAnsi="Times New Roman" w:cs="Times New Roman"/>
                <w:kern w:val="0"/>
                <w:szCs w:val="18"/>
              </w:rPr>
              <w:t>MH1650R</w:t>
            </w:r>
            <w:r>
              <w:rPr>
                <w:rFonts w:hint="default" w:ascii="Times New Roman" w:hAnsi="Times New Roman" w:cs="Times New Roman"/>
                <w:kern w:val="0"/>
                <w:szCs w:val="24"/>
              </w:rPr>
              <w:t>，控温精度：±1℃</w:t>
            </w:r>
          </w:p>
        </w:tc>
      </w:tr>
      <w:tr w14:paraId="610B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noWrap w:val="0"/>
            <w:vAlign w:val="center"/>
          </w:tcPr>
          <w:p w14:paraId="3F4DCC70">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超滤离心管</w:t>
            </w:r>
          </w:p>
        </w:tc>
        <w:tc>
          <w:tcPr>
            <w:tcW w:w="3804" w:type="dxa"/>
            <w:noWrap w:val="0"/>
            <w:vAlign w:val="center"/>
          </w:tcPr>
          <w:p w14:paraId="7B35ED4E">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规格：</w:t>
            </w:r>
            <w:r>
              <w:rPr>
                <w:rFonts w:hint="default" w:ascii="Times New Roman" w:hAnsi="Times New Roman" w:cs="Times New Roman"/>
                <w:sz w:val="21"/>
                <w:szCs w:val="21"/>
                <w:lang w:val="en-US" w:eastAsia="zh-CN"/>
              </w:rPr>
              <w:t>0.5</w:t>
            </w:r>
            <w:r>
              <w:rPr>
                <w:rFonts w:hint="default" w:ascii="Times New Roman" w:hAnsi="Times New Roman" w:cs="Times New Roman"/>
                <w:sz w:val="21"/>
                <w:szCs w:val="21"/>
              </w:rPr>
              <w:t xml:space="preserve"> ml，MWCO：</w:t>
            </w:r>
            <w:r>
              <w:rPr>
                <w:rFonts w:hint="default" w:ascii="Times New Roman" w:hAnsi="Times New Roman" w:cs="Times New Roman"/>
                <w:sz w:val="21"/>
                <w:szCs w:val="21"/>
                <w:lang w:val="en-US" w:eastAsia="zh-CN"/>
              </w:rPr>
              <w:t>30</w:t>
            </w:r>
            <w:r>
              <w:rPr>
                <w:rFonts w:hint="default" w:ascii="Times New Roman" w:hAnsi="Times New Roman" w:cs="Times New Roman"/>
                <w:sz w:val="21"/>
                <w:szCs w:val="21"/>
              </w:rPr>
              <w:t xml:space="preserve"> kDa，材质：再生纤维素，品牌：Merck Amicon Ultra</w:t>
            </w:r>
          </w:p>
        </w:tc>
        <w:tc>
          <w:tcPr>
            <w:tcW w:w="0" w:type="auto"/>
            <w:noWrap w:val="0"/>
            <w:vAlign w:val="center"/>
          </w:tcPr>
          <w:p w14:paraId="2E232133">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Cs w:val="24"/>
              </w:rPr>
              <w:t>规格：0.5 ml，MWCO：30 kDa，材质：再生纤维素，品牌：Merck Microcon®-30，货号：MRCF0R030</w:t>
            </w:r>
          </w:p>
        </w:tc>
      </w:tr>
      <w:tr w14:paraId="4CDD3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noWrap w:val="0"/>
            <w:vAlign w:val="center"/>
          </w:tcPr>
          <w:p w14:paraId="2649BF6F">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高效液相色谱仪</w:t>
            </w:r>
          </w:p>
        </w:tc>
        <w:tc>
          <w:tcPr>
            <w:tcW w:w="3804" w:type="dxa"/>
            <w:noWrap w:val="0"/>
            <w:vAlign w:val="center"/>
          </w:tcPr>
          <w:p w14:paraId="79556EEA">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sz w:val="21"/>
                <w:szCs w:val="21"/>
                <w:lang w:eastAsia="zh-CN"/>
              </w:rPr>
            </w:pPr>
            <w:r>
              <w:rPr>
                <w:rFonts w:hint="default" w:ascii="Times New Roman" w:hAnsi="Times New Roman" w:cs="Times New Roman"/>
                <w:sz w:val="21"/>
                <w:szCs w:val="21"/>
              </w:rPr>
              <w:t>型号：Waters Acquity UPLC H-class Plus系统，检测器：PDA eλ Detector，色谱柱：Waters  ACQUITY  UPLC® BEH C18 50 mm×2.1 mm，1.7 μm</w:t>
            </w:r>
          </w:p>
        </w:tc>
        <w:tc>
          <w:tcPr>
            <w:tcW w:w="0" w:type="auto"/>
            <w:noWrap w:val="0"/>
            <w:vAlign w:val="center"/>
          </w:tcPr>
          <w:p w14:paraId="08D8BCD8">
            <w:pPr>
              <w:keepNext w:val="0"/>
              <w:keepLines w:val="0"/>
              <w:suppressLineNumbers w:val="0"/>
              <w:spacing w:before="0" w:beforeAutospacing="0" w:after="0" w:afterAutospacing="0" w:line="240" w:lineRule="auto"/>
              <w:ind w:left="0" w:right="0"/>
              <w:rPr>
                <w:rFonts w:hint="default" w:ascii="Times New Roman" w:hAnsi="Times New Roman" w:cs="Times New Roman"/>
                <w:sz w:val="21"/>
                <w:szCs w:val="21"/>
                <w:vertAlign w:val="baseline"/>
              </w:rPr>
            </w:pPr>
            <w:r>
              <w:rPr>
                <w:rFonts w:hint="default" w:ascii="Times New Roman" w:hAnsi="Times New Roman" w:cs="Times New Roman"/>
                <w:sz w:val="21"/>
                <w:szCs w:val="21"/>
              </w:rPr>
              <w:t>型号：</w:t>
            </w:r>
            <w:r>
              <w:rPr>
                <w:rFonts w:hint="default" w:ascii="Times New Roman" w:hAnsi="Times New Roman" w:cs="Times New Roman"/>
                <w:szCs w:val="24"/>
              </w:rPr>
              <w:t>Agilent ZORBAX SB-C18（4.6×150 mm，5 μm）</w:t>
            </w:r>
            <w:r>
              <w:rPr>
                <w:rFonts w:hint="default" w:ascii="Times New Roman" w:hAnsi="Times New Roman" w:cs="Times New Roman"/>
                <w:szCs w:val="24"/>
                <w:lang w:eastAsia="zh-CN"/>
              </w:rPr>
              <w:t>，</w:t>
            </w:r>
            <w:r>
              <w:rPr>
                <w:rFonts w:hint="default" w:ascii="Times New Roman" w:hAnsi="Times New Roman" w:cs="Times New Roman"/>
                <w:sz w:val="21"/>
                <w:szCs w:val="21"/>
              </w:rPr>
              <w:t>色谱柱：</w:t>
            </w:r>
            <w:r>
              <w:rPr>
                <w:rFonts w:hint="default" w:ascii="Times New Roman" w:hAnsi="Times New Roman" w:cs="Times New Roman"/>
                <w:szCs w:val="24"/>
              </w:rPr>
              <w:t>Agilent ZORBAX SB-C18（4.6×150 mm，5 μm）</w:t>
            </w:r>
          </w:p>
        </w:tc>
      </w:tr>
    </w:tbl>
    <w:p w14:paraId="6F5349C3">
      <w:pPr>
        <w:ind w:firstLine="0"/>
        <w:rPr>
          <w:rFonts w:hint="eastAsia"/>
          <w:szCs w:val="24"/>
        </w:rPr>
      </w:pPr>
    </w:p>
    <w:p w14:paraId="0C9D25FF">
      <w:pPr>
        <w:pStyle w:val="53"/>
        <w:spacing w:line="360" w:lineRule="auto"/>
        <w:outlineLvl w:val="2"/>
        <w:rPr>
          <w:rFonts w:hint="default" w:ascii="Times New Roman" w:hAnsi="Times New Roman" w:cs="Times New Roman"/>
          <w:sz w:val="24"/>
          <w:szCs w:val="24"/>
        </w:rPr>
      </w:pPr>
      <w:bookmarkStart w:id="42" w:name="_Toc12027"/>
      <w:bookmarkStart w:id="43" w:name="_Toc23523"/>
      <w:r>
        <w:rPr>
          <w:rFonts w:hint="default" w:ascii="Times New Roman" w:hAnsi="Times New Roman" w:cs="Times New Roman"/>
          <w:sz w:val="24"/>
          <w:szCs w:val="24"/>
        </w:rPr>
        <w:t>3.3.2 试验过程</w:t>
      </w:r>
      <w:bookmarkEnd w:id="42"/>
      <w:bookmarkEnd w:id="43"/>
    </w:p>
    <w:p w14:paraId="1B638FB6">
      <w:pPr>
        <w:pStyle w:val="53"/>
        <w:spacing w:line="360" w:lineRule="auto"/>
        <w:rPr>
          <w:rFonts w:hint="default" w:ascii="Times New Roman" w:hAnsi="Times New Roman" w:cs="Times New Roman"/>
          <w:sz w:val="24"/>
          <w:szCs w:val="24"/>
        </w:rPr>
      </w:pPr>
      <w:bookmarkStart w:id="44" w:name="_Toc24807"/>
      <w:r>
        <w:rPr>
          <w:rFonts w:hint="default" w:ascii="Times New Roman" w:hAnsi="Times New Roman" w:cs="Times New Roman"/>
          <w:sz w:val="24"/>
          <w:szCs w:val="24"/>
        </w:rPr>
        <w:t>3.3.2.1 标准曲线制备</w:t>
      </w:r>
      <w:bookmarkEnd w:id="44"/>
    </w:p>
    <w:p w14:paraId="3D943F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i w:val="0"/>
          <w:iCs w:val="0"/>
          <w:sz w:val="24"/>
          <w:szCs w:val="24"/>
          <w:lang w:val="en-US" w:eastAsia="zh-CN"/>
        </w:rPr>
      </w:pPr>
      <w:r>
        <w:rPr>
          <w:rFonts w:hint="default" w:ascii="Times New Roman" w:hAnsi="Times New Roman" w:cs="Times New Roman"/>
          <w:i w:val="0"/>
          <w:iCs w:val="0"/>
          <w:sz w:val="24"/>
          <w:szCs w:val="24"/>
        </w:rPr>
        <w:t>用天平准确称取</w:t>
      </w:r>
      <w:r>
        <w:rPr>
          <w:rFonts w:hint="default" w:ascii="Times New Roman" w:hAnsi="Times New Roman" w:cs="Times New Roman"/>
          <w:i w:val="0"/>
          <w:iCs w:val="0"/>
          <w:sz w:val="24"/>
          <w:szCs w:val="24"/>
          <w:lang w:val="en-US" w:eastAsia="zh-CN"/>
        </w:rPr>
        <w:t>紫杉醇</w:t>
      </w:r>
      <w:r>
        <w:rPr>
          <w:rFonts w:hint="default" w:ascii="Times New Roman" w:hAnsi="Times New Roman" w:cs="Times New Roman"/>
          <w:i w:val="0"/>
          <w:iCs w:val="0"/>
          <w:sz w:val="24"/>
          <w:szCs w:val="24"/>
          <w:u w:val="none"/>
          <w:lang w:val="en-US" w:eastAsia="zh-CN"/>
        </w:rPr>
        <w:t>5.211</w:t>
      </w:r>
      <w:r>
        <w:rPr>
          <w:rFonts w:hint="default" w:ascii="Times New Roman" w:hAnsi="Times New Roman" w:cs="Times New Roman"/>
          <w:i w:val="0"/>
          <w:iCs w:val="0"/>
          <w:sz w:val="24"/>
          <w:szCs w:val="24"/>
          <w:u w:val="none"/>
        </w:rPr>
        <w:t xml:space="preserve"> mg</w:t>
      </w:r>
      <w:r>
        <w:rPr>
          <w:rFonts w:hint="default" w:ascii="Times New Roman" w:hAnsi="Times New Roman" w:cs="Times New Roman"/>
          <w:i w:val="0"/>
          <w:iCs w:val="0"/>
          <w:sz w:val="24"/>
          <w:szCs w:val="24"/>
        </w:rPr>
        <w:t>于10 ml容量瓶中，</w:t>
      </w:r>
      <w:r>
        <w:rPr>
          <w:rFonts w:hint="default" w:ascii="Times New Roman" w:hAnsi="Times New Roman" w:cs="Times New Roman"/>
          <w:i w:val="0"/>
          <w:iCs w:val="0"/>
          <w:kern w:val="0"/>
          <w:sz w:val="24"/>
          <w:szCs w:val="24"/>
        </w:rPr>
        <w:t>用</w:t>
      </w:r>
      <w:r>
        <w:rPr>
          <w:rFonts w:hint="default" w:ascii="Times New Roman" w:hAnsi="Times New Roman" w:cs="Times New Roman"/>
          <w:i w:val="0"/>
          <w:iCs w:val="0"/>
          <w:kern w:val="0"/>
          <w:sz w:val="24"/>
          <w:szCs w:val="24"/>
          <w:lang w:val="en-US" w:eastAsia="zh-CN"/>
        </w:rPr>
        <w:t>乙腈</w:t>
      </w:r>
      <w:r>
        <w:rPr>
          <w:rFonts w:hint="default" w:ascii="Times New Roman" w:hAnsi="Times New Roman" w:cs="Times New Roman"/>
          <w:i w:val="0"/>
          <w:iCs w:val="0"/>
          <w:kern w:val="0"/>
          <w:sz w:val="24"/>
          <w:szCs w:val="24"/>
        </w:rPr>
        <w:t>溶解，定容至刻度，得到浓度</w:t>
      </w:r>
      <w:r>
        <w:rPr>
          <w:rFonts w:hint="default" w:ascii="Times New Roman" w:hAnsi="Times New Roman" w:cs="Times New Roman"/>
          <w:i w:val="0"/>
          <w:iCs w:val="0"/>
          <w:kern w:val="0"/>
          <w:sz w:val="24"/>
          <w:szCs w:val="24"/>
          <w:u w:val="none"/>
        </w:rPr>
        <w:t>为</w:t>
      </w:r>
      <w:r>
        <w:rPr>
          <w:rFonts w:hint="default" w:ascii="Times New Roman" w:hAnsi="Times New Roman" w:cs="Times New Roman"/>
          <w:i w:val="0"/>
          <w:iCs w:val="0"/>
          <w:sz w:val="24"/>
          <w:szCs w:val="24"/>
          <w:u w:val="none"/>
          <w:lang w:val="en-US" w:eastAsia="zh-CN"/>
        </w:rPr>
        <w:t>0.520 m</w:t>
      </w:r>
      <w:r>
        <w:rPr>
          <w:rFonts w:hint="default" w:ascii="Times New Roman" w:hAnsi="Times New Roman" w:cs="Times New Roman"/>
          <w:i w:val="0"/>
          <w:iCs w:val="0"/>
          <w:sz w:val="24"/>
          <w:szCs w:val="24"/>
          <w:u w:val="none"/>
        </w:rPr>
        <w:t>g/</w:t>
      </w:r>
      <w:r>
        <w:rPr>
          <w:rFonts w:hint="default" w:ascii="Times New Roman" w:hAnsi="Times New Roman" w:cs="Times New Roman"/>
          <w:i w:val="0"/>
          <w:iCs w:val="0"/>
          <w:sz w:val="24"/>
          <w:szCs w:val="24"/>
        </w:rPr>
        <w:t>ml的储备溶液</w:t>
      </w:r>
      <w:r>
        <w:rPr>
          <w:rFonts w:hint="default" w:ascii="Times New Roman" w:hAnsi="Times New Roman" w:cs="Times New Roman"/>
          <w:i w:val="0"/>
          <w:iCs w:val="0"/>
          <w:sz w:val="24"/>
          <w:szCs w:val="24"/>
          <w:lang w:eastAsia="zh-CN"/>
        </w:rPr>
        <w:t>（</w:t>
      </w:r>
      <w:r>
        <w:rPr>
          <w:rFonts w:hint="default" w:ascii="Times New Roman" w:hAnsi="Times New Roman" w:cs="Times New Roman"/>
          <w:i w:val="0"/>
          <w:iCs w:val="0"/>
          <w:sz w:val="24"/>
          <w:szCs w:val="24"/>
          <w:lang w:val="en-US" w:eastAsia="zh-CN"/>
        </w:rPr>
        <w:t>SS</w:t>
      </w:r>
      <w:r>
        <w:rPr>
          <w:rFonts w:hint="default" w:ascii="Times New Roman" w:hAnsi="Times New Roman" w:cs="Times New Roman"/>
          <w:i w:val="0"/>
          <w:iCs w:val="0"/>
          <w:sz w:val="24"/>
          <w:szCs w:val="24"/>
          <w:lang w:eastAsia="zh-CN"/>
        </w:rPr>
        <w:t>）</w:t>
      </w:r>
      <w:r>
        <w:rPr>
          <w:rFonts w:hint="default" w:ascii="Times New Roman" w:hAnsi="Times New Roman" w:cs="Times New Roman"/>
          <w:i w:val="0"/>
          <w:iCs w:val="0"/>
          <w:sz w:val="24"/>
          <w:szCs w:val="24"/>
        </w:rPr>
        <w:t>。</w:t>
      </w:r>
      <w:r>
        <w:rPr>
          <w:rFonts w:hint="default" w:ascii="Times New Roman" w:hAnsi="Times New Roman" w:cs="Times New Roman"/>
          <w:i w:val="0"/>
          <w:iCs w:val="0"/>
          <w:sz w:val="24"/>
          <w:szCs w:val="24"/>
          <w:lang w:val="en-US" w:eastAsia="zh-CN"/>
        </w:rPr>
        <w:t>再将</w:t>
      </w:r>
      <w:r>
        <w:rPr>
          <w:rFonts w:hint="default" w:ascii="Times New Roman" w:hAnsi="Times New Roman" w:cs="Times New Roman"/>
          <w:i w:val="0"/>
          <w:iCs w:val="0"/>
          <w:sz w:val="24"/>
          <w:szCs w:val="24"/>
        </w:rPr>
        <w:t>储备溶液</w:t>
      </w:r>
      <w:r>
        <w:rPr>
          <w:rFonts w:hint="default" w:ascii="Times New Roman" w:hAnsi="Times New Roman" w:cs="Times New Roman"/>
          <w:i w:val="0"/>
          <w:iCs w:val="0"/>
          <w:sz w:val="24"/>
          <w:szCs w:val="24"/>
          <w:lang w:eastAsia="zh-CN"/>
        </w:rPr>
        <w:t>（</w:t>
      </w:r>
      <w:r>
        <w:rPr>
          <w:rFonts w:hint="default" w:ascii="Times New Roman" w:hAnsi="Times New Roman" w:cs="Times New Roman"/>
          <w:i w:val="0"/>
          <w:iCs w:val="0"/>
          <w:sz w:val="24"/>
          <w:szCs w:val="24"/>
          <w:lang w:val="en-US" w:eastAsia="zh-CN"/>
        </w:rPr>
        <w:t>SS</w:t>
      </w:r>
      <w:r>
        <w:rPr>
          <w:rFonts w:hint="default" w:ascii="Times New Roman" w:hAnsi="Times New Roman" w:cs="Times New Roman"/>
          <w:i w:val="0"/>
          <w:iCs w:val="0"/>
          <w:sz w:val="24"/>
          <w:szCs w:val="24"/>
          <w:lang w:eastAsia="zh-CN"/>
        </w:rPr>
        <w:t>）</w:t>
      </w:r>
      <w:r>
        <w:rPr>
          <w:rFonts w:hint="default" w:ascii="Times New Roman" w:hAnsi="Times New Roman" w:cs="Times New Roman"/>
          <w:i w:val="0"/>
          <w:iCs w:val="0"/>
          <w:sz w:val="24"/>
          <w:szCs w:val="24"/>
          <w:lang w:val="en-US" w:eastAsia="zh-CN"/>
        </w:rPr>
        <w:t>稀释至500</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ug/ml得到标准</w:t>
      </w:r>
      <w:r>
        <w:rPr>
          <w:rFonts w:hint="default" w:ascii="Times New Roman" w:hAnsi="Times New Roman" w:cs="Times New Roman"/>
          <w:i w:val="0"/>
          <w:iCs w:val="0"/>
          <w:sz w:val="24"/>
          <w:szCs w:val="24"/>
        </w:rPr>
        <w:t>储备溶液</w:t>
      </w:r>
      <w:r>
        <w:rPr>
          <w:rFonts w:hint="default" w:ascii="Times New Roman" w:hAnsi="Times New Roman" w:cs="Times New Roman"/>
          <w:i w:val="0"/>
          <w:iCs w:val="0"/>
          <w:sz w:val="24"/>
          <w:szCs w:val="24"/>
          <w:lang w:eastAsia="zh-CN"/>
        </w:rPr>
        <w:t>（</w:t>
      </w:r>
      <w:r>
        <w:rPr>
          <w:rFonts w:hint="default" w:ascii="Times New Roman" w:hAnsi="Times New Roman" w:cs="Times New Roman"/>
          <w:i w:val="0"/>
          <w:iCs w:val="0"/>
          <w:sz w:val="24"/>
          <w:szCs w:val="24"/>
          <w:lang w:val="en-US" w:eastAsia="zh-CN"/>
        </w:rPr>
        <w:t>SSS</w:t>
      </w:r>
      <w:r>
        <w:rPr>
          <w:rFonts w:hint="default" w:ascii="Times New Roman" w:hAnsi="Times New Roman" w:cs="Times New Roman"/>
          <w:i w:val="0"/>
          <w:iCs w:val="0"/>
          <w:sz w:val="24"/>
          <w:szCs w:val="24"/>
          <w:lang w:eastAsia="zh-CN"/>
        </w:rPr>
        <w:t>）</w:t>
      </w:r>
      <w:r>
        <w:rPr>
          <w:rFonts w:hint="eastAsia" w:ascii="Times New Roman" w:hAnsi="Times New Roman" w:cs="Times New Roman"/>
          <w:i w:val="0"/>
          <w:iCs w:val="0"/>
          <w:sz w:val="24"/>
          <w:szCs w:val="24"/>
          <w:lang w:val="en-US" w:eastAsia="zh-CN"/>
        </w:rPr>
        <w:t>。</w:t>
      </w:r>
      <w:r>
        <w:rPr>
          <w:rFonts w:hint="default" w:ascii="Times New Roman" w:hAnsi="Times New Roman" w:cs="Times New Roman"/>
          <w:b w:val="0"/>
          <w:bCs/>
          <w:i w:val="0"/>
          <w:iCs w:val="0"/>
          <w:sz w:val="24"/>
          <w:szCs w:val="24"/>
          <w:lang w:val="en-US" w:eastAsia="zh-CN"/>
        </w:rPr>
        <w:t>按下表配制标准曲线样品</w:t>
      </w:r>
      <w:r>
        <w:rPr>
          <w:rFonts w:hint="eastAsia" w:ascii="Times New Roman" w:hAnsi="Times New Roman" w:cs="Times New Roman"/>
          <w:b w:val="0"/>
          <w:bCs/>
          <w:i w:val="0"/>
          <w:iCs w:val="0"/>
          <w:sz w:val="24"/>
          <w:szCs w:val="24"/>
          <w:lang w:val="en-US" w:eastAsia="zh-CN"/>
        </w:rPr>
        <w:t>。</w:t>
      </w:r>
    </w:p>
    <w:tbl>
      <w:tblPr>
        <w:tblStyle w:val="9"/>
        <w:tblW w:w="8220" w:type="dxa"/>
        <w:jc w:val="center"/>
        <w:tblBorders>
          <w:top w:val="double" w:color="auto" w:sz="4" w:space="0"/>
          <w:left w:val="none" w:color="auto" w:sz="0" w:space="0"/>
          <w:bottom w:val="doub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9"/>
        <w:gridCol w:w="1653"/>
        <w:gridCol w:w="1650"/>
        <w:gridCol w:w="1650"/>
        <w:gridCol w:w="1638"/>
      </w:tblGrid>
      <w:tr w14:paraId="3C1F0C69">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58" w:type="dxa"/>
            <w:tcBorders>
              <w:top w:val="double" w:color="auto" w:sz="4" w:space="0"/>
              <w:bottom w:val="single" w:color="auto" w:sz="4" w:space="0"/>
            </w:tcBorders>
            <w:noWrap w:val="0"/>
            <w:vAlign w:val="center"/>
          </w:tcPr>
          <w:p w14:paraId="471AB2B0">
            <w:pPr>
              <w:keepNext w:val="0"/>
              <w:keepLines w:val="0"/>
              <w:suppressLineNumbers w:val="0"/>
              <w:spacing w:before="0" w:beforeAutospacing="0" w:after="0" w:afterAutospacing="0"/>
              <w:ind w:left="0" w:right="0"/>
              <w:jc w:val="center"/>
              <w:rPr>
                <w:rFonts w:hint="default" w:ascii="Times New Roman" w:hAnsi="Times New Roman" w:cs="Times New Roman"/>
                <w:b/>
                <w:i w:val="0"/>
                <w:iCs w:val="0"/>
                <w:sz w:val="21"/>
                <w:szCs w:val="21"/>
              </w:rPr>
            </w:pPr>
            <w:r>
              <w:rPr>
                <w:rFonts w:hint="default" w:ascii="Times New Roman" w:hAnsi="Times New Roman" w:cs="Times New Roman"/>
                <w:b/>
                <w:i w:val="0"/>
                <w:iCs w:val="0"/>
                <w:sz w:val="21"/>
                <w:szCs w:val="21"/>
              </w:rPr>
              <w:t>名称</w:t>
            </w:r>
          </w:p>
        </w:tc>
        <w:tc>
          <w:tcPr>
            <w:tcW w:w="1378" w:type="dxa"/>
            <w:tcBorders>
              <w:top w:val="double" w:color="auto" w:sz="4" w:space="0"/>
              <w:bottom w:val="single" w:color="auto" w:sz="4" w:space="0"/>
            </w:tcBorders>
            <w:noWrap w:val="0"/>
            <w:vAlign w:val="center"/>
          </w:tcPr>
          <w:p w14:paraId="099CD8E9">
            <w:pPr>
              <w:keepNext w:val="0"/>
              <w:keepLines w:val="0"/>
              <w:suppressLineNumbers w:val="0"/>
              <w:spacing w:before="0" w:beforeAutospacing="0" w:after="0" w:afterAutospacing="0"/>
              <w:ind w:left="0" w:right="0"/>
              <w:jc w:val="center"/>
              <w:rPr>
                <w:rFonts w:hint="default" w:ascii="Times New Roman" w:hAnsi="Times New Roman" w:cs="Times New Roman"/>
                <w:b/>
                <w:i w:val="0"/>
                <w:iCs w:val="0"/>
                <w:sz w:val="21"/>
                <w:szCs w:val="21"/>
              </w:rPr>
            </w:pPr>
            <w:r>
              <w:rPr>
                <w:rFonts w:hint="default" w:ascii="Times New Roman" w:hAnsi="Times New Roman" w:cs="Times New Roman"/>
                <w:b/>
                <w:i w:val="0"/>
                <w:iCs w:val="0"/>
                <w:sz w:val="21"/>
                <w:szCs w:val="21"/>
              </w:rPr>
              <w:t>源溶液</w:t>
            </w:r>
          </w:p>
        </w:tc>
        <w:tc>
          <w:tcPr>
            <w:tcW w:w="1376" w:type="dxa"/>
            <w:tcBorders>
              <w:top w:val="double" w:color="auto" w:sz="4" w:space="0"/>
              <w:bottom w:val="single" w:color="auto" w:sz="4" w:space="0"/>
            </w:tcBorders>
            <w:noWrap w:val="0"/>
            <w:vAlign w:val="center"/>
          </w:tcPr>
          <w:p w14:paraId="126B1D09">
            <w:pPr>
              <w:keepNext w:val="0"/>
              <w:keepLines w:val="0"/>
              <w:suppressLineNumbers w:val="0"/>
              <w:spacing w:before="0" w:beforeAutospacing="0" w:after="0" w:afterAutospacing="0"/>
              <w:ind w:left="0" w:right="0"/>
              <w:jc w:val="center"/>
              <w:rPr>
                <w:rFonts w:hint="default" w:ascii="Times New Roman" w:hAnsi="Times New Roman" w:cs="Times New Roman"/>
                <w:b/>
                <w:i w:val="0"/>
                <w:iCs w:val="0"/>
                <w:sz w:val="21"/>
                <w:szCs w:val="21"/>
                <w:lang w:val="fr-FR"/>
              </w:rPr>
            </w:pPr>
            <w:r>
              <w:rPr>
                <w:rFonts w:hint="default" w:ascii="Times New Roman" w:hAnsi="Times New Roman" w:cs="Times New Roman"/>
                <w:b/>
                <w:i w:val="0"/>
                <w:iCs w:val="0"/>
                <w:sz w:val="21"/>
                <w:szCs w:val="21"/>
                <w:lang w:val="fr-FR"/>
              </w:rPr>
              <w:t>源溶液体积(</w:t>
            </w:r>
            <w:r>
              <w:rPr>
                <w:rFonts w:hint="default" w:ascii="Times New Roman" w:hAnsi="Times New Roman" w:cs="Times New Roman"/>
                <w:b/>
                <w:i w:val="0"/>
                <w:iCs w:val="0"/>
                <w:sz w:val="21"/>
                <w:szCs w:val="21"/>
              </w:rPr>
              <w:t>μl</w:t>
            </w:r>
            <w:r>
              <w:rPr>
                <w:rFonts w:hint="default" w:ascii="Times New Roman" w:hAnsi="Times New Roman" w:cs="Times New Roman"/>
                <w:b/>
                <w:i w:val="0"/>
                <w:iCs w:val="0"/>
                <w:sz w:val="21"/>
                <w:szCs w:val="21"/>
                <w:lang w:val="fr-FR"/>
              </w:rPr>
              <w:t>)</w:t>
            </w:r>
          </w:p>
        </w:tc>
        <w:tc>
          <w:tcPr>
            <w:tcW w:w="1376" w:type="dxa"/>
            <w:tcBorders>
              <w:top w:val="double" w:color="auto" w:sz="4" w:space="0"/>
              <w:bottom w:val="single" w:color="auto" w:sz="4" w:space="0"/>
            </w:tcBorders>
            <w:noWrap w:val="0"/>
            <w:vAlign w:val="center"/>
          </w:tcPr>
          <w:p w14:paraId="563E68BF">
            <w:pPr>
              <w:keepNext w:val="0"/>
              <w:keepLines w:val="0"/>
              <w:suppressLineNumbers w:val="0"/>
              <w:spacing w:before="0" w:beforeAutospacing="0" w:after="0" w:afterAutospacing="0"/>
              <w:ind w:left="0" w:right="0"/>
              <w:jc w:val="center"/>
              <w:rPr>
                <w:rFonts w:hint="default" w:ascii="Times New Roman" w:hAnsi="Times New Roman" w:cs="Times New Roman"/>
                <w:b/>
                <w:i w:val="0"/>
                <w:iCs w:val="0"/>
                <w:sz w:val="21"/>
                <w:szCs w:val="21"/>
              </w:rPr>
            </w:pPr>
            <w:r>
              <w:rPr>
                <w:rFonts w:hint="default" w:ascii="Times New Roman" w:hAnsi="Times New Roman" w:cs="Times New Roman"/>
                <w:b/>
                <w:i w:val="0"/>
                <w:iCs w:val="0"/>
                <w:sz w:val="21"/>
                <w:szCs w:val="21"/>
                <w:lang w:val="en-US" w:eastAsia="zh-CN"/>
              </w:rPr>
              <w:t>稀释液</w:t>
            </w:r>
            <w:r>
              <w:rPr>
                <w:rFonts w:hint="default" w:ascii="Times New Roman" w:hAnsi="Times New Roman" w:cs="Times New Roman"/>
                <w:b/>
                <w:i w:val="0"/>
                <w:iCs w:val="0"/>
                <w:sz w:val="21"/>
                <w:szCs w:val="21"/>
              </w:rPr>
              <w:t>体积 (μl)</w:t>
            </w:r>
          </w:p>
        </w:tc>
        <w:tc>
          <w:tcPr>
            <w:tcW w:w="1366" w:type="dxa"/>
            <w:tcBorders>
              <w:top w:val="double" w:color="auto" w:sz="4" w:space="0"/>
              <w:bottom w:val="single" w:color="auto" w:sz="4" w:space="0"/>
            </w:tcBorders>
            <w:noWrap w:val="0"/>
            <w:vAlign w:val="center"/>
          </w:tcPr>
          <w:p w14:paraId="5B044A23">
            <w:pPr>
              <w:keepNext w:val="0"/>
              <w:keepLines w:val="0"/>
              <w:suppressLineNumbers w:val="0"/>
              <w:spacing w:before="0" w:beforeAutospacing="0" w:after="0" w:afterAutospacing="0"/>
              <w:ind w:left="0" w:right="0"/>
              <w:jc w:val="center"/>
              <w:rPr>
                <w:rFonts w:hint="default" w:ascii="Times New Roman" w:hAnsi="Times New Roman" w:cs="Times New Roman"/>
                <w:b/>
                <w:i w:val="0"/>
                <w:iCs w:val="0"/>
                <w:sz w:val="21"/>
                <w:szCs w:val="21"/>
              </w:rPr>
            </w:pPr>
            <w:r>
              <w:rPr>
                <w:rFonts w:hint="default" w:ascii="Times New Roman" w:hAnsi="Times New Roman" w:cs="Times New Roman"/>
                <w:b/>
                <w:i w:val="0"/>
                <w:iCs w:val="0"/>
                <w:sz w:val="21"/>
                <w:szCs w:val="21"/>
              </w:rPr>
              <w:t>终浓度</w:t>
            </w:r>
          </w:p>
          <w:p w14:paraId="4CE398E6">
            <w:pPr>
              <w:keepNext w:val="0"/>
              <w:keepLines w:val="0"/>
              <w:suppressLineNumbers w:val="0"/>
              <w:spacing w:before="0" w:beforeAutospacing="0" w:after="0" w:afterAutospacing="0"/>
              <w:ind w:left="0" w:right="0"/>
              <w:jc w:val="center"/>
              <w:rPr>
                <w:rFonts w:hint="default" w:ascii="Times New Roman" w:hAnsi="Times New Roman" w:cs="Times New Roman"/>
                <w:b/>
                <w:i w:val="0"/>
                <w:iCs w:val="0"/>
                <w:sz w:val="21"/>
                <w:szCs w:val="21"/>
              </w:rPr>
            </w:pPr>
            <w:r>
              <w:rPr>
                <w:rFonts w:hint="default" w:ascii="Times New Roman" w:hAnsi="Times New Roman" w:cs="Times New Roman"/>
                <w:b/>
                <w:i w:val="0"/>
                <w:iCs w:val="0"/>
                <w:sz w:val="21"/>
                <w:szCs w:val="21"/>
              </w:rPr>
              <w:t>(μg/ml)</w:t>
            </w:r>
          </w:p>
        </w:tc>
      </w:tr>
      <w:tr w14:paraId="53E8B79E">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tcBorders>
              <w:top w:val="single" w:color="auto" w:sz="4" w:space="0"/>
              <w:bottom w:val="nil"/>
            </w:tcBorders>
            <w:noWrap w:val="0"/>
            <w:vAlign w:val="center"/>
          </w:tcPr>
          <w:p w14:paraId="74C73BCD">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-1</w:t>
            </w:r>
          </w:p>
        </w:tc>
        <w:tc>
          <w:tcPr>
            <w:tcW w:w="1378" w:type="dxa"/>
            <w:tcBorders>
              <w:top w:val="single" w:color="auto" w:sz="4" w:space="0"/>
              <w:bottom w:val="nil"/>
            </w:tcBorders>
            <w:noWrap w:val="0"/>
            <w:vAlign w:val="center"/>
          </w:tcPr>
          <w:p w14:paraId="541AE76D">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SSS</w:t>
            </w:r>
          </w:p>
        </w:tc>
        <w:tc>
          <w:tcPr>
            <w:tcW w:w="1376" w:type="dxa"/>
            <w:tcBorders>
              <w:top w:val="single" w:color="auto" w:sz="4" w:space="0"/>
              <w:bottom w:val="nil"/>
            </w:tcBorders>
            <w:noWrap w:val="0"/>
            <w:vAlign w:val="center"/>
          </w:tcPr>
          <w:p w14:paraId="1271C3FA">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eastAsia" w:cs="Times New Roman"/>
                <w:i w:val="0"/>
                <w:iCs w:val="0"/>
                <w:sz w:val="21"/>
                <w:szCs w:val="21"/>
                <w:lang w:val="en-US" w:eastAsia="zh-CN"/>
              </w:rPr>
              <w:t>200</w:t>
            </w:r>
          </w:p>
        </w:tc>
        <w:tc>
          <w:tcPr>
            <w:tcW w:w="1376" w:type="dxa"/>
            <w:tcBorders>
              <w:top w:val="single" w:color="auto" w:sz="4" w:space="0"/>
              <w:bottom w:val="nil"/>
            </w:tcBorders>
            <w:noWrap w:val="0"/>
            <w:vAlign w:val="center"/>
          </w:tcPr>
          <w:p w14:paraId="5822F0DD">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eastAsia" w:cs="Times New Roman"/>
                <w:i w:val="0"/>
                <w:iCs w:val="0"/>
                <w:sz w:val="21"/>
                <w:szCs w:val="21"/>
                <w:lang w:val="en-US" w:eastAsia="zh-CN"/>
              </w:rPr>
              <w:t>8</w:t>
            </w:r>
            <w:r>
              <w:rPr>
                <w:rFonts w:hint="default" w:ascii="Times New Roman" w:hAnsi="Times New Roman" w:cs="Times New Roman"/>
                <w:i w:val="0"/>
                <w:iCs w:val="0"/>
                <w:sz w:val="21"/>
                <w:szCs w:val="21"/>
                <w:lang w:val="en-US" w:eastAsia="zh-CN"/>
              </w:rPr>
              <w:t>00</w:t>
            </w:r>
          </w:p>
        </w:tc>
        <w:tc>
          <w:tcPr>
            <w:tcW w:w="1366" w:type="dxa"/>
            <w:tcBorders>
              <w:top w:val="single" w:color="auto" w:sz="4" w:space="0"/>
              <w:bottom w:val="nil"/>
            </w:tcBorders>
            <w:noWrap w:val="0"/>
            <w:vAlign w:val="center"/>
          </w:tcPr>
          <w:p w14:paraId="57940EEE">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rPr>
            </w:pPr>
            <w:r>
              <w:rPr>
                <w:rFonts w:hint="default" w:ascii="Times New Roman" w:hAnsi="Times New Roman" w:cs="Times New Roman"/>
                <w:i w:val="0"/>
                <w:iCs w:val="0"/>
                <w:sz w:val="21"/>
                <w:szCs w:val="21"/>
                <w:lang w:val="en-US" w:eastAsia="zh-CN"/>
              </w:rPr>
              <w:t>100</w:t>
            </w:r>
          </w:p>
        </w:tc>
      </w:tr>
      <w:tr w14:paraId="639F4C2F">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tcBorders>
              <w:top w:val="nil"/>
            </w:tcBorders>
            <w:noWrap w:val="0"/>
            <w:vAlign w:val="center"/>
          </w:tcPr>
          <w:p w14:paraId="5B31B9C7">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-2</w:t>
            </w:r>
          </w:p>
        </w:tc>
        <w:tc>
          <w:tcPr>
            <w:tcW w:w="1378" w:type="dxa"/>
            <w:tcBorders>
              <w:top w:val="nil"/>
            </w:tcBorders>
            <w:noWrap w:val="0"/>
            <w:vAlign w:val="center"/>
          </w:tcPr>
          <w:p w14:paraId="609D7CCB">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kern w:val="2"/>
                <w:sz w:val="21"/>
                <w:szCs w:val="21"/>
                <w:lang w:val="en-US" w:eastAsia="zh-CN" w:bidi="ar-SA"/>
              </w:rPr>
            </w:pPr>
            <w:r>
              <w:rPr>
                <w:rFonts w:hint="default" w:ascii="Times New Roman" w:hAnsi="Times New Roman" w:cs="Times New Roman"/>
                <w:i w:val="0"/>
                <w:iCs w:val="0"/>
                <w:sz w:val="21"/>
                <w:szCs w:val="21"/>
              </w:rPr>
              <w:t>LSS -1</w:t>
            </w:r>
          </w:p>
        </w:tc>
        <w:tc>
          <w:tcPr>
            <w:tcW w:w="1376" w:type="dxa"/>
            <w:tcBorders>
              <w:top w:val="nil"/>
            </w:tcBorders>
            <w:noWrap w:val="0"/>
            <w:vAlign w:val="center"/>
          </w:tcPr>
          <w:p w14:paraId="3043285A">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eastAsia="zh-CN"/>
              </w:rPr>
            </w:pPr>
            <w:r>
              <w:rPr>
                <w:rFonts w:hint="default" w:ascii="Times New Roman" w:hAnsi="Times New Roman" w:cs="Times New Roman"/>
                <w:i w:val="0"/>
                <w:iCs w:val="0"/>
                <w:sz w:val="21"/>
                <w:szCs w:val="21"/>
                <w:lang w:val="en-US" w:eastAsia="zh-CN"/>
              </w:rPr>
              <w:t>200</w:t>
            </w:r>
          </w:p>
        </w:tc>
        <w:tc>
          <w:tcPr>
            <w:tcW w:w="1376" w:type="dxa"/>
            <w:tcBorders>
              <w:top w:val="nil"/>
            </w:tcBorders>
            <w:noWrap w:val="0"/>
            <w:vAlign w:val="center"/>
          </w:tcPr>
          <w:p w14:paraId="51067F51">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eastAsia="zh-CN"/>
              </w:rPr>
            </w:pPr>
            <w:r>
              <w:rPr>
                <w:rFonts w:hint="default" w:ascii="Times New Roman" w:hAnsi="Times New Roman" w:cs="Times New Roman"/>
                <w:i w:val="0"/>
                <w:iCs w:val="0"/>
                <w:sz w:val="21"/>
                <w:szCs w:val="21"/>
                <w:lang w:val="en-US" w:eastAsia="zh-CN"/>
              </w:rPr>
              <w:t>800</w:t>
            </w:r>
          </w:p>
        </w:tc>
        <w:tc>
          <w:tcPr>
            <w:tcW w:w="1366" w:type="dxa"/>
            <w:tcBorders>
              <w:top w:val="nil"/>
            </w:tcBorders>
            <w:noWrap w:val="0"/>
            <w:vAlign w:val="center"/>
          </w:tcPr>
          <w:p w14:paraId="43B3FABF">
            <w:pPr>
              <w:keepNext w:val="0"/>
              <w:keepLines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i w:val="0"/>
                <w:iCs w:val="0"/>
                <w:sz w:val="21"/>
                <w:szCs w:val="21"/>
                <w:lang w:val="en-US" w:eastAsia="zh-CN"/>
              </w:rPr>
            </w:pPr>
            <w:r>
              <w:rPr>
                <w:rFonts w:hint="default" w:ascii="Times New Roman" w:hAnsi="Times New Roman" w:cs="Times New Roman"/>
                <w:i w:val="0"/>
                <w:iCs w:val="0"/>
                <w:sz w:val="21"/>
                <w:szCs w:val="21"/>
                <w:lang w:val="en-US" w:eastAsia="zh-CN"/>
              </w:rPr>
              <w:t>20</w:t>
            </w:r>
          </w:p>
        </w:tc>
      </w:tr>
      <w:tr w14:paraId="2613A521">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noWrap w:val="0"/>
            <w:vAlign w:val="center"/>
          </w:tcPr>
          <w:p w14:paraId="32506958">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-3</w:t>
            </w:r>
          </w:p>
        </w:tc>
        <w:tc>
          <w:tcPr>
            <w:tcW w:w="1378" w:type="dxa"/>
            <w:noWrap w:val="0"/>
            <w:vAlign w:val="center"/>
          </w:tcPr>
          <w:p w14:paraId="1DA3B246">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kern w:val="2"/>
                <w:sz w:val="21"/>
                <w:szCs w:val="21"/>
                <w:lang w:val="en-US" w:eastAsia="zh-CN" w:bidi="ar-SA"/>
              </w:rPr>
            </w:pPr>
            <w:r>
              <w:rPr>
                <w:rFonts w:hint="default" w:ascii="Times New Roman" w:hAnsi="Times New Roman" w:cs="Times New Roman"/>
                <w:i w:val="0"/>
                <w:iCs w:val="0"/>
                <w:sz w:val="21"/>
                <w:szCs w:val="21"/>
              </w:rPr>
              <w:t>LSS -2</w:t>
            </w:r>
          </w:p>
        </w:tc>
        <w:tc>
          <w:tcPr>
            <w:tcW w:w="1376" w:type="dxa"/>
            <w:noWrap w:val="0"/>
            <w:vAlign w:val="center"/>
          </w:tcPr>
          <w:p w14:paraId="1D39647C">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500</w:t>
            </w:r>
          </w:p>
        </w:tc>
        <w:tc>
          <w:tcPr>
            <w:tcW w:w="1376" w:type="dxa"/>
            <w:noWrap w:val="0"/>
            <w:vAlign w:val="center"/>
          </w:tcPr>
          <w:p w14:paraId="7B512501">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rPr>
            </w:pPr>
            <w:r>
              <w:rPr>
                <w:rFonts w:hint="default" w:ascii="Times New Roman" w:hAnsi="Times New Roman" w:cs="Times New Roman"/>
                <w:i w:val="0"/>
                <w:iCs w:val="0"/>
                <w:sz w:val="21"/>
                <w:szCs w:val="21"/>
                <w:lang w:val="en-US" w:eastAsia="zh-CN"/>
              </w:rPr>
              <w:t>500</w:t>
            </w:r>
          </w:p>
        </w:tc>
        <w:tc>
          <w:tcPr>
            <w:tcW w:w="1366" w:type="dxa"/>
            <w:noWrap w:val="0"/>
            <w:vAlign w:val="center"/>
          </w:tcPr>
          <w:p w14:paraId="573D8674">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10</w:t>
            </w:r>
          </w:p>
        </w:tc>
      </w:tr>
      <w:tr w14:paraId="4FF532B8">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noWrap w:val="0"/>
            <w:vAlign w:val="center"/>
          </w:tcPr>
          <w:p w14:paraId="7ECDA9B5">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-4</w:t>
            </w:r>
          </w:p>
        </w:tc>
        <w:tc>
          <w:tcPr>
            <w:tcW w:w="1378" w:type="dxa"/>
            <w:noWrap w:val="0"/>
            <w:vAlign w:val="center"/>
          </w:tcPr>
          <w:p w14:paraId="782C6D68">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kern w:val="2"/>
                <w:sz w:val="21"/>
                <w:szCs w:val="21"/>
                <w:lang w:val="en-US" w:eastAsia="zh-CN" w:bidi="ar-SA"/>
              </w:rPr>
            </w:pPr>
            <w:r>
              <w:rPr>
                <w:rFonts w:hint="default" w:ascii="Times New Roman" w:hAnsi="Times New Roman" w:cs="Times New Roman"/>
                <w:i w:val="0"/>
                <w:iCs w:val="0"/>
                <w:sz w:val="21"/>
                <w:szCs w:val="21"/>
              </w:rPr>
              <w:t>LSS -3</w:t>
            </w:r>
          </w:p>
        </w:tc>
        <w:tc>
          <w:tcPr>
            <w:tcW w:w="1376" w:type="dxa"/>
            <w:noWrap w:val="0"/>
            <w:vAlign w:val="center"/>
          </w:tcPr>
          <w:p w14:paraId="1389C074">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500</w:t>
            </w:r>
          </w:p>
        </w:tc>
        <w:tc>
          <w:tcPr>
            <w:tcW w:w="1376" w:type="dxa"/>
            <w:noWrap w:val="0"/>
            <w:vAlign w:val="center"/>
          </w:tcPr>
          <w:p w14:paraId="53DDC148">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500</w:t>
            </w:r>
          </w:p>
        </w:tc>
        <w:tc>
          <w:tcPr>
            <w:tcW w:w="1366" w:type="dxa"/>
            <w:noWrap w:val="0"/>
            <w:vAlign w:val="center"/>
          </w:tcPr>
          <w:p w14:paraId="23B8C7ED">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lang w:val="en-US"/>
              </w:rPr>
            </w:pPr>
            <w:r>
              <w:rPr>
                <w:rFonts w:hint="default" w:ascii="Times New Roman" w:hAnsi="Times New Roman" w:cs="Times New Roman"/>
                <w:i w:val="0"/>
                <w:iCs w:val="0"/>
                <w:sz w:val="21"/>
                <w:szCs w:val="21"/>
                <w:lang w:val="en-US" w:eastAsia="zh-CN"/>
              </w:rPr>
              <w:t>5</w:t>
            </w:r>
          </w:p>
        </w:tc>
      </w:tr>
      <w:tr w14:paraId="25E68C01">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noWrap w:val="0"/>
            <w:vAlign w:val="center"/>
          </w:tcPr>
          <w:p w14:paraId="7905192D">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rPr>
              <w:t>LSS -5</w:t>
            </w:r>
          </w:p>
        </w:tc>
        <w:tc>
          <w:tcPr>
            <w:tcW w:w="1378" w:type="dxa"/>
            <w:noWrap w:val="0"/>
            <w:vAlign w:val="center"/>
          </w:tcPr>
          <w:p w14:paraId="5B37B74E">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kern w:val="2"/>
                <w:sz w:val="21"/>
                <w:szCs w:val="21"/>
                <w:lang w:val="en-US" w:eastAsia="zh-CN" w:bidi="ar-SA"/>
              </w:rPr>
            </w:pPr>
            <w:r>
              <w:rPr>
                <w:rFonts w:hint="default" w:ascii="Times New Roman" w:hAnsi="Times New Roman" w:cs="Times New Roman"/>
                <w:i w:val="0"/>
                <w:iCs w:val="0"/>
                <w:sz w:val="21"/>
                <w:szCs w:val="21"/>
              </w:rPr>
              <w:t>LSS -4</w:t>
            </w:r>
          </w:p>
        </w:tc>
        <w:tc>
          <w:tcPr>
            <w:tcW w:w="1376" w:type="dxa"/>
            <w:noWrap w:val="0"/>
            <w:vAlign w:val="center"/>
          </w:tcPr>
          <w:p w14:paraId="26259130">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400</w:t>
            </w:r>
          </w:p>
        </w:tc>
        <w:tc>
          <w:tcPr>
            <w:tcW w:w="1376" w:type="dxa"/>
            <w:noWrap w:val="0"/>
            <w:vAlign w:val="center"/>
          </w:tcPr>
          <w:p w14:paraId="588B40C4">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600</w:t>
            </w:r>
          </w:p>
        </w:tc>
        <w:tc>
          <w:tcPr>
            <w:tcW w:w="1366" w:type="dxa"/>
            <w:noWrap w:val="0"/>
            <w:vAlign w:val="center"/>
          </w:tcPr>
          <w:p w14:paraId="5999BC15">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lang w:val="en-US" w:eastAsia="zh-CN"/>
              </w:rPr>
              <w:t>2</w:t>
            </w:r>
          </w:p>
        </w:tc>
      </w:tr>
      <w:tr w14:paraId="42FC18C9">
        <w:tblPrEx>
          <w:tblBorders>
            <w:top w:val="double" w:color="auto" w:sz="4" w:space="0"/>
            <w:left w:val="none" w:color="auto" w:sz="0" w:space="0"/>
            <w:bottom w:val="doub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358" w:type="dxa"/>
            <w:tcBorders>
              <w:top w:val="nil"/>
              <w:bottom w:val="double" w:color="auto" w:sz="4" w:space="0"/>
            </w:tcBorders>
            <w:noWrap w:val="0"/>
            <w:vAlign w:val="center"/>
          </w:tcPr>
          <w:p w14:paraId="7F972110">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eastAsia="zh-CN"/>
              </w:rPr>
            </w:pPr>
            <w:r>
              <w:rPr>
                <w:rFonts w:hint="default" w:ascii="Times New Roman" w:hAnsi="Times New Roman" w:cs="Times New Roman"/>
                <w:i w:val="0"/>
                <w:iCs w:val="0"/>
                <w:sz w:val="21"/>
                <w:szCs w:val="21"/>
              </w:rPr>
              <w:t>LSS -</w:t>
            </w:r>
            <w:r>
              <w:rPr>
                <w:rFonts w:hint="default" w:ascii="Times New Roman" w:hAnsi="Times New Roman" w:cs="Times New Roman"/>
                <w:i w:val="0"/>
                <w:iCs w:val="0"/>
                <w:sz w:val="21"/>
                <w:szCs w:val="21"/>
                <w:lang w:val="en-US" w:eastAsia="zh-CN"/>
              </w:rPr>
              <w:t>6</w:t>
            </w:r>
          </w:p>
        </w:tc>
        <w:tc>
          <w:tcPr>
            <w:tcW w:w="1378" w:type="dxa"/>
            <w:tcBorders>
              <w:top w:val="nil"/>
              <w:bottom w:val="double" w:color="auto" w:sz="4" w:space="0"/>
            </w:tcBorders>
            <w:noWrap w:val="0"/>
            <w:vAlign w:val="center"/>
          </w:tcPr>
          <w:p w14:paraId="2D57D377">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val="en-US" w:eastAsia="zh-CN"/>
              </w:rPr>
            </w:pPr>
            <w:r>
              <w:rPr>
                <w:rFonts w:hint="default" w:ascii="Times New Roman" w:hAnsi="Times New Roman" w:cs="Times New Roman"/>
                <w:i w:val="0"/>
                <w:iCs w:val="0"/>
                <w:sz w:val="21"/>
                <w:szCs w:val="21"/>
              </w:rPr>
              <w:t>LSS -</w:t>
            </w:r>
            <w:r>
              <w:rPr>
                <w:rFonts w:hint="default" w:ascii="Times New Roman" w:hAnsi="Times New Roman" w:cs="Times New Roman"/>
                <w:i w:val="0"/>
                <w:iCs w:val="0"/>
                <w:sz w:val="21"/>
                <w:szCs w:val="21"/>
                <w:lang w:val="en-US" w:eastAsia="zh-CN"/>
              </w:rPr>
              <w:t>5</w:t>
            </w:r>
          </w:p>
        </w:tc>
        <w:tc>
          <w:tcPr>
            <w:tcW w:w="1376" w:type="dxa"/>
            <w:tcBorders>
              <w:top w:val="nil"/>
              <w:bottom w:val="double" w:color="auto" w:sz="4" w:space="0"/>
            </w:tcBorders>
            <w:noWrap w:val="0"/>
            <w:vAlign w:val="center"/>
          </w:tcPr>
          <w:p w14:paraId="639FB085">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lang w:val="en-US" w:eastAsia="zh-CN"/>
              </w:rPr>
              <w:t>500</w:t>
            </w:r>
          </w:p>
        </w:tc>
        <w:tc>
          <w:tcPr>
            <w:tcW w:w="1376" w:type="dxa"/>
            <w:tcBorders>
              <w:top w:val="nil"/>
              <w:bottom w:val="double" w:color="auto" w:sz="4" w:space="0"/>
            </w:tcBorders>
            <w:noWrap w:val="0"/>
            <w:vAlign w:val="center"/>
          </w:tcPr>
          <w:p w14:paraId="70E480DE">
            <w:pPr>
              <w:keepNext w:val="0"/>
              <w:keepLines w:val="0"/>
              <w:suppressLineNumbers w:val="0"/>
              <w:spacing w:before="0" w:beforeAutospacing="0" w:after="0" w:afterAutospacing="0"/>
              <w:ind w:left="0" w:right="0"/>
              <w:jc w:val="center"/>
              <w:rPr>
                <w:rFonts w:hint="default" w:ascii="Times New Roman" w:hAnsi="Times New Roman" w:cs="Times New Roman"/>
                <w:i w:val="0"/>
                <w:iCs w:val="0"/>
                <w:sz w:val="21"/>
                <w:szCs w:val="21"/>
              </w:rPr>
            </w:pPr>
            <w:r>
              <w:rPr>
                <w:rFonts w:hint="default" w:ascii="Times New Roman" w:hAnsi="Times New Roman" w:cs="Times New Roman"/>
                <w:i w:val="0"/>
                <w:iCs w:val="0"/>
                <w:sz w:val="21"/>
                <w:szCs w:val="21"/>
                <w:lang w:val="en-US" w:eastAsia="zh-CN"/>
              </w:rPr>
              <w:t>500</w:t>
            </w:r>
          </w:p>
        </w:tc>
        <w:tc>
          <w:tcPr>
            <w:tcW w:w="1366" w:type="dxa"/>
            <w:tcBorders>
              <w:top w:val="nil"/>
              <w:bottom w:val="double" w:color="auto" w:sz="4" w:space="0"/>
            </w:tcBorders>
            <w:noWrap w:val="0"/>
            <w:vAlign w:val="center"/>
          </w:tcPr>
          <w:p w14:paraId="47F7D3C7">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z w:val="21"/>
                <w:szCs w:val="21"/>
                <w:lang w:eastAsia="zh-CN"/>
              </w:rPr>
            </w:pPr>
            <w:r>
              <w:rPr>
                <w:rFonts w:hint="default" w:ascii="Times New Roman" w:hAnsi="Times New Roman" w:cs="Times New Roman"/>
                <w:i w:val="0"/>
                <w:iCs w:val="0"/>
                <w:sz w:val="21"/>
                <w:szCs w:val="21"/>
                <w:lang w:val="en-US" w:eastAsia="zh-CN"/>
              </w:rPr>
              <w:t>1</w:t>
            </w:r>
          </w:p>
        </w:tc>
      </w:tr>
    </w:tbl>
    <w:p w14:paraId="389BEBDD">
      <w:pPr>
        <w:ind w:firstLine="0"/>
        <w:jc w:val="center"/>
        <w:rPr>
          <w:rFonts w:hint="default" w:eastAsia="宋体"/>
          <w:sz w:val="21"/>
          <w:szCs w:val="21"/>
          <w:lang w:val="en-US" w:eastAsia="zh-CN"/>
        </w:rPr>
      </w:pPr>
      <w:r>
        <w:rPr>
          <w:rFonts w:hint="eastAsia"/>
          <w:sz w:val="21"/>
          <w:szCs w:val="21"/>
          <w:lang w:val="en-US" w:eastAsia="zh-CN"/>
        </w:rPr>
        <w:t xml:space="preserve">表 </w:t>
      </w:r>
      <w:r>
        <w:rPr>
          <w:rFonts w:hint="default" w:ascii="Times New Roman" w:hAnsi="Times New Roman" w:cs="Times New Roman"/>
          <w:sz w:val="21"/>
          <w:szCs w:val="21"/>
        </w:rPr>
        <w:t>色谱条件</w:t>
      </w:r>
    </w:p>
    <w:tbl>
      <w:tblPr>
        <w:tblStyle w:val="1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1"/>
        <w:gridCol w:w="3803"/>
        <w:gridCol w:w="3456"/>
      </w:tblGrid>
      <w:tr w14:paraId="6272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noWrap w:val="0"/>
            <w:vAlign w:val="center"/>
          </w:tcPr>
          <w:p w14:paraId="3DDDB3CE">
            <w:pPr>
              <w:pStyle w:val="53"/>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bookmarkStart w:id="45" w:name="_Toc15635"/>
            <w:bookmarkStart w:id="46" w:name="_Toc30820"/>
            <w:r>
              <w:rPr>
                <w:rFonts w:hint="default" w:ascii="Times New Roman" w:hAnsi="Times New Roman" w:cs="Times New Roman"/>
                <w:b w:val="0"/>
                <w:bCs/>
                <w:sz w:val="21"/>
                <w:szCs w:val="21"/>
              </w:rPr>
              <w:t>参数</w:t>
            </w:r>
            <w:bookmarkEnd w:id="45"/>
            <w:bookmarkEnd w:id="46"/>
          </w:p>
        </w:tc>
        <w:tc>
          <w:tcPr>
            <w:tcW w:w="3803" w:type="dxa"/>
            <w:noWrap w:val="0"/>
            <w:vAlign w:val="center"/>
          </w:tcPr>
          <w:p w14:paraId="67AA7C94">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eastAsia" w:ascii="Times New Roman" w:hAnsi="Times New Roman" w:cs="Times New Roman"/>
                <w:b w:val="0"/>
                <w:bCs/>
                <w:sz w:val="21"/>
                <w:szCs w:val="21"/>
                <w:lang w:val="en-US" w:eastAsia="zh-CN"/>
              </w:rPr>
              <w:t>实验室1</w:t>
            </w:r>
            <w:r>
              <w:rPr>
                <w:rFonts w:hint="default" w:ascii="Times New Roman" w:hAnsi="Times New Roman" w:cs="Times New Roman"/>
                <w:b w:val="0"/>
                <w:bCs/>
                <w:sz w:val="21"/>
                <w:szCs w:val="21"/>
              </w:rPr>
              <w:t>条件</w:t>
            </w:r>
          </w:p>
        </w:tc>
        <w:tc>
          <w:tcPr>
            <w:tcW w:w="0" w:type="auto"/>
            <w:noWrap w:val="0"/>
            <w:vAlign w:val="center"/>
          </w:tcPr>
          <w:p w14:paraId="7B9C3C39">
            <w:pPr>
              <w:keepNext w:val="0"/>
              <w:keepLines w:val="0"/>
              <w:suppressLineNumbers w:val="0"/>
              <w:spacing w:before="0" w:beforeAutospacing="0" w:after="0" w:afterAutospacing="0"/>
              <w:ind w:left="0" w:right="0"/>
              <w:jc w:val="center"/>
              <w:rPr>
                <w:rFonts w:hint="default" w:ascii="Times New Roman" w:hAnsi="Times New Roman" w:cs="Times New Roman"/>
                <w:b w:val="0"/>
                <w:bCs/>
                <w:sz w:val="21"/>
                <w:szCs w:val="21"/>
              </w:rPr>
            </w:pPr>
            <w:r>
              <w:rPr>
                <w:rFonts w:hint="eastAsia" w:ascii="Times New Roman" w:hAnsi="Times New Roman" w:cs="Times New Roman"/>
                <w:b w:val="0"/>
                <w:bCs/>
                <w:sz w:val="21"/>
                <w:szCs w:val="21"/>
                <w:lang w:val="en-US" w:eastAsia="zh-CN"/>
              </w:rPr>
              <w:t>实验室2</w:t>
            </w:r>
            <w:r>
              <w:rPr>
                <w:rFonts w:hint="default" w:ascii="Times New Roman" w:hAnsi="Times New Roman" w:cs="Times New Roman"/>
                <w:b w:val="0"/>
                <w:bCs/>
                <w:sz w:val="21"/>
                <w:szCs w:val="21"/>
              </w:rPr>
              <w:t>条件</w:t>
            </w:r>
          </w:p>
        </w:tc>
      </w:tr>
      <w:tr w14:paraId="56E5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noWrap w:val="0"/>
            <w:vAlign w:val="center"/>
          </w:tcPr>
          <w:p w14:paraId="7DEBF7CB">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色谱柱</w:t>
            </w:r>
          </w:p>
        </w:tc>
        <w:tc>
          <w:tcPr>
            <w:tcW w:w="3803" w:type="dxa"/>
            <w:noWrap w:val="0"/>
            <w:vAlign w:val="center"/>
          </w:tcPr>
          <w:p w14:paraId="51D71F67">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vertAlign w:val="baseline"/>
              </w:rPr>
              <w:t>Waters  ACQUITY  UPLC® BEH C18 50 mm×2.1 mm，1.7 μm</w:t>
            </w:r>
          </w:p>
        </w:tc>
        <w:tc>
          <w:tcPr>
            <w:tcW w:w="0" w:type="auto"/>
            <w:shd w:val="clear" w:color="auto" w:fill="auto"/>
            <w:noWrap w:val="0"/>
            <w:vAlign w:val="center"/>
          </w:tcPr>
          <w:p w14:paraId="367D51FD">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Agilent ZORBAX SB-C18 （4.6×150 mm，5 μm）</w:t>
            </w:r>
          </w:p>
        </w:tc>
      </w:tr>
      <w:tr w14:paraId="77480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noWrap w:val="0"/>
            <w:vAlign w:val="center"/>
          </w:tcPr>
          <w:p w14:paraId="4F6C4BF4">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流动相</w:t>
            </w:r>
          </w:p>
        </w:tc>
        <w:tc>
          <w:tcPr>
            <w:tcW w:w="3803" w:type="dxa"/>
            <w:noWrap w:val="0"/>
            <w:vAlign w:val="center"/>
          </w:tcPr>
          <w:p w14:paraId="0029A2AE">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乙腈</w:t>
            </w:r>
            <w:r>
              <w:rPr>
                <w:rFonts w:hint="default" w:ascii="Times New Roman" w:hAnsi="Times New Roman" w:cs="Times New Roman"/>
                <w:b w:val="0"/>
                <w:bCs/>
                <w:sz w:val="21"/>
                <w:szCs w:val="21"/>
              </w:rPr>
              <w:t xml:space="preserve"> : 水 = </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 xml:space="preserve">0 : </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0</w:t>
            </w:r>
          </w:p>
        </w:tc>
        <w:tc>
          <w:tcPr>
            <w:tcW w:w="0" w:type="auto"/>
            <w:shd w:val="clear" w:color="auto" w:fill="auto"/>
            <w:noWrap w:val="0"/>
            <w:vAlign w:val="center"/>
          </w:tcPr>
          <w:p w14:paraId="215F310F">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乙腈</w:t>
            </w:r>
            <w:r>
              <w:rPr>
                <w:rFonts w:hint="default" w:ascii="Times New Roman" w:hAnsi="Times New Roman" w:cs="Times New Roman"/>
                <w:bCs/>
              </w:rPr>
              <w:t>:水=</w:t>
            </w:r>
            <w:r>
              <w:rPr>
                <w:rFonts w:hint="default" w:ascii="Times New Roman" w:hAnsi="Times New Roman" w:cs="Times New Roman"/>
                <w:szCs w:val="24"/>
              </w:rPr>
              <w:t>50:50</w:t>
            </w:r>
          </w:p>
        </w:tc>
      </w:tr>
      <w:tr w14:paraId="77C9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noWrap w:val="0"/>
            <w:vAlign w:val="center"/>
          </w:tcPr>
          <w:p w14:paraId="41D74E40">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流速</w:t>
            </w:r>
          </w:p>
        </w:tc>
        <w:tc>
          <w:tcPr>
            <w:tcW w:w="3803" w:type="dxa"/>
            <w:noWrap w:val="0"/>
            <w:vAlign w:val="center"/>
          </w:tcPr>
          <w:p w14:paraId="6831C9A8">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lang w:val="en-US" w:eastAsia="zh-CN"/>
              </w:rPr>
              <w:t>0.5</w:t>
            </w:r>
            <w:r>
              <w:rPr>
                <w:rFonts w:hint="default" w:ascii="Times New Roman" w:hAnsi="Times New Roman" w:cs="Times New Roman"/>
                <w:b w:val="0"/>
                <w:bCs/>
                <w:sz w:val="21"/>
                <w:szCs w:val="21"/>
              </w:rPr>
              <w:t xml:space="preserve"> m</w:t>
            </w:r>
            <w:r>
              <w:rPr>
                <w:rFonts w:hint="default" w:ascii="Times New Roman" w:hAnsi="Times New Roman" w:cs="Times New Roman"/>
                <w:b w:val="0"/>
                <w:bCs/>
                <w:sz w:val="21"/>
                <w:szCs w:val="21"/>
                <w:lang w:val="en-US" w:eastAsia="zh-CN"/>
              </w:rPr>
              <w:t>L</w:t>
            </w:r>
            <w:r>
              <w:rPr>
                <w:rFonts w:hint="default" w:ascii="Times New Roman" w:hAnsi="Times New Roman" w:cs="Times New Roman"/>
                <w:b w:val="0"/>
                <w:bCs/>
                <w:sz w:val="21"/>
                <w:szCs w:val="21"/>
              </w:rPr>
              <w:t>/min</w:t>
            </w:r>
          </w:p>
        </w:tc>
        <w:tc>
          <w:tcPr>
            <w:tcW w:w="0" w:type="auto"/>
            <w:shd w:val="clear" w:color="auto" w:fill="auto"/>
            <w:noWrap w:val="0"/>
            <w:vAlign w:val="center"/>
          </w:tcPr>
          <w:p w14:paraId="19EAB99D">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bCs/>
              </w:rPr>
              <w:t>1.0 mL/min</w:t>
            </w:r>
          </w:p>
        </w:tc>
      </w:tr>
      <w:tr w14:paraId="37F3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noWrap w:val="0"/>
            <w:vAlign w:val="center"/>
          </w:tcPr>
          <w:p w14:paraId="5C093A48">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柱温</w:t>
            </w:r>
          </w:p>
        </w:tc>
        <w:tc>
          <w:tcPr>
            <w:tcW w:w="3803" w:type="dxa"/>
            <w:noWrap w:val="0"/>
            <w:vAlign w:val="center"/>
          </w:tcPr>
          <w:p w14:paraId="797CB231">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30℃</w:t>
            </w:r>
          </w:p>
        </w:tc>
        <w:tc>
          <w:tcPr>
            <w:tcW w:w="0" w:type="auto"/>
            <w:shd w:val="clear" w:color="auto" w:fill="auto"/>
            <w:noWrap w:val="0"/>
            <w:vAlign w:val="center"/>
          </w:tcPr>
          <w:p w14:paraId="387C4793">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bCs/>
              </w:rPr>
              <w:t>30℃</w:t>
            </w:r>
          </w:p>
        </w:tc>
      </w:tr>
      <w:tr w14:paraId="559F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noWrap w:val="0"/>
            <w:vAlign w:val="center"/>
          </w:tcPr>
          <w:p w14:paraId="61085910">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检测波长</w:t>
            </w:r>
          </w:p>
        </w:tc>
        <w:tc>
          <w:tcPr>
            <w:tcW w:w="3803" w:type="dxa"/>
            <w:noWrap w:val="0"/>
            <w:vAlign w:val="center"/>
          </w:tcPr>
          <w:p w14:paraId="08FD525D">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lang w:val="en-US" w:eastAsia="zh-CN"/>
              </w:rPr>
              <w:t>228</w:t>
            </w:r>
            <w:r>
              <w:rPr>
                <w:rFonts w:hint="default" w:ascii="Times New Roman" w:hAnsi="Times New Roman" w:cs="Times New Roman"/>
                <w:b w:val="0"/>
                <w:bCs/>
                <w:sz w:val="21"/>
                <w:szCs w:val="21"/>
              </w:rPr>
              <w:t xml:space="preserve"> nm</w:t>
            </w:r>
          </w:p>
        </w:tc>
        <w:tc>
          <w:tcPr>
            <w:tcW w:w="0" w:type="auto"/>
            <w:shd w:val="clear" w:color="auto" w:fill="auto"/>
            <w:noWrap w:val="0"/>
            <w:vAlign w:val="center"/>
          </w:tcPr>
          <w:p w14:paraId="613B11C7">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bCs/>
              </w:rPr>
              <w:t>228 nm</w:t>
            </w:r>
          </w:p>
        </w:tc>
      </w:tr>
      <w:tr w14:paraId="17B16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noWrap w:val="0"/>
            <w:vAlign w:val="center"/>
          </w:tcPr>
          <w:p w14:paraId="34D6E492">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进样量</w:t>
            </w:r>
          </w:p>
        </w:tc>
        <w:tc>
          <w:tcPr>
            <w:tcW w:w="3803" w:type="dxa"/>
            <w:noWrap w:val="0"/>
            <w:vAlign w:val="center"/>
          </w:tcPr>
          <w:p w14:paraId="1B7827DE">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eastAsia="zh-CN"/>
              </w:rPr>
            </w:pPr>
            <w:r>
              <w:rPr>
                <w:rFonts w:hint="default" w:ascii="Times New Roman" w:hAnsi="Times New Roman" w:cs="Times New Roman"/>
                <w:b w:val="0"/>
                <w:bCs/>
                <w:sz w:val="21"/>
                <w:szCs w:val="21"/>
                <w:lang w:val="en-US" w:eastAsia="zh-CN"/>
              </w:rPr>
              <w:t>2</w:t>
            </w:r>
            <w:r>
              <w:rPr>
                <w:rFonts w:hint="default" w:ascii="Times New Roman" w:hAnsi="Times New Roman" w:cs="Times New Roman"/>
                <w:b w:val="0"/>
                <w:bCs/>
                <w:sz w:val="21"/>
                <w:szCs w:val="21"/>
              </w:rPr>
              <w:t xml:space="preserve"> μ</w:t>
            </w:r>
            <w:r>
              <w:rPr>
                <w:rFonts w:hint="default" w:ascii="Times New Roman" w:hAnsi="Times New Roman" w:cs="Times New Roman"/>
                <w:b w:val="0"/>
                <w:bCs/>
                <w:sz w:val="21"/>
                <w:szCs w:val="21"/>
                <w:lang w:val="en-US" w:eastAsia="zh-CN"/>
              </w:rPr>
              <w:t>L</w:t>
            </w:r>
          </w:p>
        </w:tc>
        <w:tc>
          <w:tcPr>
            <w:tcW w:w="0" w:type="auto"/>
            <w:shd w:val="clear" w:color="auto" w:fill="auto"/>
            <w:noWrap w:val="0"/>
            <w:vAlign w:val="center"/>
          </w:tcPr>
          <w:p w14:paraId="40A0E9EA">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bCs/>
              </w:rPr>
              <w:t>10 μL</w:t>
            </w:r>
          </w:p>
        </w:tc>
      </w:tr>
      <w:tr w14:paraId="7844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noWrap w:val="0"/>
            <w:vAlign w:val="center"/>
          </w:tcPr>
          <w:p w14:paraId="042A17A1">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rPr>
              <w:t>运行时间</w:t>
            </w:r>
          </w:p>
        </w:tc>
        <w:tc>
          <w:tcPr>
            <w:tcW w:w="3803" w:type="dxa"/>
            <w:noWrap w:val="0"/>
            <w:vAlign w:val="center"/>
          </w:tcPr>
          <w:p w14:paraId="43DE04D6">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b w:val="0"/>
                <w:bCs/>
                <w:sz w:val="21"/>
                <w:szCs w:val="21"/>
                <w:lang w:val="en-US" w:eastAsia="zh-CN"/>
              </w:rPr>
              <w:t>2</w:t>
            </w:r>
            <w:r>
              <w:rPr>
                <w:rFonts w:hint="default" w:ascii="Times New Roman" w:hAnsi="Times New Roman" w:cs="Times New Roman"/>
                <w:b w:val="0"/>
                <w:bCs/>
                <w:sz w:val="21"/>
                <w:szCs w:val="21"/>
              </w:rPr>
              <w:t xml:space="preserve"> min</w:t>
            </w:r>
          </w:p>
        </w:tc>
        <w:tc>
          <w:tcPr>
            <w:tcW w:w="0" w:type="auto"/>
            <w:shd w:val="clear" w:color="auto" w:fill="auto"/>
            <w:noWrap w:val="0"/>
            <w:vAlign w:val="center"/>
          </w:tcPr>
          <w:p w14:paraId="5E1629EB">
            <w:pPr>
              <w:keepNext w:val="0"/>
              <w:keepLines w:val="0"/>
              <w:suppressLineNumbers w:val="0"/>
              <w:spacing w:before="0" w:beforeAutospacing="0" w:after="0" w:afterAutospacing="0"/>
              <w:ind w:left="0" w:right="0"/>
              <w:jc w:val="center"/>
              <w:rPr>
                <w:rFonts w:hint="default" w:ascii="Times New Roman" w:hAnsi="Times New Roman" w:eastAsia="宋体" w:cs="Times New Roman"/>
                <w:bCs/>
                <w:kern w:val="2"/>
                <w:sz w:val="21"/>
                <w:szCs w:val="22"/>
                <w:lang w:val="en-US" w:eastAsia="zh-CN" w:bidi="ar-SA"/>
              </w:rPr>
            </w:pPr>
            <w:r>
              <w:rPr>
                <w:rFonts w:hint="default" w:ascii="Times New Roman" w:hAnsi="Times New Roman" w:cs="Times New Roman"/>
                <w:bCs/>
              </w:rPr>
              <w:t>12 min</w:t>
            </w:r>
          </w:p>
        </w:tc>
      </w:tr>
    </w:tbl>
    <w:p w14:paraId="2AAA1AC1">
      <w:pPr>
        <w:ind w:firstLine="0"/>
      </w:pPr>
    </w:p>
    <w:p w14:paraId="00A67A72">
      <w:pPr>
        <w:ind w:firstLine="0"/>
        <w:jc w:val="center"/>
      </w:pPr>
    </w:p>
    <w:p w14:paraId="71F2DA17">
      <w:pPr>
        <w:ind w:firstLine="0"/>
        <w:jc w:val="center"/>
      </w:pPr>
      <w:r>
        <w:drawing>
          <wp:inline distT="0" distB="0" distL="114300" distR="114300">
            <wp:extent cx="3846195" cy="4916170"/>
            <wp:effectExtent l="9525" t="9525" r="15240" b="12065"/>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0"/>
                    <a:srcRect l="32144" t="12752" r="33121" b="8337"/>
                    <a:stretch>
                      <a:fillRect/>
                    </a:stretch>
                  </pic:blipFill>
                  <pic:spPr>
                    <a:xfrm>
                      <a:off x="0" y="0"/>
                      <a:ext cx="3846195" cy="4916170"/>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hint="eastAsia"/>
          <w:lang w:val="en-US" w:eastAsia="zh-CN"/>
        </w:rPr>
        <w:t xml:space="preserve"> </w:t>
      </w:r>
    </w:p>
    <w:p w14:paraId="4031EFF9">
      <w:pPr>
        <w:ind w:firstLine="0"/>
        <w:jc w:val="center"/>
        <w:rPr>
          <w:rFonts w:hint="eastAsia"/>
          <w:b/>
          <w:bCs/>
          <w:lang w:val="en-US" w:eastAsia="zh-CN"/>
        </w:rPr>
      </w:pPr>
      <w:r>
        <w:rPr>
          <w:rFonts w:hint="default" w:ascii="Times New Roman" w:hAnsi="Times New Roman" w:cs="Times New Roman"/>
          <w:b/>
          <w:bCs/>
          <w:lang w:eastAsia="zh-CN"/>
        </w:rPr>
        <w:t>图</w:t>
      </w:r>
      <w:r>
        <w:rPr>
          <w:rFonts w:hint="default" w:ascii="Times New Roman" w:hAnsi="Times New Roman" w:cs="Times New Roman"/>
          <w:b/>
          <w:bCs/>
          <w:lang w:val="en-US" w:eastAsia="zh-CN"/>
        </w:rPr>
        <w:t>3-3-1 液</w:t>
      </w:r>
      <w:r>
        <w:rPr>
          <w:rFonts w:hint="eastAsia"/>
          <w:b/>
          <w:bCs/>
          <w:lang w:val="en-US" w:eastAsia="zh-CN"/>
        </w:rPr>
        <w:t>相色谱标准曲线</w:t>
      </w:r>
    </w:p>
    <w:p w14:paraId="248DDBBA">
      <w:pPr>
        <w:jc w:val="center"/>
      </w:pPr>
      <w:r>
        <w:drawing>
          <wp:inline distT="0" distB="0" distL="114300" distR="114300">
            <wp:extent cx="3253740" cy="1988820"/>
            <wp:effectExtent l="0" t="0" r="7620" b="7620"/>
            <wp:docPr id="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pic:cNvPicPr>
                      <a:picLocks noChangeAspect="1"/>
                    </pic:cNvPicPr>
                  </pic:nvPicPr>
                  <pic:blipFill>
                    <a:blip r:embed="rId11"/>
                    <a:stretch>
                      <a:fillRect/>
                    </a:stretch>
                  </pic:blipFill>
                  <pic:spPr>
                    <a:xfrm>
                      <a:off x="0" y="0"/>
                      <a:ext cx="3253740" cy="1988820"/>
                    </a:xfrm>
                    <a:prstGeom prst="rect">
                      <a:avLst/>
                    </a:prstGeom>
                    <a:noFill/>
                    <a:ln>
                      <a:noFill/>
                    </a:ln>
                  </pic:spPr>
                </pic:pic>
              </a:graphicData>
            </a:graphic>
          </wp:inline>
        </w:drawing>
      </w:r>
      <w:r>
        <w:rPr>
          <w:rFonts w:hint="eastAsia"/>
        </w:rPr>
        <w:t xml:space="preserve"> </w:t>
      </w:r>
    </w:p>
    <w:p w14:paraId="67A1B640">
      <w:pPr>
        <w:jc w:val="center"/>
        <w:rPr>
          <w:rFonts w:hint="eastAsia"/>
          <w:b/>
          <w:bCs/>
        </w:rPr>
      </w:pPr>
      <w:r>
        <w:rPr>
          <w:rFonts w:hint="default" w:ascii="Times New Roman" w:hAnsi="Times New Roman" w:cs="Times New Roman"/>
          <w:b/>
          <w:bCs/>
        </w:rPr>
        <w:t>图3-3-</w:t>
      </w:r>
      <w:r>
        <w:rPr>
          <w:rFonts w:hint="eastAsia" w:ascii="Times New Roman" w:hAnsi="Times New Roman" w:cs="Times New Roman"/>
          <w:b/>
          <w:bCs/>
          <w:lang w:val="en-US" w:eastAsia="zh-CN"/>
        </w:rPr>
        <w:t>2</w:t>
      </w:r>
      <w:r>
        <w:rPr>
          <w:rFonts w:hint="default" w:ascii="Times New Roman" w:hAnsi="Times New Roman" w:cs="Times New Roman"/>
          <w:b/>
          <w:bCs/>
        </w:rPr>
        <w:t xml:space="preserve"> 紫</w:t>
      </w:r>
      <w:r>
        <w:rPr>
          <w:rFonts w:hint="eastAsia"/>
          <w:b/>
          <w:bCs/>
        </w:rPr>
        <w:t>杉醇标准曲线</w:t>
      </w:r>
    </w:p>
    <w:p w14:paraId="12146FBF">
      <w:pPr>
        <w:pStyle w:val="53"/>
        <w:spacing w:line="360" w:lineRule="auto"/>
        <w:rPr>
          <w:rFonts w:hint="default" w:ascii="Times New Roman" w:hAnsi="Times New Roman" w:cs="Times New Roman"/>
          <w:sz w:val="24"/>
          <w:szCs w:val="24"/>
        </w:rPr>
      </w:pPr>
      <w:bookmarkStart w:id="47" w:name="_Toc32219"/>
      <w:r>
        <w:rPr>
          <w:rFonts w:hint="default" w:ascii="Times New Roman" w:hAnsi="Times New Roman" w:cs="Times New Roman"/>
          <w:sz w:val="24"/>
          <w:szCs w:val="24"/>
        </w:rPr>
        <w:t>3.3.2.2 样品含量测定</w:t>
      </w:r>
      <w:bookmarkEnd w:id="47"/>
    </w:p>
    <w:p w14:paraId="72297C8C">
      <w:pPr>
        <w:pStyle w:val="41"/>
        <w:spacing w:line="360" w:lineRule="auto"/>
        <w:ind w:left="0" w:leftChars="0" w:firstLine="480" w:firstLineChars="200"/>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rPr>
        <w:t>a) 将</w:t>
      </w:r>
      <w:r>
        <w:rPr>
          <w:rFonts w:hint="default" w:ascii="Times New Roman" w:hAnsi="Times New Roman" w:cs="Times New Roman"/>
          <w:i w:val="0"/>
          <w:iCs w:val="0"/>
          <w:sz w:val="24"/>
          <w:szCs w:val="24"/>
          <w:lang w:val="en-US" w:eastAsia="zh-CN"/>
        </w:rPr>
        <w:t>紫杉醇白蛋白</w:t>
      </w:r>
      <w:r>
        <w:rPr>
          <w:rFonts w:hint="default" w:ascii="Times New Roman" w:hAnsi="Times New Roman" w:cs="Times New Roman"/>
          <w:i w:val="0"/>
          <w:iCs w:val="0"/>
          <w:sz w:val="24"/>
          <w:szCs w:val="24"/>
        </w:rPr>
        <w:t>粉末打散，称取约10</w:t>
      </w:r>
      <w:r>
        <w:rPr>
          <w:rFonts w:hint="default" w:ascii="Times New Roman" w:hAnsi="Times New Roman" w:cs="Times New Roman"/>
          <w:i w:val="0"/>
          <w:iCs w:val="0"/>
          <w:sz w:val="24"/>
          <w:szCs w:val="24"/>
          <w:u w:val="none"/>
          <w:lang w:val="en-US" w:eastAsia="zh-CN"/>
        </w:rPr>
        <w:t xml:space="preserve">0 </w:t>
      </w:r>
      <w:r>
        <w:rPr>
          <w:rFonts w:hint="default" w:ascii="Times New Roman" w:hAnsi="Times New Roman" w:cs="Times New Roman"/>
          <w:i w:val="0"/>
          <w:iCs w:val="0"/>
          <w:sz w:val="24"/>
          <w:szCs w:val="24"/>
        </w:rPr>
        <w:t>mg，</w:t>
      </w:r>
      <w:r>
        <w:rPr>
          <w:rFonts w:hint="default" w:ascii="Times New Roman" w:hAnsi="Times New Roman" w:cs="Times New Roman"/>
          <w:i w:val="0"/>
          <w:iCs w:val="0"/>
          <w:sz w:val="24"/>
          <w:szCs w:val="24"/>
          <w:u w:val="none"/>
        </w:rPr>
        <w:t>加</w:t>
      </w:r>
      <w:r>
        <w:rPr>
          <w:rFonts w:hint="default" w:ascii="Times New Roman" w:hAnsi="Times New Roman" w:cs="Times New Roman"/>
          <w:i w:val="0"/>
          <w:iCs w:val="0"/>
          <w:sz w:val="24"/>
          <w:szCs w:val="24"/>
          <w:u w:val="none"/>
          <w:lang w:val="en-US" w:eastAsia="zh-CN"/>
        </w:rPr>
        <w:t xml:space="preserve">生理盐水2 </w:t>
      </w:r>
      <w:r>
        <w:rPr>
          <w:rFonts w:hint="default" w:ascii="Times New Roman" w:hAnsi="Times New Roman" w:cs="Times New Roman"/>
          <w:i w:val="0"/>
          <w:iCs w:val="0"/>
          <w:sz w:val="24"/>
          <w:szCs w:val="24"/>
          <w:u w:val="none"/>
        </w:rPr>
        <w:t>ml，轻轻振</w:t>
      </w:r>
      <w:r>
        <w:rPr>
          <w:rFonts w:hint="default" w:ascii="Times New Roman" w:hAnsi="Times New Roman" w:cs="Times New Roman"/>
          <w:i w:val="0"/>
          <w:iCs w:val="0"/>
          <w:sz w:val="24"/>
          <w:szCs w:val="24"/>
        </w:rPr>
        <w:t>摇使分散均匀</w:t>
      </w:r>
      <w:r>
        <w:rPr>
          <w:rFonts w:hint="default" w:ascii="Times New Roman" w:hAnsi="Times New Roman" w:cs="Times New Roman"/>
          <w:i w:val="0"/>
          <w:iCs w:val="0"/>
          <w:sz w:val="24"/>
          <w:szCs w:val="24"/>
          <w:lang w:eastAsia="zh-CN"/>
        </w:rPr>
        <w:t>。</w:t>
      </w:r>
    </w:p>
    <w:p w14:paraId="75CB2510">
      <w:pPr>
        <w:pStyle w:val="41"/>
        <w:spacing w:line="360" w:lineRule="auto"/>
        <w:ind w:left="0" w:leftChars="0" w:firstLine="480" w:firstLineChars="200"/>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b</w:t>
      </w:r>
      <w:r>
        <w:rPr>
          <w:rFonts w:hint="default" w:ascii="Times New Roman" w:hAnsi="Times New Roman" w:cs="Times New Roman"/>
          <w:i w:val="0"/>
          <w:iCs w:val="0"/>
          <w:sz w:val="24"/>
          <w:szCs w:val="24"/>
        </w:rPr>
        <w:t>) 精密量取a)</w:t>
      </w:r>
      <w:r>
        <w:rPr>
          <w:rFonts w:hint="default" w:ascii="Times New Roman" w:hAnsi="Times New Roman" w:cs="Times New Roman"/>
          <w:i w:val="0"/>
          <w:iCs w:val="0"/>
          <w:sz w:val="24"/>
          <w:szCs w:val="24"/>
          <w:lang w:val="en-US" w:eastAsia="zh-CN"/>
        </w:rPr>
        <w:t>中</w:t>
      </w:r>
      <w:r>
        <w:rPr>
          <w:rFonts w:hint="default" w:ascii="Times New Roman" w:hAnsi="Times New Roman" w:cs="Times New Roman"/>
          <w:i w:val="0"/>
          <w:iCs w:val="0"/>
          <w:sz w:val="24"/>
          <w:szCs w:val="24"/>
        </w:rPr>
        <w:t>贮备液1ml，置10ml量瓶中，用水稀释至刻度，摇匀，精密量取1ml，置</w:t>
      </w:r>
      <w:r>
        <w:rPr>
          <w:rFonts w:hint="default" w:ascii="Times New Roman" w:hAnsi="Times New Roman" w:cs="Times New Roman"/>
          <w:i w:val="0"/>
          <w:iCs w:val="0"/>
          <w:sz w:val="24"/>
          <w:szCs w:val="24"/>
          <w:lang w:val="en-US" w:eastAsia="zh-CN"/>
        </w:rPr>
        <w:t>50</w:t>
      </w:r>
      <w:r>
        <w:rPr>
          <w:rFonts w:hint="default" w:ascii="Times New Roman" w:hAnsi="Times New Roman" w:cs="Times New Roman"/>
          <w:i w:val="0"/>
          <w:iCs w:val="0"/>
          <w:sz w:val="24"/>
          <w:szCs w:val="24"/>
        </w:rPr>
        <w:t>ml量瓶中，用乙腈稀释至刻度，摇匀，超声5min，摇匀，用</w:t>
      </w:r>
      <w:r>
        <w:rPr>
          <w:rFonts w:hint="default" w:ascii="Times New Roman" w:hAnsi="Times New Roman" w:cs="Times New Roman"/>
          <w:i w:val="0"/>
          <w:iCs w:val="0"/>
          <w:sz w:val="24"/>
          <w:szCs w:val="24"/>
          <w:lang w:val="en-US" w:eastAsia="zh-CN"/>
        </w:rPr>
        <w:t>0.22微米</w:t>
      </w:r>
      <w:r>
        <w:rPr>
          <w:rFonts w:hint="default" w:ascii="Times New Roman" w:hAnsi="Times New Roman" w:cs="Times New Roman"/>
          <w:i w:val="0"/>
          <w:iCs w:val="0"/>
          <w:sz w:val="24"/>
          <w:szCs w:val="24"/>
        </w:rPr>
        <w:t>聚四氟乙烯（PTFE）滤膜过滤，取续滤液即得。</w:t>
      </w:r>
      <w:r>
        <w:rPr>
          <w:rFonts w:hint="default" w:ascii="Times New Roman" w:hAnsi="Times New Roman" w:cs="Times New Roman"/>
          <w:i w:val="0"/>
          <w:iCs w:val="0"/>
          <w:sz w:val="24"/>
          <w:szCs w:val="24"/>
          <w:lang w:val="en-US" w:eastAsia="zh-CN"/>
        </w:rPr>
        <w:t xml:space="preserve">            </w:t>
      </w:r>
    </w:p>
    <w:p w14:paraId="3FD7EA89">
      <w:pPr>
        <w:pStyle w:val="41"/>
        <w:spacing w:line="360" w:lineRule="auto"/>
        <w:rPr>
          <w:rFonts w:hint="default" w:ascii="Times New Roman"/>
          <w:i w:val="0"/>
          <w:iCs w:val="0"/>
          <w:sz w:val="24"/>
          <w:szCs w:val="24"/>
          <w:lang w:val="en-US" w:eastAsia="zh-CN"/>
        </w:rPr>
      </w:pPr>
      <w:r>
        <w:rPr>
          <w:rFonts w:hint="default" w:ascii="Times New Roman" w:hAnsi="Times New Roman" w:cs="Times New Roman"/>
          <w:i w:val="0"/>
          <w:iCs w:val="0"/>
          <w:sz w:val="24"/>
          <w:szCs w:val="24"/>
          <w:lang w:val="en-US" w:eastAsia="zh-CN"/>
        </w:rPr>
        <w:t>c</w:t>
      </w:r>
      <w:r>
        <w:rPr>
          <w:rFonts w:hint="default" w:ascii="Times New Roman" w:hAnsi="Times New Roman" w:cs="Times New Roman"/>
          <w:i w:val="0"/>
          <w:iCs w:val="0"/>
          <w:sz w:val="24"/>
          <w:szCs w:val="24"/>
        </w:rPr>
        <w:t>)</w:t>
      </w:r>
      <w:r>
        <w:rPr>
          <w:rFonts w:hint="default" w:ascii="Times New Roman" w:hAnsi="Times New Roman" w:cs="Times New Roman"/>
          <w:i w:val="0"/>
          <w:iCs w:val="0"/>
          <w:sz w:val="24"/>
          <w:szCs w:val="24"/>
          <w:lang w:val="en-US" w:eastAsia="zh-CN"/>
        </w:rPr>
        <w:t xml:space="preserve"> 3个平行样：精密量取供试品贮备</w:t>
      </w:r>
      <w:r>
        <w:rPr>
          <w:rFonts w:hint="eastAsia" w:ascii="Times New Roman"/>
          <w:i w:val="0"/>
          <w:iCs w:val="0"/>
          <w:sz w:val="24"/>
          <w:szCs w:val="24"/>
          <w:lang w:val="en-US" w:eastAsia="zh-CN"/>
        </w:rPr>
        <w:t>液0.2ml，置30 K超滤管（Merck，Ultracel PL-30，货号MRCF0R030）滤膜上，置离心机中以12000 g离心力离心30分钟，将膜下部分转移至5ml量瓶中，加0.2ml生理盐水置超滤管滤膜上，以12000g离心力离心20分钟，将超滤管中液体转移至同一5ml量瓶中，重复6次，用少量乙腈润洗膜下的离心管3次，洗液合并至上述5ml量瓶中，加乙腈稀释至刻度，摇匀，超声2分钟，摇匀，用聚四氟乙烯（PTFE）滤膜过滤，取续滤液即得。</w:t>
      </w:r>
    </w:p>
    <w:p w14:paraId="578EF7EA">
      <w:pPr>
        <w:numPr>
          <w:ilvl w:val="0"/>
          <w:numId w:val="0"/>
        </w:numPr>
        <w:spacing w:line="360" w:lineRule="auto"/>
        <w:ind w:firstLine="480" w:firstLineChars="200"/>
        <w:jc w:val="left"/>
        <w:rPr>
          <w:rFonts w:hint="eastAsia" w:ascii="Times New Roman" w:cs="Times New Roman"/>
          <w:i w:val="0"/>
          <w:iCs w:val="0"/>
          <w:sz w:val="24"/>
          <w:szCs w:val="24"/>
        </w:rPr>
      </w:pPr>
      <w:r>
        <w:rPr>
          <w:rFonts w:hint="eastAsia"/>
          <w:i w:val="0"/>
          <w:iCs w:val="0"/>
          <w:sz w:val="24"/>
          <w:szCs w:val="24"/>
          <w:lang w:val="en-US" w:eastAsia="zh-CN"/>
        </w:rPr>
        <w:t>d</w:t>
      </w:r>
      <w:r>
        <w:rPr>
          <w:rFonts w:hint="eastAsia" w:ascii="Times New Roman"/>
          <w:i w:val="0"/>
          <w:iCs w:val="0"/>
          <w:sz w:val="24"/>
          <w:szCs w:val="24"/>
        </w:rPr>
        <w:t>) 超滤管用前处理：用超纯水浸泡，每30分钟换一次水，重复浸泡三次。使用前取出，倒置在离心管上，以4000g离心力离心5分钟后使用。</w:t>
      </w:r>
    </w:p>
    <w:p w14:paraId="5F899130">
      <w:pPr>
        <w:pStyle w:val="53"/>
        <w:outlineLvl w:val="2"/>
      </w:pPr>
      <w:bookmarkStart w:id="48" w:name="_Toc20130"/>
      <w:bookmarkStart w:id="49" w:name="_Toc28687"/>
      <w:r>
        <w:rPr>
          <w:rFonts w:hint="eastAsia"/>
        </w:rPr>
        <w:t>3.3.3 验证结果计算</w:t>
      </w:r>
      <w:bookmarkEnd w:id="48"/>
      <w:bookmarkEnd w:id="49"/>
    </w:p>
    <w:p w14:paraId="039F0929">
      <w:pPr>
        <w:pStyle w:val="41"/>
        <w:spacing w:line="360" w:lineRule="auto"/>
        <w:ind w:firstLine="420" w:firstLineChars="0"/>
        <w:rPr>
          <w:rFonts w:hint="eastAsia" w:ascii="Times New Roman"/>
          <w:sz w:val="24"/>
          <w:szCs w:val="24"/>
          <w:highlight w:val="none"/>
        </w:rPr>
      </w:pPr>
      <w:r>
        <w:rPr>
          <w:rFonts w:hint="eastAsia" w:ascii="Times New Roman"/>
          <w:sz w:val="24"/>
          <w:szCs w:val="24"/>
          <w:highlight w:val="none"/>
        </w:rPr>
        <w:t>根据包封率计算公式计算有效成分包封率：</w:t>
      </w:r>
    </w:p>
    <w:p w14:paraId="3A665C50">
      <w:pPr>
        <w:pStyle w:val="41"/>
        <w:ind w:firstLine="420"/>
        <w:jc w:val="center"/>
        <w:rPr>
          <w:rFonts w:hAnsi="Cambria Math" w:cs="Cambria Math"/>
          <w:b w:val="0"/>
          <w:i w:val="0"/>
          <w:color w:val="auto"/>
        </w:rPr>
      </w:pPr>
      <m:oMathPara>
        <m:oMath>
          <m:r>
            <m:rPr>
              <m:sty m:val="p"/>
            </m:rPr>
            <w:rPr>
              <w:rFonts w:hint="default" w:ascii="Cambria Math" w:hAnsi="Cambria Math"/>
              <w:color w:val="auto"/>
              <w:lang w:val="en-US" w:eastAsia="zh-CN"/>
            </w:rPr>
            <m:t>EE</m:t>
          </m:r>
          <m:r>
            <m:rPr>
              <m:sty m:val="p"/>
            </m:rPr>
            <w:rPr>
              <w:rFonts w:hint="default" w:ascii="Cambria Math" w:hAnsi="Cambria Math"/>
              <w:color w:val="auto"/>
            </w:rPr>
            <m:t>=</m:t>
          </m:r>
          <m:f>
            <m:fPr>
              <m:ctrlPr>
                <w:rPr>
                  <w:rFonts w:hint="default" w:ascii="Cambria Math" w:hAnsi="Cambria Math" w:cs="Cambria Math"/>
                  <w:b w:val="0"/>
                  <w:i w:val="0"/>
                  <w:color w:val="auto"/>
                  <w:sz w:val="21"/>
                  <w:lang w:val="en-US" w:eastAsia="zh-CN" w:bidi="ar-SA"/>
                </w:rPr>
              </m:ctrlPr>
            </m:fPr>
            <m:num>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E</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num>
            <m:den>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total</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den>
          </m:f>
          <m:r>
            <m:rPr>
              <m:sty m:val="p"/>
            </m:rPr>
            <w:rPr>
              <w:rFonts w:hint="default" w:ascii="Cambria Math" w:hAnsi="Cambria Math" w:cs="Cambria Math"/>
              <w:color w:val="auto"/>
            </w:rPr>
            <m:t>×</m:t>
          </m:r>
          <m:r>
            <m:rPr>
              <m:sty m:val="p"/>
            </m:rPr>
            <w:rPr>
              <w:rFonts w:hint="default" w:ascii="Cambria Math" w:hAnsi="Cambria Math"/>
              <w:color w:val="auto"/>
            </w:rPr>
            <m:t>100%</m:t>
          </m:r>
          <m:r>
            <m:rPr>
              <m:sty m:val="p"/>
            </m:rPr>
            <w:rPr>
              <w:rFonts w:hint="default" w:ascii="Cambria Math" w:hAnsi="Cambria Math" w:cs="Cambria Math"/>
              <w:color w:val="auto"/>
            </w:rPr>
            <m:t>=</m:t>
          </m:r>
          <m:d>
            <m:dPr>
              <m:ctrlPr>
                <w:rPr>
                  <w:rFonts w:hint="default" w:ascii="Cambria Math" w:hAnsi="Cambria Math" w:cs="Cambria Math"/>
                  <w:color w:val="auto"/>
                </w:rPr>
              </m:ctrlPr>
            </m:dPr>
            <m:e>
              <m:r>
                <m:rPr>
                  <m:sty m:val="p"/>
                </m:rPr>
                <w:rPr>
                  <w:rFonts w:hint="default" w:ascii="Cambria Math" w:hAnsi="Cambria Math" w:cs="Cambria Math"/>
                  <w:color w:val="auto"/>
                </w:rPr>
                <m:t>1−</m:t>
              </m:r>
              <m:f>
                <m:fPr>
                  <m:ctrlPr>
                    <w:rPr>
                      <w:rFonts w:hint="default" w:ascii="Cambria Math" w:hAnsi="Cambria Math" w:cs="Cambria Math"/>
                      <w:b w:val="0"/>
                      <w:i w:val="0"/>
                      <w:color w:val="auto"/>
                      <w:sz w:val="21"/>
                      <w:lang w:val="en-US" w:eastAsia="zh-CN" w:bidi="ar-SA"/>
                    </w:rPr>
                  </m:ctrlPr>
                </m:fPr>
                <m:num>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free</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num>
                <m:den>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total</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den>
              </m:f>
              <m:ctrlPr>
                <w:rPr>
                  <w:rFonts w:hint="default" w:ascii="Cambria Math" w:hAnsi="Cambria Math" w:cs="Cambria Math"/>
                  <w:color w:val="auto"/>
                </w:rPr>
              </m:ctrlPr>
            </m:e>
          </m:d>
          <m:r>
            <m:rPr>
              <m:sty m:val="p"/>
            </m:rPr>
            <w:rPr>
              <w:rFonts w:hint="default" w:ascii="Cambria Math" w:hAnsi="Cambria Math" w:cs="Cambria Math"/>
              <w:color w:val="auto"/>
            </w:rPr>
            <m:t>×100%</m:t>
          </m:r>
        </m:oMath>
      </m:oMathPara>
    </w:p>
    <w:p w14:paraId="3CE3644A">
      <w:pPr>
        <w:pStyle w:val="41"/>
        <w:ind w:firstLine="420"/>
        <w:jc w:val="center"/>
        <w:rPr>
          <w:rFonts w:hAnsi="Cambria Math" w:cs="Cambria Math"/>
          <w:b w:val="0"/>
          <w:i w:val="0"/>
          <w:color w:val="auto"/>
        </w:rPr>
      </w:pPr>
      <m:oMathPara>
        <m:oMath>
          <m:r>
            <m:rPr>
              <m:sty m:val="p"/>
            </m:rPr>
            <w:rPr>
              <w:rFonts w:hint="default" w:ascii="Cambria Math" w:hAnsi="Cambria Math"/>
              <w:color w:val="auto"/>
            </w:rPr>
            <m:t>=</m:t>
          </m:r>
          <m:d>
            <m:dPr>
              <m:ctrlPr>
                <w:rPr>
                  <w:rFonts w:hint="default" w:ascii="Cambria Math" w:hAnsi="Cambria Math"/>
                  <w:color w:val="auto"/>
                </w:rPr>
              </m:ctrlPr>
            </m:dPr>
            <m:e>
              <m:r>
                <m:rPr>
                  <m:sty m:val="p"/>
                </m:rPr>
                <w:rPr>
                  <w:rFonts w:hint="default" w:ascii="Cambria Math" w:hAnsi="Cambria Math"/>
                  <w:color w:val="auto"/>
                </w:rPr>
                <m:t>1−</m:t>
              </m:r>
              <m:f>
                <m:fPr>
                  <m:ctrlPr>
                    <w:rPr>
                      <w:rFonts w:hint="default" w:ascii="Cambria Math" w:hAnsi="Cambria Math"/>
                      <w:color w:val="auto"/>
                    </w:rPr>
                  </m:ctrlPr>
                </m:fPr>
                <m:num>
                  <m:r>
                    <m:rPr>
                      <m:sty m:val="p"/>
                    </m:rPr>
                    <w:rPr>
                      <w:rFonts w:hint="default" w:ascii="Cambria Math" w:hAnsi="Cambria Math"/>
                      <w:color w:val="auto"/>
                      <w:lang w:val="en-US" w:eastAsia="zh-CN"/>
                    </w:rPr>
                    <m:t>n</m:t>
                  </m:r>
                  <m:r>
                    <m:rPr>
                      <m:sty m:val="p"/>
                    </m:rPr>
                    <w:rPr>
                      <w:rFonts w:hint="eastAsia" w:ascii="Cambria Math" w:hAnsi="Cambria Math"/>
                      <w:color w:val="auto"/>
                    </w:rPr>
                    <m:t>b</m:t>
                  </m:r>
                  <m:ctrlPr>
                    <w:rPr>
                      <w:rFonts w:hint="default" w:ascii="Cambria Math" w:hAnsi="Cambria Math"/>
                      <w:color w:val="auto"/>
                    </w:rPr>
                  </m:ctrlPr>
                </m:num>
                <m:den>
                  <m:r>
                    <m:rPr>
                      <m:sty m:val="p"/>
                    </m:rPr>
                    <w:rPr>
                      <w:rFonts w:hint="default" w:ascii="Cambria Math" w:hAnsi="Cambria Math"/>
                      <w:color w:val="auto"/>
                      <w:lang w:val="en-US" w:eastAsia="zh-CN"/>
                    </w:rPr>
                    <m:t>m</m:t>
                  </m:r>
                  <m:r>
                    <m:rPr>
                      <m:sty m:val="p"/>
                    </m:rPr>
                    <w:rPr>
                      <w:rFonts w:hint="eastAsia" w:ascii="Cambria Math" w:hAnsi="Cambria Math"/>
                      <w:color w:val="auto"/>
                    </w:rPr>
                    <m:t>a</m:t>
                  </m:r>
                  <m:ctrlPr>
                    <w:rPr>
                      <w:rFonts w:hint="default" w:ascii="Cambria Math" w:hAnsi="Cambria Math"/>
                      <w:color w:val="auto"/>
                    </w:rPr>
                  </m:ctrlPr>
                </m:den>
              </m:f>
              <m:ctrlPr>
                <w:rPr>
                  <w:rFonts w:hint="default" w:ascii="Cambria Math" w:hAnsi="Cambria Math"/>
                  <w:color w:val="auto"/>
                </w:rPr>
              </m:ctrlPr>
            </m:e>
          </m:d>
          <m:r>
            <m:rPr>
              <m:sty m:val="p"/>
            </m:rPr>
            <w:rPr>
              <w:rFonts w:hint="default" w:ascii="Cambria Math" w:hAnsi="Cambria Math" w:cs="Cambria Math"/>
              <w:color w:val="auto"/>
            </w:rPr>
            <m:t>×</m:t>
          </m:r>
          <m:r>
            <m:rPr>
              <m:sty m:val="p"/>
            </m:rPr>
            <w:rPr>
              <w:rFonts w:hint="default" w:ascii="Cambria Math" w:hAnsi="Cambria Math"/>
              <w:color w:val="auto"/>
            </w:rPr>
            <m:t>100%</m:t>
          </m:r>
        </m:oMath>
      </m:oMathPara>
    </w:p>
    <w:p w14:paraId="0FCFA0AC">
      <w:pPr>
        <w:pStyle w:val="41"/>
        <w:ind w:firstLine="420"/>
        <w:rPr>
          <w:rFonts w:hint="eastAsia" w:hAnsi="Cambria Math" w:eastAsia="宋体"/>
          <w:b w:val="0"/>
          <w:i w:val="0"/>
          <w:color w:val="auto"/>
          <w:lang w:val="en-US" w:eastAsia="zh-CN"/>
        </w:rPr>
      </w:pPr>
      <w:r>
        <w:rPr>
          <w:rFonts w:hint="eastAsia" w:hAnsi="Cambria Math"/>
          <w:b w:val="0"/>
          <w:i w:val="0"/>
          <w:color w:val="auto"/>
          <w:lang w:val="en-US" w:eastAsia="zh-CN"/>
        </w:rPr>
        <w:t>式中：</w:t>
      </w:r>
    </w:p>
    <w:p w14:paraId="54736876">
      <w:pPr>
        <w:pStyle w:val="41"/>
        <w:ind w:firstLine="420"/>
        <w:rPr>
          <w:rFonts w:hint="eastAsia" w:hAnsi="Cambria Math"/>
          <w:b w:val="0"/>
          <w:i w:val="0"/>
          <w:color w:val="auto"/>
          <w:lang w:val="en-US" w:eastAsia="zh-CN"/>
        </w:rPr>
      </w:pPr>
      <w:r>
        <w:rPr>
          <w:rFonts w:hint="default" w:ascii="Times New Roman" w:hAnsi="Times New Roman" w:cs="Times New Roman"/>
          <w:b w:val="0"/>
          <w:i w:val="0"/>
          <w:color w:val="auto"/>
          <w:lang w:val="en-US" w:eastAsia="zh-CN"/>
        </w:rPr>
        <w:t>EE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——包封率，%</w:t>
      </w:r>
      <w:r>
        <w:rPr>
          <w:rFonts w:hint="eastAsia" w:hAnsi="Cambria Math"/>
          <w:b w:val="0"/>
          <w:i w:val="0"/>
          <w:color w:val="auto"/>
          <w:lang w:val="en-US" w:eastAsia="zh-CN"/>
        </w:rPr>
        <w:t>；</w:t>
      </w:r>
    </w:p>
    <w:p w14:paraId="4CE32AD1">
      <w:pPr>
        <w:pStyle w:val="41"/>
        <w:ind w:firstLine="420"/>
        <w:rPr>
          <w:rFonts w:hint="eastAsia" w:ascii="Times New Roman" w:hAnsi="Times New Roman" w:eastAsia="宋体"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——分子递送载体中包封的有效成分的量</w:t>
      </w:r>
      <w:r>
        <w:rPr>
          <w:rFonts w:hint="eastAsia" w:hAnsi="Cambria Math"/>
          <w:b w:val="0"/>
          <w:i w:val="0"/>
          <w:color w:val="auto"/>
          <w:lang w:eastAsia="zh-CN"/>
        </w:rPr>
        <w:t>；</w:t>
      </w:r>
    </w:p>
    <w:p w14:paraId="59BEA99B">
      <w:pPr>
        <w:pStyle w:val="41"/>
        <w:ind w:firstLine="420"/>
        <w:rPr>
          <w:rFonts w:hint="eastAsia" w:ascii="Times New Roman" w:hAnsi="Times New Roman" w:eastAsia="宋体"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total</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——分子递送载体中包封的有效成分量和未包封的有效成分的总量</w:t>
      </w:r>
      <w:r>
        <w:rPr>
          <w:rFonts w:hint="eastAsia" w:hAnsi="Cambria Math"/>
          <w:b w:val="0"/>
          <w:i w:val="0"/>
          <w:color w:val="auto"/>
          <w:lang w:eastAsia="zh-CN"/>
        </w:rPr>
        <w:t>；</w:t>
      </w:r>
    </w:p>
    <w:p w14:paraId="08AFE5BA">
      <w:pPr>
        <w:pStyle w:val="41"/>
        <w:ind w:firstLine="420"/>
        <w:rPr>
          <w:rFonts w:hint="default" w:ascii="Times New Roman" w:hAnsi="Times New Roman"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free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——液体介质中未包封的有效成分的量。</w:t>
      </w:r>
    </w:p>
    <w:p w14:paraId="05235A67">
      <w:pPr>
        <w:ind w:firstLine="0"/>
        <w:jc w:val="center"/>
        <w:rPr>
          <w:rFonts w:hint="default"/>
          <w:b/>
          <w:bCs/>
          <w:lang w:val="en-US" w:eastAsia="zh-CN"/>
        </w:rPr>
      </w:pPr>
    </w:p>
    <w:p w14:paraId="7D038B9E">
      <w:pPr>
        <w:ind w:firstLine="0"/>
        <w:jc w:val="center"/>
        <w:rPr>
          <w:rFonts w:hint="eastAsia"/>
          <w:b/>
          <w:bCs/>
          <w:sz w:val="21"/>
          <w:szCs w:val="21"/>
          <w:lang w:val="en-US" w:eastAsia="zh-CN"/>
        </w:rPr>
      </w:pPr>
      <w:r>
        <w:rPr>
          <w:rFonts w:hint="default" w:ascii="Times New Roman" w:hAnsi="Times New Roman" w:cs="Times New Roman"/>
          <w:b/>
          <w:bCs/>
          <w:sz w:val="21"/>
          <w:szCs w:val="21"/>
          <w:lang w:val="en-US" w:eastAsia="zh-CN"/>
        </w:rPr>
        <w:t xml:space="preserve">表3-3-2 </w:t>
      </w: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lang w:val="en-US" w:eastAsia="zh-CN"/>
        </w:rPr>
        <w:t>白</w:t>
      </w:r>
      <w:r>
        <w:rPr>
          <w:rFonts w:hint="eastAsia"/>
          <w:b/>
          <w:bCs/>
          <w:sz w:val="21"/>
          <w:szCs w:val="21"/>
          <w:lang w:val="en-US" w:eastAsia="zh-CN"/>
        </w:rPr>
        <w:t>蛋白紫杉醇包封率结果</w:t>
      </w:r>
    </w:p>
    <w:tbl>
      <w:tblPr>
        <w:tblStyle w:val="1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737"/>
        <w:gridCol w:w="1004"/>
        <w:gridCol w:w="1297"/>
        <w:gridCol w:w="1752"/>
        <w:gridCol w:w="1229"/>
        <w:gridCol w:w="1599"/>
      </w:tblGrid>
      <w:tr w14:paraId="1C2E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919" w:type="dxa"/>
            <w:noWrap w:val="0"/>
            <w:vAlign w:val="center"/>
          </w:tcPr>
          <w:p w14:paraId="3D67A93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vertAlign w:val="baseline"/>
                <w:lang w:val="en-US" w:eastAsia="zh-CN"/>
              </w:rPr>
            </w:pPr>
            <w:r>
              <w:rPr>
                <w:rFonts w:hint="default" w:ascii="Times New Roman" w:hAnsi="Times New Roman" w:cs="Times New Roman"/>
                <w:b w:val="0"/>
                <w:bCs w:val="0"/>
                <w:i w:val="0"/>
                <w:iCs w:val="0"/>
                <w:sz w:val="21"/>
                <w:szCs w:val="21"/>
                <w:vertAlign w:val="baseline"/>
                <w:lang w:val="en-US" w:eastAsia="zh-CN"/>
              </w:rPr>
              <w:t>样品名称</w:t>
            </w:r>
          </w:p>
        </w:tc>
        <w:tc>
          <w:tcPr>
            <w:tcW w:w="758" w:type="dxa"/>
            <w:noWrap w:val="0"/>
            <w:vAlign w:val="center"/>
          </w:tcPr>
          <w:p w14:paraId="0AE7428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vertAlign w:val="baseline"/>
                <w:lang w:val="en-US" w:eastAsia="zh-CN"/>
              </w:rPr>
            </w:pPr>
            <w:r>
              <w:rPr>
                <w:rFonts w:hint="default" w:ascii="Times New Roman" w:hAnsi="Times New Roman" w:cs="Times New Roman"/>
                <w:b w:val="0"/>
                <w:bCs w:val="0"/>
                <w:i w:val="0"/>
                <w:iCs w:val="0"/>
                <w:sz w:val="21"/>
                <w:szCs w:val="21"/>
                <w:vertAlign w:val="baseline"/>
                <w:lang w:val="en-US" w:eastAsia="zh-CN"/>
              </w:rPr>
              <w:t>取样编号</w:t>
            </w:r>
          </w:p>
        </w:tc>
        <w:tc>
          <w:tcPr>
            <w:tcW w:w="1007" w:type="dxa"/>
            <w:noWrap w:val="0"/>
            <w:vAlign w:val="center"/>
          </w:tcPr>
          <w:p w14:paraId="035CD1C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lang w:val="en-US" w:eastAsia="zh-CN"/>
              </w:rPr>
            </w:pPr>
            <w:r>
              <w:rPr>
                <w:rFonts w:hint="default" w:ascii="Times New Roman" w:hAnsi="Times New Roman" w:cs="Times New Roman"/>
                <w:b w:val="0"/>
                <w:bCs w:val="0"/>
                <w:i w:val="0"/>
                <w:iCs w:val="0"/>
                <w:sz w:val="21"/>
                <w:szCs w:val="21"/>
                <w:lang w:val="en-US" w:eastAsia="zh-CN"/>
              </w:rPr>
              <w:t>保留时间（min）</w:t>
            </w:r>
          </w:p>
        </w:tc>
        <w:tc>
          <w:tcPr>
            <w:tcW w:w="1335" w:type="dxa"/>
            <w:noWrap w:val="0"/>
            <w:vAlign w:val="center"/>
          </w:tcPr>
          <w:p w14:paraId="54533FE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i w:val="0"/>
                <w:iCs w:val="0"/>
                <w:sz w:val="21"/>
                <w:szCs w:val="21"/>
                <w:vertAlign w:val="baseline"/>
                <w:lang w:val="en-US" w:eastAsia="zh-CN"/>
              </w:rPr>
            </w:pPr>
            <w:r>
              <w:rPr>
                <w:rFonts w:hint="default" w:ascii="Times New Roman" w:hAnsi="Times New Roman" w:cs="Times New Roman"/>
                <w:b w:val="0"/>
                <w:bCs w:val="0"/>
                <w:i w:val="0"/>
                <w:iCs w:val="0"/>
                <w:sz w:val="21"/>
                <w:szCs w:val="21"/>
                <w:lang w:val="en-US" w:eastAsia="zh-CN"/>
              </w:rPr>
              <w:t>228 nm 紫杉醇 面积</w:t>
            </w:r>
          </w:p>
        </w:tc>
        <w:tc>
          <w:tcPr>
            <w:tcW w:w="1574" w:type="dxa"/>
            <w:noWrap w:val="0"/>
            <w:vAlign w:val="center"/>
          </w:tcPr>
          <w:p w14:paraId="06B07B6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lang w:val="en-US" w:eastAsia="zh-CN"/>
              </w:rPr>
            </w:pPr>
            <w:r>
              <w:rPr>
                <w:rFonts w:hint="default" w:ascii="Times New Roman" w:hAnsi="Times New Roman" w:cs="Times New Roman"/>
                <w:b w:val="0"/>
                <w:bCs w:val="0"/>
                <w:i w:val="0"/>
                <w:iCs w:val="0"/>
                <w:sz w:val="21"/>
                <w:szCs w:val="21"/>
                <w:lang w:val="en-US" w:eastAsia="zh-CN"/>
              </w:rPr>
              <w:t>紫杉醇</w:t>
            </w:r>
            <w:r>
              <w:rPr>
                <w:rFonts w:hint="default" w:ascii="Times New Roman" w:hAnsi="Times New Roman" w:cs="Times New Roman"/>
                <w:b w:val="0"/>
                <w:bCs w:val="0"/>
                <w:i w:val="0"/>
                <w:iCs w:val="0"/>
                <w:sz w:val="21"/>
                <w:szCs w:val="21"/>
                <w:vertAlign w:val="baseline"/>
                <w:lang w:val="en-US" w:eastAsia="zh-CN"/>
              </w:rPr>
              <w:t>的浓度（mg/L）</w:t>
            </w:r>
          </w:p>
        </w:tc>
        <w:tc>
          <w:tcPr>
            <w:tcW w:w="1258" w:type="dxa"/>
            <w:noWrap w:val="0"/>
            <w:vAlign w:val="center"/>
          </w:tcPr>
          <w:p w14:paraId="296FDAE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vertAlign w:val="baseline"/>
                <w:lang w:val="en-US" w:eastAsia="zh-CN"/>
              </w:rPr>
            </w:pPr>
            <w:r>
              <w:rPr>
                <w:rFonts w:hint="default" w:ascii="Times New Roman" w:hAnsi="Times New Roman" w:cs="Times New Roman"/>
                <w:b w:val="0"/>
                <w:bCs w:val="0"/>
                <w:i w:val="0"/>
                <w:iCs w:val="0"/>
                <w:sz w:val="21"/>
                <w:szCs w:val="21"/>
                <w:vertAlign w:val="baseline"/>
                <w:lang w:val="en-US" w:eastAsia="zh-CN"/>
              </w:rPr>
              <w:t>包封率</w:t>
            </w:r>
          </w:p>
          <w:p w14:paraId="7765992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vertAlign w:val="baseline"/>
                <w:lang w:val="en-US" w:eastAsia="zh-CN"/>
              </w:rPr>
            </w:pPr>
            <w:r>
              <w:rPr>
                <w:rFonts w:hint="default" w:ascii="Times New Roman" w:hAnsi="Times New Roman" w:cs="Times New Roman"/>
                <w:b w:val="0"/>
                <w:bCs w:val="0"/>
                <w:i w:val="0"/>
                <w:iCs w:val="0"/>
                <w:sz w:val="21"/>
                <w:szCs w:val="21"/>
                <w:vertAlign w:val="baseline"/>
                <w:lang w:val="en-US" w:eastAsia="zh-CN"/>
              </w:rPr>
              <w:t>（%）</w:t>
            </w:r>
          </w:p>
        </w:tc>
        <w:tc>
          <w:tcPr>
            <w:tcW w:w="1653" w:type="dxa"/>
            <w:noWrap w:val="0"/>
            <w:vAlign w:val="center"/>
          </w:tcPr>
          <w:p w14:paraId="15ED3A9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vertAlign w:val="baseline"/>
                <w:lang w:val="en-US" w:eastAsia="zh-CN"/>
              </w:rPr>
            </w:pPr>
            <w:r>
              <w:rPr>
                <w:rFonts w:hint="default" w:ascii="Times New Roman" w:hAnsi="Times New Roman" w:cs="Times New Roman"/>
                <w:b w:val="0"/>
                <w:bCs w:val="0"/>
                <w:i w:val="0"/>
                <w:iCs w:val="0"/>
                <w:sz w:val="21"/>
                <w:szCs w:val="21"/>
                <w:vertAlign w:val="baseline"/>
                <w:lang w:val="en-US" w:eastAsia="zh-CN"/>
              </w:rPr>
              <w:t>包封率</w:t>
            </w:r>
          </w:p>
          <w:p w14:paraId="068790B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vertAlign w:val="baseline"/>
                <w:lang w:val="en-US" w:eastAsia="zh-CN"/>
              </w:rPr>
            </w:pPr>
            <w:r>
              <w:rPr>
                <w:rFonts w:hint="default" w:ascii="Times New Roman" w:hAnsi="Times New Roman" w:cs="Times New Roman"/>
                <w:b w:val="0"/>
                <w:bCs w:val="0"/>
                <w:i w:val="0"/>
                <w:iCs w:val="0"/>
                <w:sz w:val="21"/>
                <w:szCs w:val="21"/>
                <w:vertAlign w:val="baseline"/>
                <w:lang w:val="en-US" w:eastAsia="zh-CN"/>
              </w:rPr>
              <w:t>（%）</w:t>
            </w:r>
          </w:p>
          <w:p w14:paraId="7F910C5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i w:val="0"/>
                <w:iCs w:val="0"/>
                <w:sz w:val="21"/>
                <w:szCs w:val="21"/>
                <w:vertAlign w:val="baseline"/>
                <w:lang w:val="en-US" w:eastAsia="zh-CN"/>
              </w:rPr>
            </w:pPr>
            <w:r>
              <w:rPr>
                <w:rFonts w:hint="default" w:ascii="Times New Roman" w:hAnsi="Times New Roman" w:cs="Times New Roman"/>
                <w:b w:val="0"/>
                <w:bCs w:val="0"/>
                <w:i w:val="0"/>
                <w:iCs w:val="0"/>
                <w:sz w:val="21"/>
                <w:szCs w:val="21"/>
                <w:vertAlign w:val="baseline"/>
                <w:lang w:val="en-US" w:eastAsia="zh-CN"/>
              </w:rPr>
              <w:t>标准偏差</w:t>
            </w:r>
          </w:p>
        </w:tc>
      </w:tr>
      <w:tr w14:paraId="72437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19" w:type="dxa"/>
            <w:vMerge w:val="restart"/>
            <w:noWrap w:val="0"/>
            <w:vAlign w:val="center"/>
          </w:tcPr>
          <w:p w14:paraId="280A622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游离紫杉醇</w:t>
            </w:r>
          </w:p>
        </w:tc>
        <w:tc>
          <w:tcPr>
            <w:tcW w:w="758" w:type="dxa"/>
            <w:noWrap w:val="0"/>
            <w:vAlign w:val="center"/>
          </w:tcPr>
          <w:p w14:paraId="5D8C75C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1</w:t>
            </w:r>
          </w:p>
        </w:tc>
        <w:tc>
          <w:tcPr>
            <w:tcW w:w="1007" w:type="dxa"/>
            <w:noWrap w:val="0"/>
            <w:vAlign w:val="bottom"/>
          </w:tcPr>
          <w:p w14:paraId="4B6749C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1.018</w:t>
            </w:r>
          </w:p>
        </w:tc>
        <w:tc>
          <w:tcPr>
            <w:tcW w:w="1335" w:type="dxa"/>
            <w:noWrap w:val="0"/>
            <w:vAlign w:val="bottom"/>
          </w:tcPr>
          <w:p w14:paraId="45127EF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23513</w:t>
            </w:r>
          </w:p>
        </w:tc>
        <w:tc>
          <w:tcPr>
            <w:tcW w:w="1574" w:type="dxa"/>
            <w:noWrap w:val="0"/>
            <w:vAlign w:val="bottom"/>
          </w:tcPr>
          <w:p w14:paraId="4EE0DBD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3.05*25=76.25</w:t>
            </w:r>
          </w:p>
        </w:tc>
        <w:tc>
          <w:tcPr>
            <w:tcW w:w="1258" w:type="dxa"/>
            <w:noWrap w:val="0"/>
            <w:vAlign w:val="bottom"/>
          </w:tcPr>
          <w:p w14:paraId="1A8EDF7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98.2</w:t>
            </w:r>
          </w:p>
        </w:tc>
        <w:tc>
          <w:tcPr>
            <w:tcW w:w="1653" w:type="dxa"/>
            <w:vMerge w:val="restart"/>
            <w:noWrap w:val="0"/>
            <w:vAlign w:val="center"/>
          </w:tcPr>
          <w:p w14:paraId="608C03E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0</w:t>
            </w:r>
          </w:p>
        </w:tc>
      </w:tr>
      <w:tr w14:paraId="50AA5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19" w:type="dxa"/>
            <w:vMerge w:val="continue"/>
            <w:noWrap w:val="0"/>
            <w:vAlign w:val="center"/>
          </w:tcPr>
          <w:p w14:paraId="73E29C7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p>
        </w:tc>
        <w:tc>
          <w:tcPr>
            <w:tcW w:w="758" w:type="dxa"/>
            <w:noWrap w:val="0"/>
            <w:vAlign w:val="center"/>
          </w:tcPr>
          <w:p w14:paraId="6946798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2</w:t>
            </w:r>
          </w:p>
        </w:tc>
        <w:tc>
          <w:tcPr>
            <w:tcW w:w="1007" w:type="dxa"/>
            <w:noWrap w:val="0"/>
            <w:vAlign w:val="bottom"/>
          </w:tcPr>
          <w:p w14:paraId="63ED844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1.018</w:t>
            </w:r>
          </w:p>
        </w:tc>
        <w:tc>
          <w:tcPr>
            <w:tcW w:w="1335" w:type="dxa"/>
            <w:noWrap w:val="0"/>
            <w:vAlign w:val="bottom"/>
          </w:tcPr>
          <w:p w14:paraId="27F9DD8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23188</w:t>
            </w:r>
          </w:p>
        </w:tc>
        <w:tc>
          <w:tcPr>
            <w:tcW w:w="1574" w:type="dxa"/>
            <w:noWrap w:val="0"/>
            <w:vAlign w:val="bottom"/>
          </w:tcPr>
          <w:p w14:paraId="63F1E11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3.01*25=75.25</w:t>
            </w:r>
          </w:p>
        </w:tc>
        <w:tc>
          <w:tcPr>
            <w:tcW w:w="1258" w:type="dxa"/>
            <w:noWrap w:val="0"/>
            <w:vAlign w:val="bottom"/>
          </w:tcPr>
          <w:p w14:paraId="7221319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98.2</w:t>
            </w:r>
          </w:p>
        </w:tc>
        <w:tc>
          <w:tcPr>
            <w:tcW w:w="1653" w:type="dxa"/>
            <w:vMerge w:val="continue"/>
            <w:noWrap w:val="0"/>
            <w:vAlign w:val="center"/>
          </w:tcPr>
          <w:p w14:paraId="401475D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p>
        </w:tc>
      </w:tr>
      <w:tr w14:paraId="15B2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19" w:type="dxa"/>
            <w:vMerge w:val="continue"/>
            <w:noWrap w:val="0"/>
            <w:vAlign w:val="center"/>
          </w:tcPr>
          <w:p w14:paraId="540AF8B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p>
        </w:tc>
        <w:tc>
          <w:tcPr>
            <w:tcW w:w="758" w:type="dxa"/>
            <w:noWrap w:val="0"/>
            <w:vAlign w:val="center"/>
          </w:tcPr>
          <w:p w14:paraId="369E88F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3</w:t>
            </w:r>
          </w:p>
        </w:tc>
        <w:tc>
          <w:tcPr>
            <w:tcW w:w="1007" w:type="dxa"/>
            <w:noWrap w:val="0"/>
            <w:vAlign w:val="bottom"/>
          </w:tcPr>
          <w:p w14:paraId="1374FA8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1.018</w:t>
            </w:r>
          </w:p>
        </w:tc>
        <w:tc>
          <w:tcPr>
            <w:tcW w:w="1335" w:type="dxa"/>
            <w:noWrap w:val="0"/>
            <w:vAlign w:val="bottom"/>
          </w:tcPr>
          <w:p w14:paraId="5491C56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23268</w:t>
            </w:r>
          </w:p>
        </w:tc>
        <w:tc>
          <w:tcPr>
            <w:tcW w:w="1574" w:type="dxa"/>
            <w:noWrap w:val="0"/>
            <w:vAlign w:val="bottom"/>
          </w:tcPr>
          <w:p w14:paraId="48F0BFD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3.02*25=75.5</w:t>
            </w:r>
          </w:p>
        </w:tc>
        <w:tc>
          <w:tcPr>
            <w:tcW w:w="1258" w:type="dxa"/>
            <w:noWrap w:val="0"/>
            <w:vAlign w:val="bottom"/>
          </w:tcPr>
          <w:p w14:paraId="435803C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98.2</w:t>
            </w:r>
          </w:p>
        </w:tc>
        <w:tc>
          <w:tcPr>
            <w:tcW w:w="1653" w:type="dxa"/>
            <w:vMerge w:val="continue"/>
            <w:noWrap w:val="0"/>
            <w:vAlign w:val="center"/>
          </w:tcPr>
          <w:p w14:paraId="7253A45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p>
        </w:tc>
      </w:tr>
      <w:tr w14:paraId="5D7D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19" w:type="dxa"/>
            <w:noWrap w:val="0"/>
            <w:vAlign w:val="center"/>
          </w:tcPr>
          <w:p w14:paraId="5C17AB8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b w:val="0"/>
                <w:bCs w:val="0"/>
                <w:i w:val="0"/>
                <w:iCs w:val="0"/>
                <w:sz w:val="21"/>
                <w:szCs w:val="21"/>
                <w:lang w:val="en-US" w:eastAsia="zh-CN"/>
              </w:rPr>
              <w:t>总紫杉醇</w:t>
            </w:r>
          </w:p>
        </w:tc>
        <w:tc>
          <w:tcPr>
            <w:tcW w:w="758" w:type="dxa"/>
            <w:noWrap w:val="0"/>
            <w:vAlign w:val="center"/>
          </w:tcPr>
          <w:p w14:paraId="4E9E01F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i w:val="0"/>
                <w:iCs w:val="0"/>
                <w:kern w:val="2"/>
                <w:sz w:val="21"/>
                <w:szCs w:val="21"/>
                <w:vertAlign w:val="baseline"/>
                <w:lang w:val="en-US" w:eastAsia="zh-CN" w:bidi="ar-SA"/>
              </w:rPr>
            </w:pPr>
            <w:r>
              <w:rPr>
                <w:rFonts w:hint="default" w:ascii="Times New Roman" w:hAnsi="Times New Roman" w:cs="Times New Roman"/>
                <w:i w:val="0"/>
                <w:iCs w:val="0"/>
                <w:sz w:val="21"/>
                <w:szCs w:val="21"/>
                <w:vertAlign w:val="baseline"/>
                <w:lang w:val="en-US" w:eastAsia="zh-CN"/>
              </w:rPr>
              <w:t>1</w:t>
            </w:r>
          </w:p>
        </w:tc>
        <w:tc>
          <w:tcPr>
            <w:tcW w:w="1007" w:type="dxa"/>
            <w:noWrap w:val="0"/>
            <w:vAlign w:val="center"/>
          </w:tcPr>
          <w:p w14:paraId="6A4E080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1.015</w:t>
            </w:r>
          </w:p>
        </w:tc>
        <w:tc>
          <w:tcPr>
            <w:tcW w:w="1335" w:type="dxa"/>
            <w:noWrap w:val="0"/>
            <w:vAlign w:val="center"/>
          </w:tcPr>
          <w:p w14:paraId="02BC22C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67018</w:t>
            </w:r>
          </w:p>
        </w:tc>
        <w:tc>
          <w:tcPr>
            <w:tcW w:w="1574" w:type="dxa"/>
            <w:noWrap w:val="0"/>
            <w:vAlign w:val="center"/>
          </w:tcPr>
          <w:p w14:paraId="42F01AD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8.49*10*50=4245</w:t>
            </w:r>
          </w:p>
        </w:tc>
        <w:tc>
          <w:tcPr>
            <w:tcW w:w="1258" w:type="dxa"/>
            <w:noWrap w:val="0"/>
            <w:vAlign w:val="center"/>
          </w:tcPr>
          <w:p w14:paraId="6F35B50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w:t>
            </w:r>
          </w:p>
        </w:tc>
        <w:tc>
          <w:tcPr>
            <w:tcW w:w="1653" w:type="dxa"/>
            <w:noWrap w:val="0"/>
            <w:vAlign w:val="center"/>
          </w:tcPr>
          <w:p w14:paraId="59794BA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i w:val="0"/>
                <w:iCs w:val="0"/>
                <w:sz w:val="21"/>
                <w:szCs w:val="21"/>
                <w:vertAlign w:val="baseline"/>
                <w:lang w:val="en-US" w:eastAsia="zh-CN"/>
              </w:rPr>
            </w:pPr>
            <w:r>
              <w:rPr>
                <w:rFonts w:hint="default" w:ascii="Times New Roman" w:hAnsi="Times New Roman" w:cs="Times New Roman"/>
                <w:i w:val="0"/>
                <w:iCs w:val="0"/>
                <w:sz w:val="21"/>
                <w:szCs w:val="21"/>
                <w:vertAlign w:val="baseline"/>
                <w:lang w:val="en-US" w:eastAsia="zh-CN"/>
              </w:rPr>
              <w:t>/</w:t>
            </w:r>
          </w:p>
        </w:tc>
      </w:tr>
    </w:tbl>
    <w:p w14:paraId="4751F49F">
      <w:pPr>
        <w:pStyle w:val="41"/>
        <w:ind w:firstLine="420"/>
        <w:rPr>
          <w:rFonts w:hint="default" w:ascii="Times New Roman" w:hAnsi="Times New Roman" w:cs="Times New Roman"/>
          <w:b w:val="0"/>
          <w:i w:val="0"/>
          <w:color w:val="auto"/>
          <w:lang w:val="en-US" w:eastAsia="zh-CN"/>
        </w:rPr>
      </w:pPr>
    </w:p>
    <w:p w14:paraId="4B503547">
      <w:pPr>
        <w:jc w:val="center"/>
        <w:rPr>
          <w:rFonts w:hint="default" w:ascii="Times New Roman" w:hAnsi="Times New Roman" w:cs="Times New Roman"/>
          <w:b/>
          <w:bCs/>
        </w:rPr>
      </w:pPr>
      <w:r>
        <w:rPr>
          <w:rFonts w:hint="default" w:ascii="Times New Roman" w:hAnsi="Times New Roman" w:cs="Times New Roman"/>
          <w:b/>
          <w:bCs/>
          <w:szCs w:val="24"/>
        </w:rPr>
        <w:t xml:space="preserve">表3-3-3 </w:t>
      </w:r>
      <w:r>
        <w:rPr>
          <w:rFonts w:hint="eastAsia" w:ascii="Times New Roman" w:hAnsi="Times New Roman" w:cs="Times New Roman"/>
          <w:b/>
          <w:bCs/>
          <w:szCs w:val="24"/>
          <w:lang w:val="en-US" w:eastAsia="zh-CN"/>
        </w:rPr>
        <w:t>实验室2</w:t>
      </w:r>
      <w:r>
        <w:rPr>
          <w:rFonts w:hint="default" w:ascii="Times New Roman" w:hAnsi="Times New Roman" w:cs="Times New Roman"/>
          <w:b/>
          <w:bCs/>
          <w:szCs w:val="24"/>
        </w:rPr>
        <w:t>样品溶液检测结果</w:t>
      </w:r>
    </w:p>
    <w:tbl>
      <w:tblPr>
        <w:tblStyle w:val="9"/>
        <w:tblW w:w="49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1089"/>
        <w:gridCol w:w="1432"/>
        <w:gridCol w:w="1081"/>
        <w:gridCol w:w="1307"/>
        <w:gridCol w:w="1177"/>
        <w:gridCol w:w="1308"/>
      </w:tblGrid>
      <w:tr w14:paraId="7BA6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590" w:type="pct"/>
            <w:noWrap w:val="0"/>
            <w:vAlign w:val="center"/>
          </w:tcPr>
          <w:p w14:paraId="3D44AFE9">
            <w:pPr>
              <w:keepNext w:val="0"/>
              <w:keepLines w:val="0"/>
              <w:suppressLineNumbers w:val="0"/>
              <w:spacing w:before="0" w:beforeAutospacing="0" w:after="0" w:afterAutospacing="0" w:line="240" w:lineRule="auto"/>
              <w:ind w:left="0" w:right="0"/>
              <w:rPr>
                <w:rFonts w:hint="default" w:ascii="Times New Roman" w:hAnsi="Times New Roman" w:cs="Times New Roman"/>
                <w:szCs w:val="24"/>
              </w:rPr>
            </w:pPr>
            <w:r>
              <w:rPr>
                <w:rFonts w:hint="default" w:ascii="Times New Roman" w:hAnsi="Times New Roman" w:cs="Times New Roman"/>
                <w:szCs w:val="24"/>
              </w:rPr>
              <w:t>样品名称</w:t>
            </w:r>
          </w:p>
        </w:tc>
        <w:tc>
          <w:tcPr>
            <w:tcW w:w="649" w:type="pct"/>
            <w:noWrap w:val="0"/>
            <w:vAlign w:val="center"/>
          </w:tcPr>
          <w:p w14:paraId="7DF92E4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取样编号</w:t>
            </w:r>
          </w:p>
        </w:tc>
        <w:tc>
          <w:tcPr>
            <w:tcW w:w="853" w:type="pct"/>
            <w:noWrap w:val="0"/>
            <w:vAlign w:val="center"/>
          </w:tcPr>
          <w:p w14:paraId="1BB95C1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保留时间（min）</w:t>
            </w:r>
          </w:p>
        </w:tc>
        <w:tc>
          <w:tcPr>
            <w:tcW w:w="644" w:type="pct"/>
            <w:noWrap w:val="0"/>
            <w:vAlign w:val="center"/>
          </w:tcPr>
          <w:p w14:paraId="32DC5FC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面积</w:t>
            </w:r>
          </w:p>
        </w:tc>
        <w:tc>
          <w:tcPr>
            <w:tcW w:w="779" w:type="pct"/>
            <w:noWrap w:val="0"/>
            <w:vAlign w:val="center"/>
          </w:tcPr>
          <w:p w14:paraId="593552A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PTX的浓度</w:t>
            </w:r>
          </w:p>
          <w:p w14:paraId="022E13E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（μg/ml）</w:t>
            </w:r>
          </w:p>
        </w:tc>
        <w:tc>
          <w:tcPr>
            <w:tcW w:w="701" w:type="pct"/>
            <w:shd w:val="clear" w:color="auto" w:fill="auto"/>
            <w:noWrap w:val="0"/>
            <w:vAlign w:val="center"/>
          </w:tcPr>
          <w:p w14:paraId="2C2D023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包载率</w:t>
            </w:r>
          </w:p>
          <w:p w14:paraId="018E85B4">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w:t>
            </w:r>
          </w:p>
        </w:tc>
        <w:tc>
          <w:tcPr>
            <w:tcW w:w="779" w:type="pct"/>
            <w:noWrap w:val="0"/>
            <w:vAlign w:val="center"/>
          </w:tcPr>
          <w:p w14:paraId="5EEB898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RSD</w:t>
            </w:r>
          </w:p>
          <w:p w14:paraId="2037FEF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w:t>
            </w:r>
          </w:p>
        </w:tc>
      </w:tr>
      <w:tr w14:paraId="38DF6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restart"/>
            <w:noWrap w:val="0"/>
            <w:vAlign w:val="center"/>
          </w:tcPr>
          <w:p w14:paraId="2CDCE8F5">
            <w:pPr>
              <w:keepNext w:val="0"/>
              <w:keepLines w:val="0"/>
              <w:suppressLineNumbers w:val="0"/>
              <w:spacing w:before="0" w:beforeAutospacing="0" w:after="0" w:afterAutospacing="0"/>
              <w:ind w:left="0" w:right="0"/>
              <w:jc w:val="center"/>
              <w:rPr>
                <w:rFonts w:hint="default" w:ascii="Times New Roman" w:hAnsi="Times New Roman" w:cs="Times New Roman"/>
                <w:color w:val="000000"/>
                <w:kern w:val="0"/>
                <w:szCs w:val="24"/>
                <w:lang w:bidi="ar"/>
              </w:rPr>
            </w:pPr>
            <w:r>
              <w:rPr>
                <w:rFonts w:hint="default" w:ascii="Times New Roman" w:hAnsi="Times New Roman" w:cs="Times New Roman"/>
                <w:szCs w:val="24"/>
              </w:rPr>
              <w:t>游离PTX</w:t>
            </w:r>
          </w:p>
        </w:tc>
        <w:tc>
          <w:tcPr>
            <w:tcW w:w="649" w:type="pct"/>
            <w:noWrap w:val="0"/>
            <w:vAlign w:val="center"/>
          </w:tcPr>
          <w:p w14:paraId="0037FD34">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000000"/>
                <w:kern w:val="0"/>
                <w:szCs w:val="24"/>
                <w:lang w:bidi="ar"/>
              </w:rPr>
            </w:pPr>
            <w:r>
              <w:rPr>
                <w:rFonts w:hint="default" w:ascii="Times New Roman" w:hAnsi="Times New Roman" w:cs="Times New Roman"/>
                <w:color w:val="000000"/>
                <w:kern w:val="0"/>
                <w:szCs w:val="24"/>
                <w:lang w:bidi="ar"/>
              </w:rPr>
              <w:t>1</w:t>
            </w:r>
          </w:p>
        </w:tc>
        <w:tc>
          <w:tcPr>
            <w:tcW w:w="853" w:type="pct"/>
            <w:noWrap w:val="0"/>
            <w:vAlign w:val="center"/>
          </w:tcPr>
          <w:p w14:paraId="16E20FD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8.581</w:t>
            </w:r>
          </w:p>
        </w:tc>
        <w:tc>
          <w:tcPr>
            <w:tcW w:w="644" w:type="pct"/>
            <w:noWrap w:val="0"/>
            <w:vAlign w:val="center"/>
          </w:tcPr>
          <w:p w14:paraId="269B0F6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97436</w:t>
            </w:r>
          </w:p>
        </w:tc>
        <w:tc>
          <w:tcPr>
            <w:tcW w:w="779" w:type="pct"/>
            <w:noWrap w:val="0"/>
            <w:vAlign w:val="center"/>
          </w:tcPr>
          <w:p w14:paraId="130FE2D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111.55</w:t>
            </w:r>
          </w:p>
        </w:tc>
        <w:tc>
          <w:tcPr>
            <w:tcW w:w="701" w:type="pct"/>
            <w:shd w:val="clear" w:color="auto" w:fill="auto"/>
            <w:noWrap w:val="0"/>
            <w:vAlign w:val="center"/>
          </w:tcPr>
          <w:p w14:paraId="107D8B64">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97.89</w:t>
            </w:r>
          </w:p>
        </w:tc>
        <w:tc>
          <w:tcPr>
            <w:tcW w:w="779" w:type="pct"/>
            <w:vMerge w:val="restart"/>
            <w:noWrap w:val="0"/>
            <w:vAlign w:val="center"/>
          </w:tcPr>
          <w:p w14:paraId="61F9940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Cs w:val="24"/>
                <w:lang w:val="en-US" w:eastAsia="zh-CN"/>
              </w:rPr>
            </w:pPr>
            <w:r>
              <w:rPr>
                <w:rFonts w:hint="default" w:ascii="Times New Roman" w:hAnsi="Times New Roman" w:cs="Times New Roman"/>
                <w:szCs w:val="24"/>
                <w:lang w:val="en-US" w:eastAsia="zh-CN"/>
              </w:rPr>
              <w:t>0.1</w:t>
            </w:r>
          </w:p>
        </w:tc>
      </w:tr>
      <w:tr w14:paraId="4C8F3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noWrap w:val="0"/>
            <w:vAlign w:val="center"/>
          </w:tcPr>
          <w:p w14:paraId="660AB933">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000000"/>
                <w:kern w:val="0"/>
                <w:szCs w:val="24"/>
                <w:lang w:bidi="ar"/>
              </w:rPr>
            </w:pPr>
          </w:p>
        </w:tc>
        <w:tc>
          <w:tcPr>
            <w:tcW w:w="649" w:type="pct"/>
            <w:noWrap w:val="0"/>
            <w:vAlign w:val="center"/>
          </w:tcPr>
          <w:p w14:paraId="080D6F34">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000000"/>
                <w:kern w:val="0"/>
                <w:szCs w:val="24"/>
                <w:lang w:bidi="ar"/>
              </w:rPr>
            </w:pPr>
            <w:r>
              <w:rPr>
                <w:rFonts w:hint="default" w:ascii="Times New Roman" w:hAnsi="Times New Roman" w:cs="Times New Roman"/>
                <w:color w:val="000000"/>
                <w:kern w:val="0"/>
                <w:szCs w:val="24"/>
                <w:lang w:bidi="ar"/>
              </w:rPr>
              <w:t>2</w:t>
            </w:r>
          </w:p>
        </w:tc>
        <w:tc>
          <w:tcPr>
            <w:tcW w:w="853" w:type="pct"/>
            <w:noWrap w:val="0"/>
            <w:vAlign w:val="center"/>
          </w:tcPr>
          <w:p w14:paraId="4E6E668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8.585</w:t>
            </w:r>
          </w:p>
        </w:tc>
        <w:tc>
          <w:tcPr>
            <w:tcW w:w="644" w:type="pct"/>
            <w:noWrap w:val="0"/>
            <w:vAlign w:val="center"/>
          </w:tcPr>
          <w:p w14:paraId="5A9434F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92201</w:t>
            </w:r>
          </w:p>
        </w:tc>
        <w:tc>
          <w:tcPr>
            <w:tcW w:w="779" w:type="pct"/>
            <w:noWrap w:val="0"/>
            <w:vAlign w:val="center"/>
          </w:tcPr>
          <w:p w14:paraId="7A2CFC3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105.48</w:t>
            </w:r>
          </w:p>
        </w:tc>
        <w:tc>
          <w:tcPr>
            <w:tcW w:w="701" w:type="pct"/>
            <w:shd w:val="clear" w:color="auto" w:fill="auto"/>
            <w:noWrap w:val="0"/>
            <w:vAlign w:val="center"/>
          </w:tcPr>
          <w:p w14:paraId="6121ABE9">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98.00</w:t>
            </w:r>
          </w:p>
        </w:tc>
        <w:tc>
          <w:tcPr>
            <w:tcW w:w="779" w:type="pct"/>
            <w:vMerge w:val="continue"/>
            <w:noWrap w:val="0"/>
            <w:vAlign w:val="center"/>
          </w:tcPr>
          <w:p w14:paraId="4ECAD00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r>
      <w:tr w14:paraId="0E2E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noWrap w:val="0"/>
            <w:vAlign w:val="center"/>
          </w:tcPr>
          <w:p w14:paraId="57D62F7A">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000000"/>
                <w:kern w:val="0"/>
                <w:szCs w:val="24"/>
                <w:lang w:bidi="ar"/>
              </w:rPr>
            </w:pPr>
          </w:p>
        </w:tc>
        <w:tc>
          <w:tcPr>
            <w:tcW w:w="649" w:type="pct"/>
            <w:noWrap w:val="0"/>
            <w:vAlign w:val="center"/>
          </w:tcPr>
          <w:p w14:paraId="6AE61E87">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000000"/>
                <w:kern w:val="0"/>
                <w:szCs w:val="24"/>
                <w:lang w:bidi="ar"/>
              </w:rPr>
            </w:pPr>
            <w:r>
              <w:rPr>
                <w:rFonts w:hint="default" w:ascii="Times New Roman" w:hAnsi="Times New Roman" w:cs="Times New Roman"/>
                <w:color w:val="000000"/>
                <w:kern w:val="0"/>
                <w:szCs w:val="24"/>
                <w:lang w:bidi="ar"/>
              </w:rPr>
              <w:t>3</w:t>
            </w:r>
          </w:p>
        </w:tc>
        <w:tc>
          <w:tcPr>
            <w:tcW w:w="853" w:type="pct"/>
            <w:noWrap w:val="0"/>
            <w:vAlign w:val="center"/>
          </w:tcPr>
          <w:p w14:paraId="0B33F82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8.581</w:t>
            </w:r>
          </w:p>
        </w:tc>
        <w:tc>
          <w:tcPr>
            <w:tcW w:w="644" w:type="pct"/>
            <w:noWrap w:val="0"/>
            <w:vAlign w:val="center"/>
          </w:tcPr>
          <w:p w14:paraId="6172D3C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96151</w:t>
            </w:r>
          </w:p>
        </w:tc>
        <w:tc>
          <w:tcPr>
            <w:tcW w:w="779" w:type="pct"/>
            <w:noWrap w:val="0"/>
            <w:vAlign w:val="center"/>
          </w:tcPr>
          <w:p w14:paraId="284426A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110.06</w:t>
            </w:r>
          </w:p>
        </w:tc>
        <w:tc>
          <w:tcPr>
            <w:tcW w:w="701" w:type="pct"/>
            <w:shd w:val="clear" w:color="auto" w:fill="auto"/>
            <w:noWrap w:val="0"/>
            <w:vAlign w:val="center"/>
          </w:tcPr>
          <w:p w14:paraId="31800463">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97.92</w:t>
            </w:r>
          </w:p>
        </w:tc>
        <w:tc>
          <w:tcPr>
            <w:tcW w:w="779" w:type="pct"/>
            <w:vMerge w:val="continue"/>
            <w:noWrap w:val="0"/>
            <w:vAlign w:val="center"/>
          </w:tcPr>
          <w:p w14:paraId="49D50F5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r>
      <w:tr w14:paraId="16384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restart"/>
            <w:noWrap w:val="0"/>
            <w:vAlign w:val="center"/>
          </w:tcPr>
          <w:p w14:paraId="468FECCC">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000000"/>
                <w:kern w:val="0"/>
                <w:szCs w:val="24"/>
                <w:lang w:bidi="ar"/>
              </w:rPr>
            </w:pPr>
            <w:r>
              <w:rPr>
                <w:rFonts w:hint="default" w:ascii="Times New Roman" w:hAnsi="Times New Roman" w:cs="Times New Roman"/>
                <w:szCs w:val="24"/>
              </w:rPr>
              <w:t>总PTX</w:t>
            </w:r>
          </w:p>
        </w:tc>
        <w:tc>
          <w:tcPr>
            <w:tcW w:w="649" w:type="pct"/>
            <w:noWrap w:val="0"/>
            <w:vAlign w:val="center"/>
          </w:tcPr>
          <w:p w14:paraId="7505D606">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w:t>
            </w:r>
          </w:p>
        </w:tc>
        <w:tc>
          <w:tcPr>
            <w:tcW w:w="853" w:type="pct"/>
            <w:noWrap w:val="0"/>
            <w:vAlign w:val="center"/>
          </w:tcPr>
          <w:p w14:paraId="0CF1F9E6">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8.551</w:t>
            </w:r>
          </w:p>
        </w:tc>
        <w:tc>
          <w:tcPr>
            <w:tcW w:w="644" w:type="pct"/>
            <w:noWrap w:val="0"/>
            <w:vAlign w:val="center"/>
          </w:tcPr>
          <w:p w14:paraId="13BA310F">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234263</w:t>
            </w:r>
          </w:p>
        </w:tc>
        <w:tc>
          <w:tcPr>
            <w:tcW w:w="779" w:type="pct"/>
            <w:noWrap w:val="0"/>
            <w:vAlign w:val="center"/>
          </w:tcPr>
          <w:p w14:paraId="4AB62377">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5401.66</w:t>
            </w:r>
          </w:p>
        </w:tc>
        <w:tc>
          <w:tcPr>
            <w:tcW w:w="701" w:type="pct"/>
            <w:vMerge w:val="restart"/>
            <w:shd w:val="clear" w:color="auto" w:fill="auto"/>
            <w:noWrap w:val="0"/>
            <w:vAlign w:val="top"/>
          </w:tcPr>
          <w:p w14:paraId="7AEDDD3E">
            <w:pPr>
              <w:keepNext w:val="0"/>
              <w:keepLines w:val="0"/>
              <w:suppressLineNumbers w:val="0"/>
              <w:spacing w:before="0" w:beforeAutospacing="0" w:after="0" w:afterAutospacing="0"/>
              <w:ind w:left="0" w:right="0"/>
              <w:rPr>
                <w:rFonts w:hint="default" w:ascii="Times New Roman" w:hAnsi="Times New Roman" w:cs="Times New Roman"/>
                <w:szCs w:val="24"/>
              </w:rPr>
            </w:pPr>
          </w:p>
        </w:tc>
        <w:tc>
          <w:tcPr>
            <w:tcW w:w="779" w:type="pct"/>
            <w:vMerge w:val="restart"/>
            <w:noWrap w:val="0"/>
            <w:vAlign w:val="center"/>
          </w:tcPr>
          <w:p w14:paraId="1AD8E260">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p>
        </w:tc>
      </w:tr>
      <w:tr w14:paraId="2377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noWrap w:val="0"/>
            <w:vAlign w:val="center"/>
          </w:tcPr>
          <w:p w14:paraId="78749379">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000000"/>
                <w:kern w:val="0"/>
                <w:szCs w:val="24"/>
                <w:lang w:bidi="ar"/>
              </w:rPr>
            </w:pPr>
          </w:p>
        </w:tc>
        <w:tc>
          <w:tcPr>
            <w:tcW w:w="649" w:type="pct"/>
            <w:noWrap w:val="0"/>
            <w:vAlign w:val="center"/>
          </w:tcPr>
          <w:p w14:paraId="3E06841D">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2</w:t>
            </w:r>
          </w:p>
        </w:tc>
        <w:tc>
          <w:tcPr>
            <w:tcW w:w="853" w:type="pct"/>
            <w:noWrap w:val="0"/>
            <w:vAlign w:val="center"/>
          </w:tcPr>
          <w:p w14:paraId="5ECD7964">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8.547</w:t>
            </w:r>
          </w:p>
        </w:tc>
        <w:tc>
          <w:tcPr>
            <w:tcW w:w="644" w:type="pct"/>
            <w:noWrap w:val="0"/>
            <w:vAlign w:val="center"/>
          </w:tcPr>
          <w:p w14:paraId="6F2FC7E3">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226887</w:t>
            </w:r>
          </w:p>
        </w:tc>
        <w:tc>
          <w:tcPr>
            <w:tcW w:w="779" w:type="pct"/>
            <w:noWrap w:val="0"/>
            <w:vAlign w:val="center"/>
          </w:tcPr>
          <w:p w14:paraId="097DEA75">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5230.74</w:t>
            </w:r>
          </w:p>
        </w:tc>
        <w:tc>
          <w:tcPr>
            <w:tcW w:w="701" w:type="pct"/>
            <w:vMerge w:val="continue"/>
            <w:shd w:val="clear" w:color="auto" w:fill="auto"/>
            <w:noWrap w:val="0"/>
            <w:vAlign w:val="top"/>
          </w:tcPr>
          <w:p w14:paraId="01705F4E">
            <w:pPr>
              <w:keepNext w:val="0"/>
              <w:keepLines w:val="0"/>
              <w:suppressLineNumbers w:val="0"/>
              <w:spacing w:before="0" w:beforeAutospacing="0" w:after="0" w:afterAutospacing="0"/>
              <w:ind w:left="0" w:right="0"/>
              <w:rPr>
                <w:rFonts w:hint="default" w:ascii="Times New Roman" w:hAnsi="Times New Roman" w:cs="Times New Roman"/>
                <w:szCs w:val="24"/>
              </w:rPr>
            </w:pPr>
          </w:p>
        </w:tc>
        <w:tc>
          <w:tcPr>
            <w:tcW w:w="779" w:type="pct"/>
            <w:vMerge w:val="continue"/>
            <w:noWrap w:val="0"/>
            <w:vAlign w:val="center"/>
          </w:tcPr>
          <w:p w14:paraId="5B56C224">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p>
        </w:tc>
      </w:tr>
      <w:tr w14:paraId="6512A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noWrap w:val="0"/>
            <w:vAlign w:val="center"/>
          </w:tcPr>
          <w:p w14:paraId="16999B6A">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000000"/>
                <w:kern w:val="0"/>
                <w:szCs w:val="24"/>
                <w:lang w:bidi="ar"/>
              </w:rPr>
            </w:pPr>
          </w:p>
        </w:tc>
        <w:tc>
          <w:tcPr>
            <w:tcW w:w="649" w:type="pct"/>
            <w:noWrap w:val="0"/>
            <w:vAlign w:val="center"/>
          </w:tcPr>
          <w:p w14:paraId="75F12FDC">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3</w:t>
            </w:r>
          </w:p>
        </w:tc>
        <w:tc>
          <w:tcPr>
            <w:tcW w:w="853" w:type="pct"/>
            <w:noWrap w:val="0"/>
            <w:vAlign w:val="center"/>
          </w:tcPr>
          <w:p w14:paraId="5CED59CC">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8.546</w:t>
            </w:r>
          </w:p>
        </w:tc>
        <w:tc>
          <w:tcPr>
            <w:tcW w:w="644" w:type="pct"/>
            <w:noWrap w:val="0"/>
            <w:vAlign w:val="center"/>
          </w:tcPr>
          <w:p w14:paraId="300F2FF5">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226347</w:t>
            </w:r>
          </w:p>
        </w:tc>
        <w:tc>
          <w:tcPr>
            <w:tcW w:w="779" w:type="pct"/>
            <w:noWrap w:val="0"/>
            <w:vAlign w:val="center"/>
          </w:tcPr>
          <w:p w14:paraId="19882514">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5218.22</w:t>
            </w:r>
          </w:p>
        </w:tc>
        <w:tc>
          <w:tcPr>
            <w:tcW w:w="701" w:type="pct"/>
            <w:vMerge w:val="continue"/>
            <w:shd w:val="clear" w:color="auto" w:fill="auto"/>
            <w:noWrap w:val="0"/>
            <w:vAlign w:val="top"/>
          </w:tcPr>
          <w:p w14:paraId="5B78EF46">
            <w:pPr>
              <w:keepNext w:val="0"/>
              <w:keepLines w:val="0"/>
              <w:suppressLineNumbers w:val="0"/>
              <w:spacing w:before="0" w:beforeAutospacing="0" w:after="0" w:afterAutospacing="0"/>
              <w:ind w:left="0" w:right="0"/>
              <w:rPr>
                <w:rFonts w:hint="default" w:ascii="Times New Roman" w:hAnsi="Times New Roman" w:cs="Times New Roman"/>
                <w:szCs w:val="24"/>
              </w:rPr>
            </w:pPr>
          </w:p>
        </w:tc>
        <w:tc>
          <w:tcPr>
            <w:tcW w:w="779" w:type="pct"/>
            <w:vMerge w:val="continue"/>
            <w:noWrap w:val="0"/>
            <w:vAlign w:val="center"/>
          </w:tcPr>
          <w:p w14:paraId="31AA5B94">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p>
        </w:tc>
      </w:tr>
    </w:tbl>
    <w:p w14:paraId="64C40321">
      <w:pPr>
        <w:pStyle w:val="41"/>
        <w:ind w:firstLine="420"/>
        <w:rPr>
          <w:rFonts w:hint="default" w:ascii="Times New Roman" w:hAnsi="Times New Roman" w:cs="Times New Roman"/>
          <w:b w:val="0"/>
          <w:i w:val="0"/>
          <w:color w:val="auto"/>
          <w:lang w:val="en-US" w:eastAsia="zh-CN"/>
        </w:rPr>
      </w:pPr>
    </w:p>
    <w:p w14:paraId="3243C696">
      <w:pPr>
        <w:pStyle w:val="41"/>
        <w:spacing w:line="360" w:lineRule="auto"/>
        <w:ind w:left="482" w:hanging="482" w:hangingChars="200"/>
        <w:outlineLvl w:val="2"/>
        <w:rPr>
          <w:rFonts w:hint="default" w:ascii="Times New Roman" w:hAnsi="Times New Roman" w:eastAsia="宋体" w:cs="Times New Roman"/>
          <w:b/>
          <w:bCs/>
          <w:i w:val="0"/>
          <w:iCs w:val="0"/>
          <w:caps w:val="0"/>
          <w:spacing w:val="0"/>
          <w:sz w:val="24"/>
          <w:szCs w:val="24"/>
          <w:shd w:val="clear" w:color="auto" w:fill="auto"/>
        </w:rPr>
      </w:pPr>
      <w:bookmarkStart w:id="50" w:name="_Toc29764"/>
      <w:r>
        <w:rPr>
          <w:rFonts w:hint="default" w:ascii="Times New Roman" w:hAnsi="Times New Roman" w:eastAsia="宋体" w:cs="Times New Roman"/>
          <w:b/>
          <w:bCs/>
          <w:i w:val="0"/>
          <w:iCs w:val="0"/>
          <w:caps w:val="0"/>
          <w:spacing w:val="0"/>
          <w:sz w:val="24"/>
          <w:szCs w:val="24"/>
          <w:shd w:val="clear" w:color="auto" w:fill="auto"/>
        </w:rPr>
        <w:t>3.</w:t>
      </w:r>
      <w:r>
        <w:rPr>
          <w:rFonts w:hint="default" w:ascii="Times New Roman" w:hAnsi="Times New Roman" w:cs="Times New Roman"/>
          <w:b/>
          <w:bCs/>
          <w:i w:val="0"/>
          <w:iCs w:val="0"/>
          <w:caps w:val="0"/>
          <w:spacing w:val="0"/>
          <w:sz w:val="24"/>
          <w:szCs w:val="24"/>
          <w:shd w:val="clear" w:color="auto" w:fill="auto"/>
          <w:lang w:val="en-US" w:eastAsia="zh-CN"/>
        </w:rPr>
        <w:t>3</w:t>
      </w:r>
      <w:r>
        <w:rPr>
          <w:rFonts w:hint="default" w:ascii="Times New Roman" w:hAnsi="Times New Roman" w:eastAsia="宋体" w:cs="Times New Roman"/>
          <w:b/>
          <w:bCs/>
          <w:i w:val="0"/>
          <w:iCs w:val="0"/>
          <w:caps w:val="0"/>
          <w:spacing w:val="0"/>
          <w:sz w:val="24"/>
          <w:szCs w:val="24"/>
          <w:shd w:val="clear" w:color="auto" w:fill="auto"/>
        </w:rPr>
        <w:t>.4 验证结果判定</w:t>
      </w:r>
      <w:bookmarkEnd w:id="50"/>
    </w:p>
    <w:p w14:paraId="49C7E396">
      <w:pPr>
        <w:spacing w:line="360" w:lineRule="auto"/>
        <w:ind w:firstLine="480" w:firstLineChars="200"/>
        <w:rPr>
          <w:rFonts w:hint="default" w:ascii="Times New Roman" w:hAnsi="Times New Roman" w:eastAsia="宋体" w:cs="Times New Roman"/>
          <w:i w:val="0"/>
          <w:iCs w:val="0"/>
          <w:caps w:val="0"/>
          <w:spacing w:val="0"/>
          <w:sz w:val="24"/>
          <w:szCs w:val="24"/>
          <w:shd w:val="clear" w:color="auto" w:fill="auto"/>
        </w:rPr>
      </w:pPr>
      <w:r>
        <w:rPr>
          <w:rFonts w:hint="default" w:ascii="Times New Roman" w:hAnsi="Times New Roman" w:eastAsia="宋体" w:cs="Times New Roman"/>
          <w:i w:val="0"/>
          <w:iCs w:val="0"/>
          <w:caps w:val="0"/>
          <w:spacing w:val="0"/>
          <w:sz w:val="24"/>
          <w:szCs w:val="24"/>
          <w:shd w:val="clear" w:color="auto" w:fill="auto"/>
        </w:rPr>
        <w:t>平行测定</w:t>
      </w:r>
      <w:r>
        <w:rPr>
          <w:rFonts w:hint="default" w:ascii="Times New Roman" w:hAnsi="Times New Roman" w:cs="Times New Roman"/>
          <w:i w:val="0"/>
          <w:iCs w:val="0"/>
          <w:caps w:val="0"/>
          <w:spacing w:val="0"/>
          <w:sz w:val="24"/>
          <w:szCs w:val="24"/>
          <w:shd w:val="clear" w:color="auto" w:fill="auto"/>
          <w:lang w:val="en-US" w:eastAsia="zh-CN"/>
        </w:rPr>
        <w:t>3</w:t>
      </w:r>
      <w:r>
        <w:rPr>
          <w:rFonts w:hint="default" w:ascii="Times New Roman" w:hAnsi="Times New Roman" w:eastAsia="宋体" w:cs="Times New Roman"/>
          <w:i w:val="0"/>
          <w:iCs w:val="0"/>
          <w:caps w:val="0"/>
          <w:spacing w:val="0"/>
          <w:sz w:val="24"/>
          <w:szCs w:val="24"/>
          <w:shd w:val="clear" w:color="auto" w:fill="auto"/>
        </w:rPr>
        <w:t>份样品，包封率结果</w:t>
      </w:r>
      <w:r>
        <w:rPr>
          <w:rFonts w:hint="default" w:ascii="Times New Roman" w:hAnsi="Times New Roman" w:cs="Times New Roman"/>
          <w:i w:val="0"/>
          <w:iCs w:val="0"/>
          <w:caps w:val="0"/>
          <w:spacing w:val="0"/>
          <w:sz w:val="24"/>
          <w:szCs w:val="24"/>
          <w:shd w:val="clear" w:color="auto" w:fill="auto"/>
          <w:lang w:val="en-US" w:eastAsia="zh-CN"/>
        </w:rPr>
        <w:t>均</w:t>
      </w:r>
      <w:r>
        <w:rPr>
          <w:rFonts w:hint="eastAsia" w:ascii="宋体" w:hAnsi="宋体" w:eastAsia="宋体" w:cs="宋体"/>
          <w:i w:val="0"/>
          <w:iCs w:val="0"/>
          <w:caps w:val="0"/>
          <w:spacing w:val="0"/>
          <w:sz w:val="24"/>
          <w:szCs w:val="24"/>
          <w:shd w:val="clear" w:color="auto" w:fill="auto"/>
        </w:rPr>
        <w:t>≥</w:t>
      </w:r>
      <w:r>
        <w:rPr>
          <w:rFonts w:hint="default" w:ascii="Times New Roman" w:hAnsi="Times New Roman" w:cs="Times New Roman"/>
          <w:i w:val="0"/>
          <w:iCs w:val="0"/>
          <w:caps w:val="0"/>
          <w:spacing w:val="0"/>
          <w:sz w:val="24"/>
          <w:szCs w:val="24"/>
          <w:shd w:val="clear" w:color="auto" w:fill="auto"/>
          <w:lang w:val="en-US" w:eastAsia="zh-CN"/>
        </w:rPr>
        <w:t>80</w:t>
      </w:r>
      <w:r>
        <w:rPr>
          <w:rFonts w:hint="default" w:ascii="Times New Roman" w:hAnsi="Times New Roman" w:eastAsia="宋体" w:cs="Times New Roman"/>
          <w:i w:val="0"/>
          <w:iCs w:val="0"/>
          <w:caps w:val="0"/>
          <w:spacing w:val="0"/>
          <w:sz w:val="24"/>
          <w:szCs w:val="24"/>
          <w:shd w:val="clear" w:color="auto" w:fill="auto"/>
        </w:rPr>
        <w:t>%，且绝对偏差</w:t>
      </w:r>
      <w:r>
        <w:rPr>
          <w:rFonts w:hint="default" w:ascii="Times New Roman" w:hAnsi="Times New Roman" w:cs="Times New Roman"/>
          <w:i w:val="0"/>
          <w:iCs w:val="0"/>
          <w:caps w:val="0"/>
          <w:spacing w:val="0"/>
          <w:sz w:val="24"/>
          <w:szCs w:val="24"/>
          <w:shd w:val="clear" w:color="auto" w:fill="auto"/>
          <w:lang w:val="en-US" w:eastAsia="zh-CN"/>
        </w:rPr>
        <w:t>未</w:t>
      </w:r>
      <w:r>
        <w:rPr>
          <w:rFonts w:hint="default" w:ascii="Times New Roman" w:hAnsi="Times New Roman" w:eastAsia="宋体" w:cs="Times New Roman"/>
          <w:i w:val="0"/>
          <w:iCs w:val="0"/>
          <w:caps w:val="0"/>
          <w:spacing w:val="0"/>
          <w:sz w:val="24"/>
          <w:szCs w:val="24"/>
          <w:shd w:val="clear" w:color="auto" w:fill="auto"/>
        </w:rPr>
        <w:t xml:space="preserve">超过 </w:t>
      </w:r>
      <w:r>
        <w:rPr>
          <w:rFonts w:hint="default" w:ascii="Times New Roman" w:hAnsi="Times New Roman" w:cs="Times New Roman"/>
          <w:i w:val="0"/>
          <w:iCs w:val="0"/>
          <w:caps w:val="0"/>
          <w:spacing w:val="0"/>
          <w:sz w:val="24"/>
          <w:szCs w:val="24"/>
          <w:shd w:val="clear" w:color="auto" w:fill="auto"/>
          <w:lang w:val="en-US" w:eastAsia="zh-CN"/>
        </w:rPr>
        <w:t>5</w:t>
      </w:r>
      <w:r>
        <w:rPr>
          <w:rFonts w:hint="default" w:ascii="Times New Roman" w:hAnsi="Times New Roman" w:eastAsia="宋体" w:cs="Times New Roman"/>
          <w:i w:val="0"/>
          <w:iCs w:val="0"/>
          <w:caps w:val="0"/>
          <w:spacing w:val="0"/>
          <w:sz w:val="24"/>
          <w:szCs w:val="24"/>
          <w:shd w:val="clear" w:color="auto" w:fill="auto"/>
        </w:rPr>
        <w:t>%。</w:t>
      </w:r>
    </w:p>
    <w:p w14:paraId="7134398D">
      <w:pPr>
        <w:pStyle w:val="52"/>
        <w:spacing w:line="360" w:lineRule="auto"/>
        <w:rPr>
          <w:rFonts w:hint="default" w:ascii="Times New Roman" w:hAnsi="Times New Roman" w:cs="Times New Roman"/>
          <w:sz w:val="24"/>
          <w:szCs w:val="24"/>
        </w:rPr>
      </w:pPr>
      <w:bookmarkStart w:id="51" w:name="_Toc224738381"/>
    </w:p>
    <w:p w14:paraId="448F67F0">
      <w:pPr>
        <w:pStyle w:val="52"/>
        <w:spacing w:line="360" w:lineRule="auto"/>
        <w:outlineLvl w:val="1"/>
        <w:rPr>
          <w:rFonts w:hint="default" w:ascii="Times New Roman" w:hAnsi="Times New Roman" w:cs="Times New Roman"/>
          <w:sz w:val="24"/>
          <w:szCs w:val="24"/>
        </w:rPr>
      </w:pPr>
      <w:bookmarkStart w:id="52" w:name="_Toc3433"/>
      <w:bookmarkStart w:id="53" w:name="_Toc10748"/>
      <w:r>
        <w:rPr>
          <w:rFonts w:hint="default" w:ascii="Times New Roman" w:hAnsi="Times New Roman" w:cs="Times New Roman"/>
          <w:sz w:val="24"/>
          <w:szCs w:val="24"/>
        </w:rPr>
        <w:t>3.4 核酸类分子递送载体包封率测定</w:t>
      </w:r>
      <w:bookmarkEnd w:id="51"/>
      <w:bookmarkEnd w:id="52"/>
      <w:bookmarkEnd w:id="53"/>
    </w:p>
    <w:p w14:paraId="0F1AD542">
      <w:pPr>
        <w:spacing w:line="360" w:lineRule="auto"/>
        <w:rPr>
          <w:rFonts w:hint="default" w:ascii="Times New Roman" w:hAnsi="Times New Roman" w:cs="Times New Roman"/>
          <w:sz w:val="24"/>
          <w:szCs w:val="24"/>
        </w:rPr>
      </w:pPr>
      <w:r>
        <w:rPr>
          <w:rFonts w:hint="default" w:ascii="Times New Roman" w:hAnsi="Times New Roman" w:cs="Times New Roman"/>
          <w:b/>
          <w:bCs/>
          <w:sz w:val="24"/>
          <w:szCs w:val="24"/>
        </w:rPr>
        <w:t>测定原理：</w:t>
      </w:r>
      <w:r>
        <w:rPr>
          <w:rFonts w:hint="default" w:ascii="Times New Roman" w:hAnsi="Times New Roman" w:cs="Times New Roman"/>
          <w:sz w:val="24"/>
          <w:szCs w:val="24"/>
        </w:rPr>
        <w:t>采用离心-超滤联用法分离游离</w:t>
      </w:r>
      <w:r>
        <w:rPr>
          <w:rFonts w:hint="default" w:ascii="Times New Roman" w:hAnsi="Times New Roman" w:cs="Times New Roman"/>
          <w:sz w:val="24"/>
          <w:szCs w:val="24"/>
          <w:lang w:eastAsia="zh-CN"/>
        </w:rPr>
        <w:t>有效成分</w:t>
      </w:r>
      <w:r>
        <w:rPr>
          <w:rFonts w:hint="default" w:ascii="Times New Roman" w:hAnsi="Times New Roman" w:cs="Times New Roman"/>
          <w:sz w:val="24"/>
          <w:szCs w:val="24"/>
        </w:rPr>
        <w:t>与核酸载体。先低速离心沉淀载体结合物，上清液再经超滤进一步分离游离小分子</w:t>
      </w:r>
      <w:r>
        <w:rPr>
          <w:rFonts w:hint="default" w:ascii="Times New Roman" w:hAnsi="Times New Roman" w:cs="Times New Roman"/>
          <w:sz w:val="24"/>
          <w:szCs w:val="24"/>
          <w:lang w:eastAsia="zh-CN"/>
        </w:rPr>
        <w:t>有效成分</w:t>
      </w:r>
      <w:r>
        <w:rPr>
          <w:rFonts w:hint="default" w:ascii="Times New Roman" w:hAnsi="Times New Roman" w:cs="Times New Roman"/>
          <w:sz w:val="24"/>
          <w:szCs w:val="24"/>
        </w:rPr>
        <w:t>。采用福林酚显色法（Lowry法）测定DOX浓度。</w:t>
      </w:r>
    </w:p>
    <w:p w14:paraId="15670C23">
      <w:pPr>
        <w:pStyle w:val="53"/>
        <w:spacing w:line="360" w:lineRule="auto"/>
        <w:outlineLvl w:val="2"/>
        <w:rPr>
          <w:rFonts w:hint="default" w:ascii="Times New Roman" w:hAnsi="Times New Roman" w:cs="Times New Roman"/>
          <w:sz w:val="24"/>
          <w:szCs w:val="24"/>
        </w:rPr>
      </w:pPr>
      <w:bookmarkStart w:id="54" w:name="_Toc22750"/>
      <w:bookmarkStart w:id="55" w:name="_Toc6990"/>
      <w:r>
        <w:rPr>
          <w:rFonts w:hint="default" w:ascii="Times New Roman" w:hAnsi="Times New Roman" w:cs="Times New Roman"/>
          <w:sz w:val="24"/>
          <w:szCs w:val="24"/>
        </w:rPr>
        <w:t>3.4.1 试验设备及材料</w:t>
      </w:r>
      <w:bookmarkEnd w:id="54"/>
      <w:bookmarkEnd w:id="55"/>
    </w:p>
    <w:p w14:paraId="64B9CCC5">
      <w:pPr>
        <w:spacing w:line="360" w:lineRule="auto"/>
        <w:ind w:firstLine="420"/>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盐酸阿霉素试剂</w:t>
      </w:r>
      <w:r>
        <w:rPr>
          <w:rFonts w:hint="default" w:ascii="Times New Roman" w:hAnsi="Times New Roman" w:cs="Times New Roman"/>
          <w:sz w:val="24"/>
          <w:szCs w:val="24"/>
          <w:highlight w:val="none"/>
        </w:rPr>
        <w:t>（二甲基亚砜溶解，10 mg/mL）、JQT14-阿霉素（DOX）矿化反应混合液、0.94 mol/L碳酸钠溶液、稀释液（1.25%葡萄糖+0.225% NaCl+1.25 mM MgCl</w:t>
      </w:r>
      <w:r>
        <w:rPr>
          <w:rFonts w:hint="default" w:ascii="Times New Roman" w:hAnsi="Times New Roman" w:cs="Times New Roman"/>
          <w:sz w:val="24"/>
          <w:szCs w:val="24"/>
          <w:highlight w:val="none"/>
          <w:vertAlign w:val="subscript"/>
        </w:rPr>
        <w:t>2</w:t>
      </w:r>
      <w:r>
        <w:rPr>
          <w:rFonts w:hint="default" w:ascii="Times New Roman" w:hAnsi="Times New Roman" w:cs="Times New Roman"/>
          <w:sz w:val="24"/>
          <w:szCs w:val="24"/>
          <w:highlight w:val="none"/>
        </w:rPr>
        <w:t>）、福林酚试剂、超滤离心机、超滤离心管、紫外分光光度计、5 mL避光管</w:t>
      </w:r>
      <w:r>
        <w:rPr>
          <w:rFonts w:hint="default" w:ascii="Times New Roman" w:hAnsi="Times New Roman" w:cs="Times New Roman"/>
          <w:sz w:val="24"/>
          <w:szCs w:val="24"/>
          <w:highlight w:val="none"/>
          <w:lang w:val="en-US" w:eastAsia="zh-CN"/>
        </w:rPr>
        <w:t>/离心管避光处理</w:t>
      </w:r>
      <w:r>
        <w:rPr>
          <w:rFonts w:hint="default" w:ascii="Times New Roman" w:hAnsi="Times New Roman" w:cs="Times New Roman"/>
          <w:sz w:val="24"/>
          <w:szCs w:val="24"/>
          <w:highlight w:val="none"/>
        </w:rPr>
        <w:t>、一次性比色皿</w:t>
      </w:r>
      <w:r>
        <w:rPr>
          <w:rFonts w:hint="default" w:ascii="Times New Roman" w:hAnsi="Times New Roman" w:cs="Times New Roman"/>
          <w:sz w:val="24"/>
          <w:szCs w:val="24"/>
          <w:highlight w:val="none"/>
          <w:lang w:eastAsia="zh-CN"/>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3673"/>
        <w:gridCol w:w="3673"/>
      </w:tblGrid>
      <w:tr w14:paraId="0F61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noWrap w:val="0"/>
            <w:vAlign w:val="top"/>
          </w:tcPr>
          <w:p w14:paraId="5FA1E51F">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rPr>
              <w:t>材料/设备</w:t>
            </w:r>
          </w:p>
        </w:tc>
        <w:tc>
          <w:tcPr>
            <w:tcW w:w="3673" w:type="dxa"/>
            <w:noWrap w:val="0"/>
            <w:vAlign w:val="top"/>
          </w:tcPr>
          <w:p w14:paraId="40523D2C">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rPr>
              <w:t>规格/型号</w:t>
            </w:r>
          </w:p>
        </w:tc>
        <w:tc>
          <w:tcPr>
            <w:tcW w:w="3673" w:type="dxa"/>
            <w:noWrap w:val="0"/>
            <w:vAlign w:val="top"/>
          </w:tcPr>
          <w:p w14:paraId="718B4F49">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eastAsia" w:ascii="Times New Roman" w:hAnsi="Times New Roman" w:cs="Times New Roman"/>
                <w:b/>
                <w:bCs/>
                <w:sz w:val="21"/>
                <w:szCs w:val="21"/>
                <w:lang w:val="en-US" w:eastAsia="zh-CN"/>
              </w:rPr>
              <w:t>实验室2</w:t>
            </w:r>
            <w:r>
              <w:rPr>
                <w:rFonts w:hint="default" w:ascii="Times New Roman" w:hAnsi="Times New Roman" w:cs="Times New Roman"/>
                <w:b/>
                <w:bCs/>
                <w:sz w:val="21"/>
                <w:szCs w:val="21"/>
              </w:rPr>
              <w:t>规格/型号</w:t>
            </w:r>
          </w:p>
        </w:tc>
      </w:tr>
      <w:tr w14:paraId="2D606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noWrap w:val="0"/>
            <w:vAlign w:val="center"/>
          </w:tcPr>
          <w:p w14:paraId="79185CA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盐酸阿霉素</w:t>
            </w:r>
          </w:p>
        </w:tc>
        <w:tc>
          <w:tcPr>
            <w:tcW w:w="3673" w:type="dxa"/>
            <w:noWrap w:val="0"/>
            <w:vAlign w:val="center"/>
          </w:tcPr>
          <w:p w14:paraId="43F753C8">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自配</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10</w:t>
            </w:r>
            <w:r>
              <w:rPr>
                <w:rFonts w:hint="default" w:ascii="Times New Roman" w:hAnsi="Times New Roman" w:cs="Times New Roman"/>
                <w:sz w:val="21"/>
                <w:szCs w:val="21"/>
              </w:rPr>
              <w:t xml:space="preserve"> mg/m</w:t>
            </w:r>
            <w:r>
              <w:rPr>
                <w:rFonts w:hint="default" w:ascii="Times New Roman" w:hAnsi="Times New Roman" w:cs="Times New Roman"/>
                <w:sz w:val="21"/>
                <w:szCs w:val="21"/>
                <w:lang w:val="en-US" w:eastAsia="zh-CN"/>
              </w:rPr>
              <w:t>L</w:t>
            </w:r>
            <w:r>
              <w:rPr>
                <w:rFonts w:hint="default" w:ascii="Times New Roman" w:hAnsi="Times New Roman" w:cs="Times New Roman"/>
                <w:sz w:val="21"/>
                <w:szCs w:val="21"/>
              </w:rPr>
              <w:t>，二甲基亚砜溶解</w:t>
            </w:r>
          </w:p>
          <w:p w14:paraId="1A183ACD">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盐酸阿霉素</w:t>
            </w:r>
            <w:r>
              <w:rPr>
                <w:rFonts w:hint="default" w:ascii="Times New Roman" w:hAnsi="Times New Roman" w:cs="Times New Roman"/>
                <w:sz w:val="21"/>
                <w:szCs w:val="21"/>
                <w:lang w:eastAsia="zh-CN"/>
              </w:rPr>
              <w:t>，</w:t>
            </w:r>
            <w:r>
              <w:rPr>
                <w:rFonts w:hint="default" w:ascii="Times New Roman" w:hAnsi="Times New Roman" w:cs="Times New Roman"/>
                <w:kern w:val="0"/>
                <w:sz w:val="21"/>
                <w:szCs w:val="21"/>
                <w:lang w:val="en-US" w:eastAsia="zh-CN"/>
              </w:rPr>
              <w:t>中国药品检定研究院</w:t>
            </w:r>
            <w:r>
              <w:rPr>
                <w:rFonts w:hint="default" w:ascii="Times New Roman" w:hAnsi="Times New Roman" w:cs="Times New Roman"/>
                <w:kern w:val="0"/>
                <w:sz w:val="21"/>
                <w:szCs w:val="21"/>
                <w:lang w:eastAsia="zh-CN"/>
              </w:rPr>
              <w:t>，</w:t>
            </w:r>
            <w:r>
              <w:rPr>
                <w:rFonts w:hint="default" w:ascii="Times New Roman" w:hAnsi="Times New Roman" w:cs="Times New Roman"/>
                <w:b w:val="0"/>
                <w:color w:val="auto"/>
                <w:sz w:val="21"/>
                <w:szCs w:val="21"/>
                <w:vertAlign w:val="baseline"/>
                <w:lang w:val="en-US" w:eastAsia="zh-CN"/>
              </w:rPr>
              <w:t>130509-202505，</w:t>
            </w:r>
            <w:r>
              <w:rPr>
                <w:rFonts w:hint="default" w:ascii="Times New Roman" w:hAnsi="Times New Roman" w:cs="Times New Roman"/>
                <w:kern w:val="0"/>
                <w:sz w:val="21"/>
                <w:szCs w:val="21"/>
                <w:lang w:val="en-US" w:eastAsia="zh-CN"/>
              </w:rPr>
              <w:t>含量：</w:t>
            </w:r>
            <w:r>
              <w:rPr>
                <w:rFonts w:hint="default" w:ascii="Times New Roman" w:hAnsi="Times New Roman" w:cs="Times New Roman"/>
                <w:kern w:val="0"/>
                <w:sz w:val="21"/>
                <w:szCs w:val="21"/>
              </w:rPr>
              <w:t>98</w:t>
            </w:r>
            <w:r>
              <w:rPr>
                <w:rFonts w:hint="default" w:ascii="Times New Roman" w:hAnsi="Times New Roman" w:cs="Times New Roman"/>
                <w:kern w:val="0"/>
                <w:sz w:val="21"/>
                <w:szCs w:val="21"/>
                <w:lang w:val="en-US" w:eastAsia="zh-CN"/>
              </w:rPr>
              <w:t>.9</w:t>
            </w:r>
            <w:r>
              <w:rPr>
                <w:rFonts w:hint="default" w:ascii="Times New Roman" w:hAnsi="Times New Roman" w:cs="Times New Roman"/>
                <w:kern w:val="0"/>
                <w:sz w:val="21"/>
                <w:szCs w:val="21"/>
              </w:rPr>
              <w:t>%</w:t>
            </w:r>
          </w:p>
        </w:tc>
        <w:tc>
          <w:tcPr>
            <w:tcW w:w="3673" w:type="dxa"/>
            <w:shd w:val="clear" w:color="auto" w:fill="auto"/>
            <w:noWrap w:val="0"/>
            <w:vAlign w:val="center"/>
          </w:tcPr>
          <w:p w14:paraId="20B79D7E">
            <w:pPr>
              <w:keepNext w:val="0"/>
              <w:keepLines w:val="0"/>
              <w:suppressLineNumbers w:val="0"/>
              <w:spacing w:before="0" w:beforeAutospacing="0" w:after="0" w:afterAutospacing="0" w:line="240" w:lineRule="auto"/>
              <w:ind w:left="0" w:right="0"/>
              <w:rPr>
                <w:rFonts w:hint="default" w:ascii="Times New Roman" w:hAnsi="Times New Roman" w:cs="Times New Roman"/>
                <w:szCs w:val="24"/>
              </w:rPr>
            </w:pPr>
            <w:r>
              <w:rPr>
                <w:rFonts w:hint="default" w:ascii="Times New Roman" w:hAnsi="Times New Roman" w:cs="Times New Roman"/>
                <w:szCs w:val="24"/>
              </w:rPr>
              <w:t>自配，10 mg/mL，二甲基亚砜溶解</w:t>
            </w:r>
          </w:p>
          <w:p w14:paraId="09483E09">
            <w:pPr>
              <w:keepNext w:val="0"/>
              <w:keepLines w:val="0"/>
              <w:suppressLineNumbers w:val="0"/>
              <w:spacing w:before="0" w:beforeAutospacing="0" w:after="0" w:afterAutospacing="0" w:line="240" w:lineRule="auto"/>
              <w:ind w:left="0" w:right="0"/>
              <w:rPr>
                <w:rFonts w:hint="default" w:ascii="Times New Roman" w:hAnsi="Times New Roman" w:cs="Times New Roman"/>
                <w:kern w:val="0"/>
                <w:szCs w:val="24"/>
              </w:rPr>
            </w:pPr>
            <w:r>
              <w:rPr>
                <w:rFonts w:hint="default" w:ascii="Times New Roman" w:hAnsi="Times New Roman" w:cs="Times New Roman"/>
                <w:szCs w:val="24"/>
              </w:rPr>
              <w:t>盐酸阿霉素，</w:t>
            </w:r>
            <w:r>
              <w:rPr>
                <w:rFonts w:hint="default" w:ascii="Times New Roman" w:hAnsi="Times New Roman" w:cs="Times New Roman"/>
                <w:kern w:val="0"/>
                <w:szCs w:val="24"/>
              </w:rPr>
              <w:t>日本MicroBiopharm Japan Co,Ltd，</w:t>
            </w:r>
          </w:p>
          <w:p w14:paraId="35C0B650">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20000866-DX-B0039-A24052301</w:t>
            </w:r>
            <w:r>
              <w:rPr>
                <w:rFonts w:hint="default" w:ascii="Times New Roman" w:hAnsi="Times New Roman" w:cs="Times New Roman"/>
                <w:color w:val="0000FF"/>
                <w:szCs w:val="24"/>
              </w:rPr>
              <w:t>，</w:t>
            </w:r>
            <w:r>
              <w:rPr>
                <w:rFonts w:hint="default" w:ascii="Times New Roman" w:hAnsi="Times New Roman" w:cs="Times New Roman"/>
                <w:szCs w:val="21"/>
              </w:rPr>
              <w:t xml:space="preserve">99.85%，579.98 </w:t>
            </w:r>
            <w:r>
              <w:rPr>
                <w:rFonts w:hint="default" w:ascii="Times New Roman" w:hAnsi="Times New Roman" w:cs="Times New Roman"/>
                <w:szCs w:val="24"/>
              </w:rPr>
              <w:t>g/mol</w:t>
            </w:r>
          </w:p>
        </w:tc>
      </w:tr>
      <w:tr w14:paraId="4B4B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noWrap w:val="0"/>
            <w:vAlign w:val="center"/>
          </w:tcPr>
          <w:p w14:paraId="30E50A7B">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rPr>
              <w:t>JQT14</w:t>
            </w:r>
          </w:p>
        </w:tc>
        <w:tc>
          <w:tcPr>
            <w:tcW w:w="3673" w:type="dxa"/>
            <w:noWrap w:val="0"/>
            <w:vAlign w:val="center"/>
          </w:tcPr>
          <w:p w14:paraId="5220F6BB">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vertAlign w:val="baseline"/>
                <w:lang w:eastAsia="zh-CN"/>
              </w:rPr>
            </w:pPr>
            <w:r>
              <w:rPr>
                <w:rFonts w:hint="default" w:ascii="Times New Roman" w:hAnsi="Times New Roman" w:cs="Times New Roman"/>
                <w:sz w:val="21"/>
                <w:szCs w:val="21"/>
                <w:vertAlign w:val="baseline"/>
                <w:lang w:val="en-US" w:eastAsia="zh-CN"/>
              </w:rPr>
              <w:t>核酸组装小分子</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16 µM，</w:t>
            </w:r>
            <w:r>
              <w:rPr>
                <w:rFonts w:hint="default" w:ascii="Times New Roman" w:hAnsi="Times New Roman" w:cs="Times New Roman"/>
                <w:sz w:val="21"/>
                <w:szCs w:val="21"/>
              </w:rPr>
              <w:t>总体积</w:t>
            </w:r>
            <w:r>
              <w:rPr>
                <w:rFonts w:hint="default" w:ascii="Times New Roman" w:hAnsi="Times New Roman" w:cs="Times New Roman"/>
                <w:color w:val="auto"/>
                <w:sz w:val="21"/>
                <w:szCs w:val="21"/>
                <w:lang w:val="en-US" w:eastAsia="zh-CN"/>
              </w:rPr>
              <w:t>1.0</w:t>
            </w:r>
            <w:r>
              <w:rPr>
                <w:rFonts w:hint="default" w:ascii="Times New Roman" w:hAnsi="Times New Roman" w:cs="Times New Roman"/>
                <w:sz w:val="21"/>
                <w:szCs w:val="21"/>
              </w:rPr>
              <w:t xml:space="preserve"> ml</w:t>
            </w:r>
          </w:p>
        </w:tc>
        <w:tc>
          <w:tcPr>
            <w:tcW w:w="3673" w:type="dxa"/>
            <w:shd w:val="clear" w:color="auto" w:fill="auto"/>
            <w:noWrap w:val="0"/>
            <w:vAlign w:val="center"/>
          </w:tcPr>
          <w:p w14:paraId="758A4D55">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核酸组装小分子，16 µM，总体积1.0 ml</w:t>
            </w:r>
          </w:p>
        </w:tc>
      </w:tr>
      <w:tr w14:paraId="2F5B3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noWrap w:val="0"/>
            <w:vAlign w:val="center"/>
          </w:tcPr>
          <w:p w14:paraId="70AE34E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0.94 mol/L碳酸钠溶液</w:t>
            </w:r>
          </w:p>
        </w:tc>
        <w:tc>
          <w:tcPr>
            <w:tcW w:w="3673" w:type="dxa"/>
            <w:noWrap w:val="0"/>
            <w:vAlign w:val="center"/>
          </w:tcPr>
          <w:p w14:paraId="624F87C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cs="Times New Roman"/>
                <w:sz w:val="21"/>
                <w:szCs w:val="21"/>
                <w:highlight w:val="none"/>
              </w:rPr>
              <w:t>纯水溶解</w:t>
            </w:r>
            <w:r>
              <w:rPr>
                <w:rFonts w:hint="default" w:ascii="Times New Roman" w:hAnsi="Times New Roman" w:cs="Times New Roman"/>
                <w:sz w:val="21"/>
                <w:szCs w:val="21"/>
                <w:highlight w:val="none"/>
                <w:lang w:eastAsia="zh-CN"/>
              </w:rPr>
              <w:t>，无水碳酸钠，</w:t>
            </w:r>
            <w:r>
              <w:rPr>
                <w:rFonts w:hint="default" w:ascii="Times New Roman" w:hAnsi="Times New Roman" w:cs="Times New Roman"/>
                <w:sz w:val="21"/>
                <w:szCs w:val="21"/>
                <w:highlight w:val="none"/>
                <w:lang w:val="en-US" w:eastAsia="zh-CN"/>
              </w:rPr>
              <w:t>比克曼</w:t>
            </w:r>
          </w:p>
        </w:tc>
        <w:tc>
          <w:tcPr>
            <w:tcW w:w="3673" w:type="dxa"/>
            <w:shd w:val="clear" w:color="auto" w:fill="auto"/>
            <w:noWrap w:val="0"/>
            <w:vAlign w:val="center"/>
          </w:tcPr>
          <w:p w14:paraId="3F2DC5A6">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1"/>
              </w:rPr>
              <w:t>纯水溶解</w:t>
            </w:r>
            <w:r>
              <w:rPr>
                <w:rFonts w:hint="default" w:ascii="Times New Roman" w:hAnsi="Times New Roman" w:cs="Times New Roman"/>
                <w:szCs w:val="24"/>
              </w:rPr>
              <w:t>，无水碳酸钠 99.8%，105.99 g/mol</w:t>
            </w:r>
          </w:p>
        </w:tc>
      </w:tr>
      <w:tr w14:paraId="14C3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176" w:type="dxa"/>
            <w:noWrap w:val="0"/>
            <w:vAlign w:val="center"/>
          </w:tcPr>
          <w:p w14:paraId="0AB7EB6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20 mM焦磷酸钠溶液</w:t>
            </w:r>
          </w:p>
        </w:tc>
        <w:tc>
          <w:tcPr>
            <w:tcW w:w="3673" w:type="dxa"/>
            <w:noWrap w:val="0"/>
            <w:vAlign w:val="center"/>
          </w:tcPr>
          <w:p w14:paraId="24E5DB3C">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纯水溶解，</w:t>
            </w:r>
            <w:r>
              <w:rPr>
                <w:rFonts w:hint="default" w:ascii="Times New Roman" w:hAnsi="Times New Roman" w:cs="Times New Roman"/>
                <w:sz w:val="21"/>
                <w:szCs w:val="21"/>
                <w:lang w:val="en-US" w:eastAsia="zh-CN"/>
              </w:rPr>
              <w:t>十水</w:t>
            </w:r>
            <w:r>
              <w:rPr>
                <w:rFonts w:hint="default" w:ascii="Times New Roman" w:hAnsi="Times New Roman" w:cs="Times New Roman"/>
                <w:sz w:val="21"/>
                <w:szCs w:val="21"/>
              </w:rPr>
              <w:t>焦磷酸钠</w:t>
            </w:r>
            <w:r>
              <w:rPr>
                <w:rFonts w:hint="default" w:ascii="Times New Roman" w:hAnsi="Times New Roman" w:cs="Times New Roman"/>
                <w:sz w:val="21"/>
                <w:szCs w:val="21"/>
                <w:lang w:val="en-US" w:eastAsia="zh-CN"/>
              </w:rPr>
              <w:t>，sigma</w:t>
            </w:r>
          </w:p>
        </w:tc>
        <w:tc>
          <w:tcPr>
            <w:tcW w:w="3673" w:type="dxa"/>
            <w:shd w:val="clear" w:color="auto" w:fill="auto"/>
            <w:noWrap w:val="0"/>
            <w:vAlign w:val="center"/>
          </w:tcPr>
          <w:p w14:paraId="247BBFE3">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2"/>
                <w:lang w:val="en-US" w:eastAsia="zh-CN" w:bidi="ar-SA"/>
              </w:rPr>
            </w:pPr>
            <w:r>
              <w:rPr>
                <w:rFonts w:hint="default" w:ascii="Times New Roman" w:hAnsi="Times New Roman" w:cs="Times New Roman"/>
                <w:szCs w:val="21"/>
              </w:rPr>
              <w:t>纯水溶解，焦磷酸钠 ≥99%，265.9</w:t>
            </w:r>
            <w:r>
              <w:rPr>
                <w:rFonts w:hint="default" w:ascii="Times New Roman" w:hAnsi="Times New Roman" w:cs="Times New Roman"/>
                <w:szCs w:val="24"/>
              </w:rPr>
              <w:t xml:space="preserve"> g/mol</w:t>
            </w:r>
          </w:p>
        </w:tc>
      </w:tr>
      <w:tr w14:paraId="13F00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176" w:type="dxa"/>
            <w:noWrap w:val="0"/>
            <w:vAlign w:val="center"/>
          </w:tcPr>
          <w:p w14:paraId="632F4B3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稀释液</w:t>
            </w:r>
            <w:r>
              <w:rPr>
                <w:rFonts w:hint="default" w:ascii="Times New Roman" w:hAnsi="Times New Roman" w:cs="Times New Roman"/>
                <w:sz w:val="21"/>
                <w:szCs w:val="21"/>
                <w:lang w:val="en-US" w:eastAsia="zh-CN"/>
              </w:rPr>
              <w:t>A</w:t>
            </w:r>
          </w:p>
        </w:tc>
        <w:tc>
          <w:tcPr>
            <w:tcW w:w="3673" w:type="dxa"/>
            <w:noWrap w:val="0"/>
            <w:vAlign w:val="center"/>
          </w:tcPr>
          <w:p w14:paraId="2BAEC94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subscript"/>
              </w:rPr>
            </w:pPr>
            <w:r>
              <w:rPr>
                <w:rFonts w:hint="default" w:ascii="Times New Roman" w:hAnsi="Times New Roman" w:cs="Times New Roman"/>
                <w:sz w:val="21"/>
                <w:szCs w:val="21"/>
              </w:rPr>
              <w:t>0.9%(w/v) NaCl+5 mM MgCl</w:t>
            </w:r>
            <w:r>
              <w:rPr>
                <w:rFonts w:hint="default" w:ascii="Times New Roman" w:hAnsi="Times New Roman" w:cs="Times New Roman"/>
                <w:sz w:val="21"/>
                <w:szCs w:val="21"/>
                <w:vertAlign w:val="subscript"/>
              </w:rPr>
              <w:t>2</w:t>
            </w:r>
          </w:p>
          <w:p w14:paraId="75F28B2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NaCl，国药试剂</w:t>
            </w:r>
          </w:p>
          <w:p w14:paraId="0D73927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subscript"/>
                <w:lang w:val="en-US"/>
              </w:rPr>
            </w:pPr>
            <w:r>
              <w:rPr>
                <w:rFonts w:hint="default" w:ascii="Times New Roman" w:hAnsi="Times New Roman" w:cs="Times New Roman"/>
                <w:sz w:val="21"/>
                <w:szCs w:val="21"/>
                <w:lang w:val="en-US" w:eastAsia="zh-CN"/>
              </w:rPr>
              <w:t>MgCl</w:t>
            </w:r>
            <w:r>
              <w:rPr>
                <w:rFonts w:hint="default" w:ascii="Times New Roman" w:hAnsi="Times New Roman" w:cs="Times New Roman"/>
                <w:sz w:val="21"/>
                <w:szCs w:val="21"/>
                <w:vertAlign w:val="subscript"/>
                <w:lang w:val="en-US" w:eastAsia="zh-CN"/>
              </w:rPr>
              <w:t>2，</w:t>
            </w:r>
            <w:r>
              <w:rPr>
                <w:rFonts w:hint="default" w:ascii="Times New Roman" w:hAnsi="Times New Roman" w:cs="Times New Roman"/>
                <w:sz w:val="21"/>
                <w:szCs w:val="21"/>
                <w:vertAlign w:val="baseline"/>
                <w:lang w:val="en-US" w:eastAsia="zh-CN"/>
              </w:rPr>
              <w:t>sigma</w:t>
            </w:r>
          </w:p>
        </w:tc>
        <w:tc>
          <w:tcPr>
            <w:tcW w:w="3673" w:type="dxa"/>
            <w:shd w:val="clear" w:color="auto" w:fill="auto"/>
            <w:noWrap w:val="0"/>
            <w:vAlign w:val="center"/>
          </w:tcPr>
          <w:p w14:paraId="173E3E71">
            <w:pPr>
              <w:keepNext w:val="0"/>
              <w:keepLines w:val="0"/>
              <w:suppressLineNumbers w:val="0"/>
              <w:spacing w:before="0" w:beforeAutospacing="0" w:after="0" w:afterAutospacing="0" w:line="240" w:lineRule="auto"/>
              <w:ind w:left="0" w:right="0"/>
              <w:rPr>
                <w:rFonts w:hint="default" w:ascii="Times New Roman" w:hAnsi="Times New Roman" w:cs="Times New Roman"/>
                <w:vertAlign w:val="subscript"/>
              </w:rPr>
            </w:pPr>
            <w:r>
              <w:rPr>
                <w:rFonts w:hint="default" w:ascii="Times New Roman" w:hAnsi="Times New Roman" w:cs="Times New Roman"/>
              </w:rPr>
              <w:t>0.9%(w/v) NaCl+5 mM MgCl</w:t>
            </w:r>
            <w:r>
              <w:rPr>
                <w:rFonts w:hint="default" w:ascii="Times New Roman" w:hAnsi="Times New Roman" w:cs="Times New Roman"/>
                <w:vertAlign w:val="subscript"/>
              </w:rPr>
              <w:t>2</w:t>
            </w:r>
          </w:p>
          <w:p w14:paraId="5FDCF42B">
            <w:pPr>
              <w:keepNext w:val="0"/>
              <w:keepLines w:val="0"/>
              <w:suppressLineNumbers w:val="0"/>
              <w:spacing w:before="0" w:beforeAutospacing="0" w:after="0" w:afterAutospacing="0" w:line="240" w:lineRule="auto"/>
              <w:ind w:left="0" w:right="0"/>
              <w:rPr>
                <w:rFonts w:hint="default" w:ascii="Times New Roman" w:hAnsi="Times New Roman" w:cs="Times New Roman"/>
                <w:szCs w:val="24"/>
              </w:rPr>
            </w:pPr>
            <w:r>
              <w:rPr>
                <w:rFonts w:hint="default" w:ascii="Times New Roman" w:hAnsi="Times New Roman" w:cs="Times New Roman"/>
                <w:szCs w:val="24"/>
              </w:rPr>
              <w:t xml:space="preserve">NaCl </w:t>
            </w:r>
            <w:r>
              <w:rPr>
                <w:rFonts w:hint="default" w:ascii="Times New Roman" w:hAnsi="Times New Roman" w:cs="Times New Roman"/>
                <w:szCs w:val="21"/>
              </w:rPr>
              <w:t>≥</w:t>
            </w:r>
            <w:r>
              <w:rPr>
                <w:rFonts w:hint="default" w:ascii="Times New Roman" w:hAnsi="Times New Roman" w:cs="Times New Roman"/>
                <w:szCs w:val="24"/>
              </w:rPr>
              <w:t>99.8%，58.44 g/mol</w:t>
            </w:r>
          </w:p>
          <w:p w14:paraId="2D05259C">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2"/>
                <w:vertAlign w:val="subscript"/>
                <w:lang w:val="en-US" w:eastAsia="zh-CN" w:bidi="ar-SA"/>
              </w:rPr>
            </w:pPr>
            <w:r>
              <w:rPr>
                <w:rFonts w:hint="default" w:ascii="Times New Roman" w:hAnsi="Times New Roman" w:cs="Times New Roman"/>
                <w:szCs w:val="24"/>
              </w:rPr>
              <w:t>MgCl</w:t>
            </w:r>
            <w:r>
              <w:rPr>
                <w:rFonts w:hint="default" w:ascii="Times New Roman" w:hAnsi="Times New Roman" w:cs="Times New Roman"/>
                <w:szCs w:val="24"/>
                <w:vertAlign w:val="subscript"/>
              </w:rPr>
              <w:t>2</w:t>
            </w:r>
            <w:r>
              <w:rPr>
                <w:rFonts w:hint="default" w:ascii="Times New Roman" w:hAnsi="Times New Roman" w:cs="Times New Roman"/>
                <w:szCs w:val="24"/>
              </w:rPr>
              <w:t>·6H</w:t>
            </w:r>
            <w:r>
              <w:rPr>
                <w:rFonts w:hint="default" w:ascii="Times New Roman" w:hAnsi="Times New Roman" w:cs="Times New Roman"/>
                <w:szCs w:val="24"/>
                <w:vertAlign w:val="subscript"/>
              </w:rPr>
              <w:t>2</w:t>
            </w:r>
            <w:r>
              <w:rPr>
                <w:rFonts w:hint="default" w:ascii="Times New Roman" w:hAnsi="Times New Roman" w:cs="Times New Roman"/>
                <w:szCs w:val="24"/>
              </w:rPr>
              <w:t xml:space="preserve">O </w:t>
            </w:r>
            <w:r>
              <w:rPr>
                <w:rFonts w:hint="default" w:ascii="Times New Roman" w:hAnsi="Times New Roman" w:cs="Times New Roman"/>
                <w:szCs w:val="21"/>
              </w:rPr>
              <w:t>≥98.0</w:t>
            </w:r>
            <w:r>
              <w:rPr>
                <w:rFonts w:hint="default" w:ascii="Times New Roman" w:hAnsi="Times New Roman" w:cs="Times New Roman"/>
                <w:szCs w:val="24"/>
              </w:rPr>
              <w:t>%，203.3 g/mol</w:t>
            </w:r>
          </w:p>
        </w:tc>
      </w:tr>
      <w:tr w14:paraId="5BF6D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176" w:type="dxa"/>
            <w:noWrap w:val="0"/>
            <w:vAlign w:val="center"/>
          </w:tcPr>
          <w:p w14:paraId="6638C22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rPr>
              <w:t>稀释液</w:t>
            </w:r>
            <w:r>
              <w:rPr>
                <w:rFonts w:hint="default" w:ascii="Times New Roman" w:hAnsi="Times New Roman" w:cs="Times New Roman"/>
                <w:sz w:val="21"/>
                <w:szCs w:val="21"/>
                <w:lang w:val="en-US" w:eastAsia="zh-CN"/>
              </w:rPr>
              <w:t>B</w:t>
            </w:r>
          </w:p>
        </w:tc>
        <w:tc>
          <w:tcPr>
            <w:tcW w:w="3673" w:type="dxa"/>
            <w:noWrap w:val="0"/>
            <w:vAlign w:val="center"/>
          </w:tcPr>
          <w:p w14:paraId="54C5C68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highlight w:val="none"/>
                <w:vertAlign w:val="subscript"/>
                <w:lang w:val="en-US" w:eastAsia="zh-CN"/>
              </w:rPr>
            </w:pPr>
            <w:r>
              <w:rPr>
                <w:rFonts w:hint="default" w:ascii="Times New Roman" w:hAnsi="Times New Roman" w:cs="Times New Roman"/>
                <w:sz w:val="21"/>
                <w:szCs w:val="21"/>
                <w:highlight w:val="none"/>
              </w:rPr>
              <w:t>1.25%葡萄糖 + 0.225%(w/v) NaCl + 1.25 mM MgCl</w:t>
            </w:r>
            <w:r>
              <w:rPr>
                <w:rFonts w:hint="default" w:ascii="Times New Roman" w:hAnsi="Times New Roman" w:cs="Times New Roman"/>
                <w:sz w:val="21"/>
                <w:szCs w:val="21"/>
                <w:highlight w:val="none"/>
                <w:vertAlign w:val="subscript"/>
                <w:lang w:val="en-US" w:eastAsia="zh-CN"/>
              </w:rPr>
              <w:t>2</w:t>
            </w:r>
          </w:p>
          <w:p w14:paraId="6CCB8C09">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highlight w:val="none"/>
                <w:vertAlign w:val="subscript"/>
                <w:lang w:val="en-US" w:eastAsia="zh-CN"/>
              </w:rPr>
            </w:pPr>
            <w:r>
              <w:rPr>
                <w:rFonts w:hint="default" w:ascii="Times New Roman" w:hAnsi="Times New Roman" w:cs="Times New Roman"/>
                <w:sz w:val="21"/>
                <w:szCs w:val="21"/>
                <w:highlight w:val="none"/>
              </w:rPr>
              <w:t>5%葡萄糖溶液</w:t>
            </w:r>
            <w:r>
              <w:rPr>
                <w:rFonts w:hint="default" w:ascii="Times New Roman" w:hAnsi="Times New Roman" w:cs="Times New Roman"/>
                <w:sz w:val="21"/>
                <w:szCs w:val="21"/>
                <w:highlight w:val="none"/>
                <w:lang w:eastAsia="zh-CN"/>
              </w:rPr>
              <w:t>，</w:t>
            </w:r>
            <w:r>
              <w:rPr>
                <w:rFonts w:hint="default" w:ascii="Times New Roman" w:hAnsi="Times New Roman" w:cs="Times New Roman"/>
                <w:sz w:val="21"/>
                <w:szCs w:val="21"/>
                <w:highlight w:val="none"/>
                <w:lang w:val="en-US" w:eastAsia="zh-CN"/>
              </w:rPr>
              <w:t>陕西圣奥</w:t>
            </w:r>
          </w:p>
        </w:tc>
        <w:tc>
          <w:tcPr>
            <w:tcW w:w="3673" w:type="dxa"/>
            <w:shd w:val="clear" w:color="auto" w:fill="auto"/>
            <w:noWrap w:val="0"/>
            <w:vAlign w:val="center"/>
          </w:tcPr>
          <w:p w14:paraId="2CDC739F">
            <w:pPr>
              <w:keepNext w:val="0"/>
              <w:keepLines w:val="0"/>
              <w:suppressLineNumbers w:val="0"/>
              <w:spacing w:before="0" w:beforeAutospacing="0" w:after="0" w:afterAutospacing="0" w:line="240" w:lineRule="auto"/>
              <w:ind w:left="0" w:right="0"/>
              <w:rPr>
                <w:rFonts w:hint="default" w:ascii="Times New Roman" w:hAnsi="Times New Roman" w:cs="Times New Roman"/>
                <w:szCs w:val="24"/>
                <w:vertAlign w:val="subscript"/>
              </w:rPr>
            </w:pPr>
            <w:r>
              <w:rPr>
                <w:rFonts w:hint="default" w:ascii="Times New Roman" w:hAnsi="Times New Roman" w:cs="Times New Roman"/>
                <w:szCs w:val="24"/>
              </w:rPr>
              <w:t>1.25%葡萄糖 + 0.225%</w:t>
            </w:r>
            <w:r>
              <w:rPr>
                <w:rFonts w:hint="default" w:ascii="Times New Roman" w:hAnsi="Times New Roman" w:cs="Times New Roman"/>
              </w:rPr>
              <w:t>(w/v)</w:t>
            </w:r>
            <w:r>
              <w:rPr>
                <w:rFonts w:hint="default" w:ascii="Times New Roman" w:hAnsi="Times New Roman" w:cs="Times New Roman"/>
                <w:szCs w:val="24"/>
              </w:rPr>
              <w:t xml:space="preserve"> NaCl + 1.25 mM MgCl</w:t>
            </w:r>
            <w:r>
              <w:rPr>
                <w:rFonts w:hint="default" w:ascii="Times New Roman" w:hAnsi="Times New Roman" w:cs="Times New Roman"/>
                <w:szCs w:val="24"/>
                <w:vertAlign w:val="subscript"/>
              </w:rPr>
              <w:t>2</w:t>
            </w:r>
          </w:p>
          <w:p w14:paraId="5CFA5629">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4"/>
                <w:vertAlign w:val="subscript"/>
                <w:lang w:val="en-US" w:eastAsia="zh-CN" w:bidi="ar-SA"/>
              </w:rPr>
            </w:pPr>
            <w:r>
              <w:rPr>
                <w:rFonts w:hint="default" w:ascii="Times New Roman" w:hAnsi="Times New Roman" w:cs="Times New Roman"/>
                <w:szCs w:val="24"/>
              </w:rPr>
              <w:t>5%葡萄糖溶液</w:t>
            </w:r>
          </w:p>
        </w:tc>
      </w:tr>
      <w:tr w14:paraId="52F0B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noWrap w:val="0"/>
            <w:vAlign w:val="center"/>
          </w:tcPr>
          <w:p w14:paraId="0B73F75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福林酚试剂</w:t>
            </w:r>
          </w:p>
        </w:tc>
        <w:tc>
          <w:tcPr>
            <w:tcW w:w="3673" w:type="dxa"/>
            <w:noWrap w:val="0"/>
            <w:vAlign w:val="center"/>
          </w:tcPr>
          <w:p w14:paraId="13D25CC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rPr>
              <w:t>商品化试剂</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麦克林</w:t>
            </w:r>
          </w:p>
        </w:tc>
        <w:tc>
          <w:tcPr>
            <w:tcW w:w="3673" w:type="dxa"/>
            <w:shd w:val="clear" w:color="auto" w:fill="auto"/>
            <w:noWrap w:val="0"/>
            <w:vAlign w:val="center"/>
          </w:tcPr>
          <w:p w14:paraId="0880B711">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商品化试剂（2N，用前稀释1倍）</w:t>
            </w:r>
          </w:p>
        </w:tc>
      </w:tr>
      <w:tr w14:paraId="2F445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noWrap w:val="0"/>
            <w:vAlign w:val="center"/>
          </w:tcPr>
          <w:p w14:paraId="5D45AA62">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rPr>
              <w:t>离心机</w:t>
            </w:r>
          </w:p>
        </w:tc>
        <w:tc>
          <w:tcPr>
            <w:tcW w:w="3673" w:type="dxa"/>
            <w:noWrap w:val="0"/>
            <w:vAlign w:val="center"/>
          </w:tcPr>
          <w:p w14:paraId="6BBDE69C">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rPr>
              <w:t>型号：</w:t>
            </w:r>
            <w:r>
              <w:rPr>
                <w:rFonts w:hint="default" w:ascii="Times New Roman" w:hAnsi="Times New Roman" w:cs="Times New Roman"/>
                <w:sz w:val="21"/>
                <w:szCs w:val="21"/>
                <w:lang w:val="en-US" w:eastAsia="zh-CN"/>
              </w:rPr>
              <w:t>eppendorf Centrifuge 5425R</w:t>
            </w:r>
          </w:p>
        </w:tc>
        <w:tc>
          <w:tcPr>
            <w:tcW w:w="3673" w:type="dxa"/>
            <w:shd w:val="clear" w:color="auto" w:fill="auto"/>
            <w:noWrap w:val="0"/>
            <w:vAlign w:val="center"/>
          </w:tcPr>
          <w:p w14:paraId="2C8A57A7">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品牌：美瑞克，型号：</w:t>
            </w:r>
            <w:r>
              <w:rPr>
                <w:rFonts w:hint="default" w:ascii="Times New Roman" w:hAnsi="Times New Roman" w:cs="Times New Roman"/>
                <w:kern w:val="0"/>
                <w:szCs w:val="18"/>
              </w:rPr>
              <w:t>MH1650R</w:t>
            </w:r>
            <w:r>
              <w:rPr>
                <w:rFonts w:hint="default" w:ascii="Times New Roman" w:hAnsi="Times New Roman" w:cs="Times New Roman"/>
                <w:kern w:val="0"/>
                <w:szCs w:val="24"/>
              </w:rPr>
              <w:t>，控温精度：±1℃</w:t>
            </w:r>
          </w:p>
        </w:tc>
      </w:tr>
      <w:tr w14:paraId="3DE22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1176" w:type="dxa"/>
            <w:noWrap w:val="0"/>
            <w:vAlign w:val="center"/>
          </w:tcPr>
          <w:p w14:paraId="61D133A4">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rPr>
              <w:t>超滤离心管</w:t>
            </w:r>
          </w:p>
        </w:tc>
        <w:tc>
          <w:tcPr>
            <w:tcW w:w="3673" w:type="dxa"/>
            <w:noWrap w:val="0"/>
            <w:vAlign w:val="center"/>
          </w:tcPr>
          <w:p w14:paraId="4E842CD9">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rPr>
              <w:t>规格：</w:t>
            </w:r>
            <w:r>
              <w:rPr>
                <w:rFonts w:hint="default" w:ascii="Times New Roman" w:hAnsi="Times New Roman" w:cs="Times New Roman"/>
                <w:sz w:val="21"/>
                <w:szCs w:val="21"/>
                <w:lang w:val="en-US" w:eastAsia="zh-CN"/>
              </w:rPr>
              <w:t>0.5</w:t>
            </w:r>
            <w:r>
              <w:rPr>
                <w:rFonts w:hint="default" w:ascii="Times New Roman" w:hAnsi="Times New Roman" w:cs="Times New Roman"/>
                <w:sz w:val="21"/>
                <w:szCs w:val="21"/>
              </w:rPr>
              <w:t xml:space="preserve"> ml，MWCO：</w:t>
            </w:r>
            <w:r>
              <w:rPr>
                <w:rFonts w:hint="default" w:ascii="Times New Roman" w:hAnsi="Times New Roman" w:cs="Times New Roman"/>
                <w:sz w:val="21"/>
                <w:szCs w:val="21"/>
                <w:lang w:val="en-US" w:eastAsia="zh-CN"/>
              </w:rPr>
              <w:t>30</w:t>
            </w:r>
            <w:r>
              <w:rPr>
                <w:rFonts w:hint="default" w:ascii="Times New Roman" w:hAnsi="Times New Roman" w:cs="Times New Roman"/>
                <w:sz w:val="21"/>
                <w:szCs w:val="21"/>
              </w:rPr>
              <w:t xml:space="preserve"> kDa，材质：UFC803096，品牌：Merck millipore</w:t>
            </w:r>
          </w:p>
        </w:tc>
        <w:tc>
          <w:tcPr>
            <w:tcW w:w="3673" w:type="dxa"/>
            <w:shd w:val="clear" w:color="auto" w:fill="auto"/>
            <w:noWrap w:val="0"/>
            <w:vAlign w:val="center"/>
          </w:tcPr>
          <w:p w14:paraId="78219C93">
            <w:pPr>
              <w:keepNext w:val="0"/>
              <w:keepLines w:val="0"/>
              <w:suppressLineNumbers w:val="0"/>
              <w:spacing w:before="0" w:beforeAutospacing="0" w:after="0" w:afterAutospacing="0" w:line="240" w:lineRule="auto"/>
              <w:ind w:left="0" w:right="0"/>
              <w:rPr>
                <w:rFonts w:hint="default" w:ascii="Times New Roman" w:hAnsi="Times New Roman" w:cs="Times New Roman"/>
                <w:szCs w:val="24"/>
              </w:rPr>
            </w:pPr>
            <w:r>
              <w:rPr>
                <w:rFonts w:hint="default" w:ascii="Times New Roman" w:hAnsi="Times New Roman" w:cs="Times New Roman"/>
                <w:szCs w:val="24"/>
              </w:rPr>
              <w:t>规格：0.5 ml，MWCO：30 kDa，</w:t>
            </w:r>
          </w:p>
          <w:p w14:paraId="3EC73AA9">
            <w:pPr>
              <w:keepNext w:val="0"/>
              <w:keepLines w:val="0"/>
              <w:suppressLineNumbers w:val="0"/>
              <w:spacing w:before="0" w:beforeAutospacing="0" w:after="0" w:afterAutospacing="0" w:line="240" w:lineRule="auto"/>
              <w:ind w:left="0" w:right="0"/>
              <w:rPr>
                <w:rFonts w:hint="default" w:ascii="Times New Roman" w:hAnsi="Times New Roman" w:cs="Times New Roman"/>
                <w:szCs w:val="24"/>
              </w:rPr>
            </w:pPr>
            <w:r>
              <w:rPr>
                <w:rFonts w:hint="default" w:ascii="Times New Roman" w:hAnsi="Times New Roman" w:cs="Times New Roman"/>
                <w:szCs w:val="24"/>
              </w:rPr>
              <w:t>品牌：</w:t>
            </w:r>
            <w:r>
              <w:rPr>
                <w:rFonts w:hint="default" w:ascii="Times New Roman" w:hAnsi="Times New Roman" w:cs="Times New Roman"/>
              </w:rPr>
              <w:t>Merck Amicon</w:t>
            </w:r>
            <w:r>
              <w:rPr>
                <w:rFonts w:hint="default" w:ascii="Times New Roman" w:hAnsi="Times New Roman" w:cs="Times New Roman"/>
                <w:szCs w:val="24"/>
              </w:rPr>
              <w:t>® Ultra-0.5mL</w:t>
            </w:r>
            <w:r>
              <w:rPr>
                <w:rFonts w:hint="default" w:ascii="Times New Roman" w:hAnsi="Times New Roman" w:cs="Times New Roman"/>
              </w:rPr>
              <w:t>，货号</w:t>
            </w:r>
            <w:r>
              <w:rPr>
                <w:rFonts w:hint="default" w:ascii="Times New Roman" w:hAnsi="Times New Roman" w:cs="Times New Roman"/>
                <w:szCs w:val="24"/>
              </w:rPr>
              <w:t>：</w:t>
            </w:r>
            <w:r>
              <w:rPr>
                <w:rFonts w:hint="default" w:ascii="Times New Roman" w:hAnsi="Times New Roman" w:cs="Times New Roman"/>
              </w:rPr>
              <w:t>UFC503024</w:t>
            </w:r>
            <w:r>
              <w:rPr>
                <w:rFonts w:hint="default" w:ascii="Times New Roman" w:hAnsi="Times New Roman" w:cs="Times New Roman"/>
                <w:szCs w:val="24"/>
              </w:rPr>
              <w:t>，</w:t>
            </w:r>
          </w:p>
          <w:p w14:paraId="3CAB592C">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品牌：PALL，货号：0D030C34</w:t>
            </w:r>
          </w:p>
        </w:tc>
      </w:tr>
      <w:tr w14:paraId="654A3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noWrap w:val="0"/>
            <w:vAlign w:val="center"/>
          </w:tcPr>
          <w:p w14:paraId="7DEFA8D7">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rPr>
              <w:t>紫外分光光度计</w:t>
            </w:r>
          </w:p>
        </w:tc>
        <w:tc>
          <w:tcPr>
            <w:tcW w:w="3673" w:type="dxa"/>
            <w:noWrap w:val="0"/>
            <w:vAlign w:val="center"/>
          </w:tcPr>
          <w:p w14:paraId="0F8ED4ED">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kern w:val="0"/>
                <w:sz w:val="21"/>
                <w:szCs w:val="21"/>
              </w:rPr>
              <w:t>型号：UV-2600型，岛津</w:t>
            </w:r>
          </w:p>
        </w:tc>
        <w:tc>
          <w:tcPr>
            <w:tcW w:w="3673" w:type="dxa"/>
            <w:shd w:val="clear" w:color="auto" w:fill="auto"/>
            <w:noWrap w:val="0"/>
            <w:vAlign w:val="center"/>
          </w:tcPr>
          <w:p w14:paraId="57BC4A07">
            <w:pPr>
              <w:keepNext w:val="0"/>
              <w:keepLines w:val="0"/>
              <w:suppressLineNumbers w:val="0"/>
              <w:spacing w:before="0" w:beforeAutospacing="0" w:after="0" w:afterAutospacing="0" w:line="240" w:lineRule="auto"/>
              <w:ind w:left="0" w:right="0"/>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kern w:val="0"/>
                <w:szCs w:val="24"/>
              </w:rPr>
              <w:t>品牌：Thermo，型号：Evolution 300</w:t>
            </w:r>
          </w:p>
        </w:tc>
      </w:tr>
    </w:tbl>
    <w:p w14:paraId="499BDB15">
      <w:pPr>
        <w:spacing w:line="360" w:lineRule="auto"/>
        <w:ind w:firstLine="0"/>
        <w:rPr>
          <w:rFonts w:hint="default" w:ascii="Times New Roman" w:hAnsi="Times New Roman" w:cs="Times New Roman"/>
          <w:sz w:val="24"/>
          <w:szCs w:val="24"/>
        </w:rPr>
      </w:pPr>
    </w:p>
    <w:p w14:paraId="6FAF0378">
      <w:pPr>
        <w:pStyle w:val="53"/>
        <w:spacing w:line="360" w:lineRule="auto"/>
        <w:outlineLvl w:val="2"/>
        <w:rPr>
          <w:rFonts w:hint="default" w:ascii="Times New Roman" w:hAnsi="Times New Roman" w:cs="Times New Roman"/>
          <w:sz w:val="24"/>
          <w:szCs w:val="24"/>
        </w:rPr>
      </w:pPr>
      <w:bookmarkStart w:id="56" w:name="_Toc22854"/>
      <w:bookmarkStart w:id="57" w:name="_Toc14315"/>
      <w:r>
        <w:rPr>
          <w:rFonts w:hint="default" w:ascii="Times New Roman" w:hAnsi="Times New Roman" w:cs="Times New Roman"/>
          <w:sz w:val="24"/>
          <w:szCs w:val="24"/>
        </w:rPr>
        <w:t>3.4.2 试验过程</w:t>
      </w:r>
      <w:bookmarkEnd w:id="56"/>
      <w:bookmarkEnd w:id="57"/>
    </w:p>
    <w:p w14:paraId="1D96BBF2">
      <w:pPr>
        <w:pStyle w:val="53"/>
        <w:spacing w:line="360" w:lineRule="auto"/>
        <w:rPr>
          <w:rFonts w:hint="default" w:ascii="Times New Roman" w:hAnsi="Times New Roman" w:eastAsia="宋体" w:cs="Times New Roman"/>
          <w:sz w:val="24"/>
          <w:szCs w:val="24"/>
          <w:lang w:val="en-US" w:eastAsia="zh-CN"/>
        </w:rPr>
      </w:pPr>
      <w:bookmarkStart w:id="58" w:name="_Toc24651"/>
      <w:r>
        <w:rPr>
          <w:rFonts w:hint="default" w:ascii="Times New Roman" w:hAnsi="Times New Roman" w:cs="Times New Roman"/>
          <w:sz w:val="24"/>
          <w:szCs w:val="24"/>
        </w:rPr>
        <w:t>3.4.2.</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 xml:space="preserve"> 样品</w:t>
      </w:r>
      <w:r>
        <w:rPr>
          <w:rFonts w:hint="default" w:ascii="Times New Roman" w:hAnsi="Times New Roman" w:cs="Times New Roman"/>
          <w:sz w:val="24"/>
          <w:szCs w:val="24"/>
          <w:lang w:eastAsia="zh-CN"/>
        </w:rPr>
        <w:t>准备</w:t>
      </w:r>
      <w:bookmarkEnd w:id="58"/>
    </w:p>
    <w:p w14:paraId="40B30F14">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a) </w:t>
      </w:r>
      <w:r>
        <w:rPr>
          <w:rFonts w:hint="default" w:ascii="Times New Roman" w:hAnsi="Times New Roman" w:cs="Times New Roman"/>
          <w:sz w:val="24"/>
          <w:szCs w:val="24"/>
          <w:lang w:val="en-US" w:eastAsia="zh-CN"/>
        </w:rPr>
        <w:t>配制</w:t>
      </w:r>
      <w:r>
        <w:rPr>
          <w:rFonts w:hint="default" w:ascii="Times New Roman" w:hAnsi="Times New Roman" w:cs="Times New Roman"/>
          <w:sz w:val="24"/>
          <w:szCs w:val="24"/>
        </w:rPr>
        <w:t>0.94 mol/L碳酸钠溶液</w:t>
      </w:r>
      <w:r>
        <w:rPr>
          <w:rFonts w:hint="default" w:ascii="Times New Roman" w:hAnsi="Times New Roman" w:cs="Times New Roman"/>
          <w:sz w:val="24"/>
          <w:szCs w:val="24"/>
          <w:lang w:eastAsia="zh-CN"/>
        </w:rPr>
        <w:t>：精确称</w:t>
      </w:r>
      <w:r>
        <w:rPr>
          <w:rFonts w:hint="default" w:ascii="Times New Roman" w:hAnsi="Times New Roman" w:cs="Times New Roman"/>
          <w:sz w:val="24"/>
          <w:szCs w:val="24"/>
        </w:rPr>
        <w:t>取</w:t>
      </w:r>
      <w:r>
        <w:rPr>
          <w:rFonts w:hint="default" w:ascii="Times New Roman" w:hAnsi="Times New Roman" w:cs="Times New Roman"/>
          <w:sz w:val="24"/>
          <w:szCs w:val="24"/>
          <w:lang w:val="en-US" w:eastAsia="zh-CN"/>
        </w:rPr>
        <w:t>NaCO</w:t>
      </w:r>
      <w:r>
        <w:rPr>
          <w:rFonts w:hint="default" w:ascii="Times New Roman" w:hAnsi="Times New Roman" w:cs="Times New Roman"/>
          <w:sz w:val="24"/>
          <w:szCs w:val="24"/>
          <w:vertAlign w:val="subscript"/>
          <w:lang w:val="en-US" w:eastAsia="zh-CN"/>
        </w:rPr>
        <w:t>3</w:t>
      </w:r>
      <w:r>
        <w:rPr>
          <w:rFonts w:hint="default" w:ascii="Times New Roman" w:hAnsi="Times New Roman" w:cs="Times New Roman"/>
          <w:sz w:val="24"/>
          <w:szCs w:val="24"/>
          <w:lang w:val="en-US" w:eastAsia="zh-CN"/>
        </w:rPr>
        <w:t xml:space="preserve"> 4.982 g，超纯水定容到50 mL；</w:t>
      </w:r>
    </w:p>
    <w:p w14:paraId="4D3F59CE">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配制0.020</w:t>
      </w:r>
      <w:r>
        <w:rPr>
          <w:rFonts w:hint="default" w:ascii="Times New Roman" w:hAnsi="Times New Roman" w:cs="Times New Roman"/>
          <w:sz w:val="24"/>
          <w:szCs w:val="24"/>
        </w:rPr>
        <w:t xml:space="preserve"> mol/L</w:t>
      </w:r>
      <w:r>
        <w:rPr>
          <w:rFonts w:hint="default" w:ascii="Times New Roman" w:hAnsi="Times New Roman" w:cs="Times New Roman"/>
          <w:sz w:val="24"/>
          <w:szCs w:val="24"/>
          <w:lang w:eastAsia="zh-CN"/>
        </w:rPr>
        <w:t>焦磷酸钠</w:t>
      </w:r>
      <w:r>
        <w:rPr>
          <w:rFonts w:hint="default" w:ascii="Times New Roman" w:hAnsi="Times New Roman" w:cs="Times New Roman"/>
          <w:sz w:val="24"/>
          <w:szCs w:val="24"/>
        </w:rPr>
        <w:t>溶液</w:t>
      </w:r>
      <w:r>
        <w:rPr>
          <w:rFonts w:hint="default" w:ascii="Times New Roman" w:hAnsi="Times New Roman" w:cs="Times New Roman"/>
          <w:sz w:val="24"/>
          <w:szCs w:val="24"/>
          <w:lang w:eastAsia="zh-CN"/>
        </w:rPr>
        <w:t>：精确称</w:t>
      </w:r>
      <w:r>
        <w:rPr>
          <w:rFonts w:hint="default" w:ascii="Times New Roman" w:hAnsi="Times New Roman" w:cs="Times New Roman"/>
          <w:sz w:val="24"/>
          <w:szCs w:val="24"/>
        </w:rPr>
        <w:t>取</w:t>
      </w:r>
      <w:r>
        <w:rPr>
          <w:rFonts w:hint="default" w:ascii="Times New Roman" w:hAnsi="Times New Roman" w:cs="Times New Roman"/>
          <w:sz w:val="24"/>
          <w:szCs w:val="24"/>
          <w:lang w:val="en-US" w:eastAsia="zh-CN"/>
        </w:rPr>
        <w:t>十水Na</w:t>
      </w:r>
      <w:r>
        <w:rPr>
          <w:rFonts w:hint="default" w:ascii="Times New Roman" w:hAnsi="Times New Roman" w:cs="Times New Roman"/>
          <w:sz w:val="24"/>
          <w:szCs w:val="24"/>
          <w:vertAlign w:val="subscript"/>
          <w:lang w:val="en-US" w:eastAsia="zh-CN"/>
        </w:rPr>
        <w:t>4</w:t>
      </w:r>
      <w:r>
        <w:rPr>
          <w:rFonts w:hint="default" w:ascii="Times New Roman" w:hAnsi="Times New Roman" w:cs="Times New Roman"/>
          <w:sz w:val="24"/>
          <w:szCs w:val="24"/>
          <w:lang w:val="en-US" w:eastAsia="zh-CN"/>
        </w:rPr>
        <w:t>P</w:t>
      </w:r>
      <w:r>
        <w:rPr>
          <w:rFonts w:hint="default" w:ascii="Times New Roman" w:hAnsi="Times New Roman" w:cs="Times New Roman"/>
          <w:sz w:val="24"/>
          <w:szCs w:val="24"/>
          <w:vertAlign w:val="subscript"/>
          <w:lang w:val="en-US" w:eastAsia="zh-CN"/>
        </w:rPr>
        <w:t>2</w:t>
      </w:r>
      <w:r>
        <w:rPr>
          <w:rFonts w:hint="default" w:ascii="Times New Roman" w:hAnsi="Times New Roman" w:cs="Times New Roman"/>
          <w:sz w:val="24"/>
          <w:szCs w:val="24"/>
          <w:lang w:val="en-US" w:eastAsia="zh-CN"/>
        </w:rPr>
        <w:t>O</w:t>
      </w:r>
      <w:r>
        <w:rPr>
          <w:rFonts w:hint="default" w:ascii="Times New Roman" w:hAnsi="Times New Roman" w:cs="Times New Roman"/>
          <w:sz w:val="24"/>
          <w:szCs w:val="24"/>
          <w:vertAlign w:val="subscript"/>
          <w:lang w:val="en-US" w:eastAsia="zh-CN"/>
        </w:rPr>
        <w:t>7</w:t>
      </w:r>
      <w:r>
        <w:rPr>
          <w:rFonts w:hint="default" w:ascii="Times New Roman" w:hAnsi="Times New Roman" w:cs="Times New Roman"/>
          <w:sz w:val="24"/>
          <w:szCs w:val="24"/>
          <w:lang w:val="en-US" w:eastAsia="zh-CN"/>
        </w:rPr>
        <w:t xml:space="preserve"> 0.446 g，超纯水定容到50 mL；</w:t>
      </w:r>
    </w:p>
    <w:p w14:paraId="37D5CF62">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配制稀释液A</w:t>
      </w:r>
      <w:r>
        <w:rPr>
          <w:rFonts w:hint="default" w:ascii="Times New Roman" w:hAnsi="Times New Roman" w:cs="Times New Roman"/>
          <w:sz w:val="24"/>
          <w:szCs w:val="24"/>
          <w:lang w:eastAsia="zh-CN"/>
        </w:rPr>
        <w:t>：精确称</w:t>
      </w:r>
      <w:r>
        <w:rPr>
          <w:rFonts w:hint="default" w:ascii="Times New Roman" w:hAnsi="Times New Roman" w:cs="Times New Roman"/>
          <w:sz w:val="24"/>
          <w:szCs w:val="24"/>
        </w:rPr>
        <w:t>取</w:t>
      </w:r>
      <w:r>
        <w:rPr>
          <w:rFonts w:hint="default" w:ascii="Times New Roman" w:hAnsi="Times New Roman" w:cs="Times New Roman"/>
          <w:sz w:val="24"/>
          <w:szCs w:val="24"/>
          <w:lang w:val="en-US" w:eastAsia="zh-CN"/>
        </w:rPr>
        <w:t>NaCl 0.4500 g、MgCl</w:t>
      </w:r>
      <w:r>
        <w:rPr>
          <w:rFonts w:hint="default" w:ascii="Times New Roman" w:hAnsi="Times New Roman" w:cs="Times New Roman"/>
          <w:sz w:val="24"/>
          <w:szCs w:val="24"/>
          <w:vertAlign w:val="subscript"/>
          <w:lang w:val="en-US" w:eastAsia="zh-CN"/>
        </w:rPr>
        <w:t>2</w:t>
      </w:r>
      <w:r>
        <w:rPr>
          <w:rFonts w:hint="default" w:ascii="Times New Roman" w:hAnsi="Times New Roman" w:cs="Times New Roman"/>
          <w:sz w:val="24"/>
          <w:szCs w:val="24"/>
          <w:lang w:val="en-US" w:eastAsia="zh-CN"/>
        </w:rPr>
        <w:t>·H</w:t>
      </w:r>
      <w:r>
        <w:rPr>
          <w:rFonts w:hint="default" w:ascii="Times New Roman" w:hAnsi="Times New Roman" w:cs="Times New Roman"/>
          <w:sz w:val="24"/>
          <w:szCs w:val="24"/>
          <w:vertAlign w:val="subscript"/>
          <w:lang w:val="en-US" w:eastAsia="zh-CN"/>
        </w:rPr>
        <w:t>2</w:t>
      </w:r>
      <w:r>
        <w:rPr>
          <w:rFonts w:hint="default" w:ascii="Times New Roman" w:hAnsi="Times New Roman" w:cs="Times New Roman"/>
          <w:sz w:val="24"/>
          <w:szCs w:val="24"/>
          <w:lang w:val="en-US" w:eastAsia="zh-CN"/>
        </w:rPr>
        <w:t>O 23.8 mg，超纯水定容到50 mL；</w:t>
      </w:r>
    </w:p>
    <w:p w14:paraId="1259A021">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配制稀释液B</w:t>
      </w:r>
      <w:r>
        <w:rPr>
          <w:rFonts w:hint="default" w:ascii="Times New Roman" w:hAnsi="Times New Roman" w:cs="Times New Roman"/>
          <w:sz w:val="24"/>
          <w:szCs w:val="24"/>
          <w:lang w:eastAsia="zh-CN"/>
        </w:rPr>
        <w:t>：精确量</w:t>
      </w:r>
      <w:r>
        <w:rPr>
          <w:rFonts w:hint="default" w:ascii="Times New Roman" w:hAnsi="Times New Roman" w:cs="Times New Roman"/>
          <w:sz w:val="24"/>
          <w:szCs w:val="24"/>
        </w:rPr>
        <w:t>取</w:t>
      </w:r>
      <w:r>
        <w:rPr>
          <w:rFonts w:hint="default" w:ascii="Times New Roman" w:hAnsi="Times New Roman" w:cs="Times New Roman"/>
          <w:sz w:val="24"/>
          <w:szCs w:val="24"/>
          <w:lang w:val="en-US" w:eastAsia="zh-CN"/>
        </w:rPr>
        <w:t>5%葡萄糖12.5 mL，</w:t>
      </w:r>
      <w:r>
        <w:rPr>
          <w:rFonts w:hint="default" w:ascii="Times New Roman" w:hAnsi="Times New Roman" w:cs="Times New Roman"/>
          <w:sz w:val="24"/>
          <w:szCs w:val="24"/>
          <w:lang w:eastAsia="zh-CN"/>
        </w:rPr>
        <w:t>稀释液</w:t>
      </w:r>
      <w:r>
        <w:rPr>
          <w:rFonts w:hint="default" w:ascii="Times New Roman" w:hAnsi="Times New Roman" w:cs="Times New Roman"/>
          <w:sz w:val="24"/>
          <w:szCs w:val="24"/>
          <w:lang w:val="en-US" w:eastAsia="zh-CN"/>
        </w:rPr>
        <w:t>A 12.5 mL，超纯水定容到50 mL；</w:t>
      </w:r>
    </w:p>
    <w:p w14:paraId="7550CE51">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e</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配制</w:t>
      </w:r>
      <w:r>
        <w:rPr>
          <w:rFonts w:hint="default" w:ascii="Times New Roman" w:hAnsi="Times New Roman" w:cs="Times New Roman"/>
          <w:sz w:val="24"/>
          <w:szCs w:val="24"/>
        </w:rPr>
        <w:t>2.4 mM阿霉素</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DOX</w:t>
      </w:r>
      <w:r>
        <w:rPr>
          <w:rFonts w:hint="default" w:ascii="Times New Roman" w:hAnsi="Times New Roman" w:cs="Times New Roman"/>
          <w:sz w:val="24"/>
          <w:szCs w:val="24"/>
          <w:lang w:eastAsia="zh-CN"/>
        </w:rPr>
        <w:t>）：精确称</w:t>
      </w:r>
      <w:r>
        <w:rPr>
          <w:rFonts w:hint="default" w:ascii="Times New Roman" w:hAnsi="Times New Roman" w:cs="Times New Roman"/>
          <w:sz w:val="24"/>
          <w:szCs w:val="24"/>
        </w:rPr>
        <w:t>取盐酸阿霉素试剂</w:t>
      </w:r>
      <w:r>
        <w:rPr>
          <w:rFonts w:hint="default" w:ascii="Times New Roman" w:hAnsi="Times New Roman" w:cs="Times New Roman"/>
          <w:sz w:val="24"/>
          <w:szCs w:val="24"/>
          <w:lang w:val="en-US" w:eastAsia="zh-CN"/>
        </w:rPr>
        <w:t>，用二甲基亚砜定容到10 mL，配制10 mg/mL</w:t>
      </w:r>
      <w:r>
        <w:rPr>
          <w:rFonts w:hint="default" w:ascii="Times New Roman" w:hAnsi="Times New Roman" w:cs="Times New Roman"/>
          <w:sz w:val="24"/>
          <w:szCs w:val="24"/>
        </w:rPr>
        <w:t>阿霉素</w:t>
      </w:r>
      <w:r>
        <w:rPr>
          <w:rFonts w:hint="default" w:ascii="Times New Roman" w:hAnsi="Times New Roman" w:cs="Times New Roman"/>
          <w:sz w:val="24"/>
          <w:szCs w:val="24"/>
          <w:lang w:eastAsia="zh-CN"/>
        </w:rPr>
        <w:t>溶液</w:t>
      </w:r>
      <w:r>
        <w:rPr>
          <w:rFonts w:hint="default" w:ascii="Times New Roman" w:hAnsi="Times New Roman" w:cs="Times New Roman"/>
          <w:sz w:val="24"/>
          <w:szCs w:val="24"/>
          <w:lang w:val="en-US" w:eastAsia="zh-CN"/>
        </w:rPr>
        <w:t>。再</w:t>
      </w:r>
      <w:r>
        <w:rPr>
          <w:rFonts w:hint="default" w:ascii="Times New Roman" w:hAnsi="Times New Roman" w:cs="Times New Roman"/>
          <w:sz w:val="24"/>
          <w:szCs w:val="24"/>
        </w:rPr>
        <w:t>用稀释液A进行稀释，终浓度为2.4 mM，以阿霉素（DOX）计。</w:t>
      </w:r>
    </w:p>
    <w:p w14:paraId="150C356A">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f</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3个平行样：配制</w:t>
      </w:r>
      <w:r>
        <w:rPr>
          <w:rFonts w:hint="default" w:ascii="Times New Roman" w:hAnsi="Times New Roman" w:cs="Times New Roman"/>
          <w:sz w:val="24"/>
          <w:szCs w:val="24"/>
        </w:rPr>
        <w:t>矿化反应混合液</w:t>
      </w:r>
      <w:r>
        <w:rPr>
          <w:rFonts w:hint="default" w:ascii="Times New Roman" w:hAnsi="Times New Roman" w:cs="Times New Roman"/>
          <w:sz w:val="24"/>
          <w:szCs w:val="24"/>
          <w:lang w:eastAsia="zh-CN"/>
        </w:rPr>
        <w:t>：</w:t>
      </w:r>
      <w:r>
        <w:rPr>
          <w:rFonts w:hint="default" w:ascii="Times New Roman" w:hAnsi="Times New Roman" w:cs="Times New Roman"/>
          <w:sz w:val="24"/>
          <w:szCs w:val="24"/>
        </w:rPr>
        <w:t>将0.3 mL JQT14</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16 µM</w:t>
      </w:r>
      <w:r>
        <w:rPr>
          <w:rFonts w:hint="default" w:ascii="Times New Roman" w:hAnsi="Times New Roman" w:cs="Times New Roman"/>
          <w:sz w:val="24"/>
          <w:szCs w:val="24"/>
          <w:lang w:eastAsia="zh-CN"/>
        </w:rPr>
        <w:t>溶液</w:t>
      </w:r>
      <w:r>
        <w:rPr>
          <w:rFonts w:hint="default" w:ascii="Times New Roman" w:hAnsi="Times New Roman" w:cs="Times New Roman"/>
          <w:sz w:val="24"/>
          <w:szCs w:val="24"/>
        </w:rPr>
        <w:t>和0.3 mL阿霉素2.4 mM</w:t>
      </w:r>
      <w:r>
        <w:rPr>
          <w:rFonts w:hint="default" w:ascii="Times New Roman" w:hAnsi="Times New Roman" w:cs="Times New Roman"/>
          <w:sz w:val="24"/>
          <w:szCs w:val="24"/>
          <w:lang w:eastAsia="zh-CN"/>
        </w:rPr>
        <w:t>溶液</w:t>
      </w:r>
      <w:r>
        <w:rPr>
          <w:rFonts w:hint="default" w:ascii="Times New Roman" w:hAnsi="Times New Roman" w:cs="Times New Roman"/>
          <w:sz w:val="24"/>
          <w:szCs w:val="24"/>
        </w:rPr>
        <w:t>混合（摩尔比 JQT14:DOX = 1:150），再加入0.6 mL 5%葡萄糖溶液，在25 ℃、500 rpm条件下震荡反应2 h。将反应结束后的样品与0.6 mL 焦磷酸钠</w:t>
      </w:r>
      <w:r>
        <w:rPr>
          <w:rFonts w:hint="default" w:ascii="Times New Roman" w:hAnsi="Times New Roman" w:cs="Times New Roman"/>
          <w:sz w:val="24"/>
          <w:szCs w:val="24"/>
          <w:lang w:val="en-US" w:eastAsia="zh-CN"/>
        </w:rPr>
        <w:t>0.020</w:t>
      </w:r>
      <w:r>
        <w:rPr>
          <w:rFonts w:hint="default" w:ascii="Times New Roman" w:hAnsi="Times New Roman" w:cs="Times New Roman"/>
          <w:sz w:val="24"/>
          <w:szCs w:val="24"/>
        </w:rPr>
        <w:t xml:space="preserve"> mol/L溶液（摩尔比 Mg:Ppi = 1:4）混合，再加入0.6 mL纯水，在37 ℃静置6 h，完成样品矿化，得到矿化反应混合液。</w:t>
      </w:r>
    </w:p>
    <w:p w14:paraId="158A8EE0">
      <w:pPr>
        <w:pStyle w:val="53"/>
        <w:spacing w:line="360" w:lineRule="auto"/>
        <w:rPr>
          <w:rFonts w:hint="default" w:ascii="Times New Roman" w:hAnsi="Times New Roman" w:cs="Times New Roman"/>
          <w:sz w:val="24"/>
          <w:szCs w:val="24"/>
        </w:rPr>
      </w:pPr>
      <w:bookmarkStart w:id="59" w:name="_Toc15543"/>
      <w:r>
        <w:rPr>
          <w:rFonts w:hint="default" w:ascii="Times New Roman" w:hAnsi="Times New Roman" w:cs="Times New Roman"/>
          <w:sz w:val="24"/>
          <w:szCs w:val="24"/>
        </w:rPr>
        <w:t>3.4.2.</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 xml:space="preserve"> 标准曲线制备</w:t>
      </w:r>
      <w:bookmarkEnd w:id="59"/>
    </w:p>
    <w:p w14:paraId="4BDE76C7">
      <w:pPr>
        <w:spacing w:line="360" w:lineRule="auto"/>
        <w:ind w:firstLine="420"/>
        <w:rPr>
          <w:rFonts w:hint="default" w:ascii="Times New Roman" w:hAnsi="Times New Roman" w:cs="Times New Roman"/>
          <w:b/>
          <w:sz w:val="24"/>
          <w:szCs w:val="24"/>
        </w:rPr>
      </w:pPr>
      <w:r>
        <w:rPr>
          <w:rFonts w:hint="default" w:ascii="Times New Roman" w:hAnsi="Times New Roman" w:cs="Times New Roman"/>
          <w:sz w:val="24"/>
          <w:szCs w:val="24"/>
        </w:rPr>
        <w:t>a) 取10 mg/mL阿霉素，用稀释液</w:t>
      </w:r>
      <w:r>
        <w:rPr>
          <w:rFonts w:hint="default" w:ascii="Times New Roman" w:hAnsi="Times New Roman" w:cs="Times New Roman"/>
          <w:sz w:val="24"/>
          <w:szCs w:val="24"/>
          <w:lang w:val="en-US" w:eastAsia="zh-CN"/>
        </w:rPr>
        <w:t>B</w:t>
      </w:r>
      <w:r>
        <w:rPr>
          <w:rFonts w:hint="default" w:ascii="Times New Roman" w:hAnsi="Times New Roman" w:cs="Times New Roman"/>
          <w:sz w:val="24"/>
          <w:szCs w:val="24"/>
        </w:rPr>
        <w:t>稀释成0.1 mg/mL的阿霉素（DOX）标准液。</w:t>
      </w:r>
    </w:p>
    <w:p w14:paraId="3E89C5A3">
      <w:pPr>
        <w:spacing w:line="360" w:lineRule="auto"/>
        <w:ind w:firstLine="420"/>
        <w:rPr>
          <w:rFonts w:hint="default" w:ascii="Times New Roman" w:hAnsi="Times New Roman" w:cs="Times New Roman"/>
          <w:b/>
          <w:sz w:val="24"/>
          <w:szCs w:val="24"/>
        </w:rPr>
      </w:pPr>
      <w:r>
        <w:rPr>
          <w:rFonts w:hint="default" w:ascii="Times New Roman" w:hAnsi="Times New Roman" w:cs="Times New Roman"/>
          <w:sz w:val="24"/>
          <w:szCs w:val="24"/>
        </w:rPr>
        <w:t>b) 取7支5 mL避光管，按表1配制系列浓度标准溶液。先加入适量稀释液</w:t>
      </w:r>
      <w:r>
        <w:rPr>
          <w:rFonts w:hint="default" w:ascii="Times New Roman" w:hAnsi="Times New Roman" w:cs="Times New Roman"/>
          <w:sz w:val="24"/>
          <w:szCs w:val="24"/>
          <w:lang w:val="en-US" w:eastAsia="zh-CN"/>
        </w:rPr>
        <w:t>B</w:t>
      </w:r>
      <w:r>
        <w:rPr>
          <w:rFonts w:hint="default" w:ascii="Times New Roman" w:hAnsi="Times New Roman" w:cs="Times New Roman"/>
          <w:sz w:val="24"/>
          <w:szCs w:val="24"/>
        </w:rPr>
        <w:t>，再加入适量0.1 mg/mL DOX标准液，然后依次加入福林酚试剂200 µL、0.94 mol/L碳酸钠溶液900 µL，使总反应体系体积为2.5 mL，混匀后避光反应20 min。</w:t>
      </w:r>
    </w:p>
    <w:p w14:paraId="71939B5A">
      <w:pPr>
        <w:spacing w:line="360" w:lineRule="auto"/>
        <w:ind w:firstLine="420"/>
        <w:rPr>
          <w:rFonts w:hint="default" w:ascii="Times New Roman" w:hAnsi="Times New Roman" w:cs="Times New Roman"/>
          <w:b/>
          <w:sz w:val="24"/>
          <w:szCs w:val="24"/>
        </w:rPr>
      </w:pPr>
      <w:r>
        <w:rPr>
          <w:rFonts w:hint="default" w:ascii="Times New Roman" w:hAnsi="Times New Roman" w:cs="Times New Roman"/>
          <w:sz w:val="24"/>
          <w:szCs w:val="24"/>
        </w:rPr>
        <w:t>c) 以空白对照管作为空白样品，并在770 nm波长处测定各管吸光度。</w:t>
      </w:r>
    </w:p>
    <w:p w14:paraId="628DFE48">
      <w:pPr>
        <w:spacing w:line="360" w:lineRule="auto"/>
        <w:ind w:firstLine="420"/>
        <w:rPr>
          <w:rFonts w:hint="default" w:ascii="Times New Roman" w:hAnsi="Times New Roman" w:cs="Times New Roman"/>
          <w:sz w:val="24"/>
          <w:szCs w:val="24"/>
        </w:rPr>
      </w:pPr>
      <w:r>
        <w:rPr>
          <w:rFonts w:hint="default" w:ascii="Times New Roman" w:hAnsi="Times New Roman" w:cs="Times New Roman"/>
          <w:sz w:val="24"/>
          <w:szCs w:val="24"/>
        </w:rPr>
        <w:t>d) 以浓度（μg/mL）为横坐标，吸光度为纵坐标，绘制</w:t>
      </w:r>
      <w:r>
        <w:rPr>
          <w:rFonts w:hint="default" w:ascii="Times New Roman" w:hAnsi="Times New Roman" w:cs="Times New Roman"/>
          <w:color w:val="auto"/>
          <w:sz w:val="24"/>
          <w:szCs w:val="24"/>
        </w:rPr>
        <w:t>标准曲线</w:t>
      </w:r>
      <w:r>
        <w:rPr>
          <w:rFonts w:hint="default" w:ascii="Times New Roman" w:hAnsi="Times New Roman" w:cs="Times New Roman"/>
          <w:sz w:val="24"/>
          <w:szCs w:val="24"/>
        </w:rPr>
        <w:t>，得到回归方程。</w:t>
      </w:r>
      <w:r>
        <w:rPr>
          <w:rFonts w:hint="default" w:ascii="Times New Roman" w:hAnsi="Times New Roman" w:cs="Times New Roman"/>
          <w:sz w:val="24"/>
          <w:szCs w:val="24"/>
          <w:highlight w:val="none"/>
        </w:rPr>
        <w:t>相关系数（R</w:t>
      </w:r>
      <w:r>
        <w:rPr>
          <w:rFonts w:hint="default" w:ascii="Times New Roman" w:hAnsi="Times New Roman" w:cs="Times New Roman"/>
          <w:sz w:val="24"/>
          <w:szCs w:val="24"/>
          <w:highlight w:val="none"/>
          <w:vertAlign w:val="superscript"/>
        </w:rPr>
        <w:t>2</w:t>
      </w:r>
      <w:r>
        <w:rPr>
          <w:rFonts w:hint="default" w:ascii="Times New Roman" w:hAnsi="Times New Roman" w:cs="Times New Roman"/>
          <w:sz w:val="24"/>
          <w:szCs w:val="24"/>
          <w:highlight w:val="none"/>
        </w:rPr>
        <w:t>）应不低于</w:t>
      </w:r>
      <w:r>
        <w:rPr>
          <w:rFonts w:hint="default" w:ascii="Times New Roman" w:hAnsi="Times New Roman" w:cs="Times New Roman"/>
          <w:sz w:val="24"/>
          <w:szCs w:val="24"/>
        </w:rPr>
        <w:t>0.99</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w:t>
      </w:r>
    </w:p>
    <w:p w14:paraId="5F5E8378">
      <w:pPr>
        <w:widowControl/>
        <w:autoSpaceDE w:val="0"/>
        <w:autoSpaceDN w:val="0"/>
        <w:jc w:val="center"/>
        <w:rPr>
          <w:rFonts w:hint="default" w:ascii="Times New Roman" w:hAnsi="Times New Roman" w:cs="Times New Roman"/>
          <w:b/>
          <w:bCs/>
          <w:kern w:val="0"/>
          <w:sz w:val="21"/>
          <w:szCs w:val="21"/>
        </w:rPr>
      </w:pPr>
      <w:r>
        <w:rPr>
          <w:rFonts w:hint="default" w:ascii="Times New Roman" w:hAnsi="Times New Roman" w:cs="Times New Roman"/>
          <w:b/>
          <w:bCs/>
          <w:kern w:val="0"/>
          <w:sz w:val="21"/>
          <w:szCs w:val="21"/>
        </w:rPr>
        <w:t>表</w:t>
      </w:r>
      <w:r>
        <w:rPr>
          <w:rFonts w:hint="default" w:ascii="Times New Roman" w:hAnsi="Times New Roman" w:cs="Times New Roman"/>
          <w:b/>
          <w:bCs/>
          <w:kern w:val="0"/>
          <w:sz w:val="21"/>
          <w:szCs w:val="21"/>
          <w:lang w:val="en-US" w:eastAsia="zh-CN"/>
        </w:rPr>
        <w:t>3-4-1</w:t>
      </w:r>
      <w:r>
        <w:rPr>
          <w:rFonts w:hint="default" w:ascii="Times New Roman" w:hAnsi="Times New Roman" w:cs="Times New Roman"/>
          <w:b/>
          <w:bCs/>
          <w:kern w:val="0"/>
          <w:sz w:val="21"/>
          <w:szCs w:val="21"/>
        </w:rPr>
        <w:t xml:space="preserve"> 标准曲线制备反应体系</w:t>
      </w:r>
    </w:p>
    <w:tbl>
      <w:tblPr>
        <w:tblStyle w:val="9"/>
        <w:tblW w:w="8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9"/>
        <w:gridCol w:w="850"/>
        <w:gridCol w:w="737"/>
        <w:gridCol w:w="737"/>
        <w:gridCol w:w="737"/>
        <w:gridCol w:w="737"/>
        <w:gridCol w:w="737"/>
        <w:gridCol w:w="737"/>
      </w:tblGrid>
      <w:tr w14:paraId="2AA24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3119" w:type="dxa"/>
            <w:tcBorders>
              <w:tl2br w:val="single" w:color="auto" w:sz="4" w:space="0"/>
            </w:tcBorders>
            <w:noWrap w:val="0"/>
            <w:vAlign w:val="top"/>
          </w:tcPr>
          <w:p w14:paraId="49E73F82">
            <w:pPr>
              <w:keepNext w:val="0"/>
              <w:keepLines w:val="0"/>
              <w:suppressLineNumbers w:val="0"/>
              <w:adjustRightInd w:val="0"/>
              <w:snapToGri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 xml:space="preserve">            浓度(μg/mL)</w:t>
            </w:r>
          </w:p>
          <w:p w14:paraId="3A10823E">
            <w:pPr>
              <w:keepNext w:val="0"/>
              <w:keepLines w:val="0"/>
              <w:suppressLineNumbers w:val="0"/>
              <w:adjustRightInd w:val="0"/>
              <w:snapToGrid w:val="0"/>
              <w:spacing w:before="0" w:beforeAutospacing="0" w:after="0" w:afterAutospacing="0" w:line="460" w:lineRule="exact"/>
              <w:ind w:left="0" w:right="0" w:firstLine="210" w:firstLineChars="100"/>
              <w:rPr>
                <w:rFonts w:hint="default" w:ascii="Times New Roman" w:hAnsi="Times New Roman" w:cs="Times New Roman"/>
                <w:kern w:val="0"/>
                <w:sz w:val="21"/>
                <w:szCs w:val="21"/>
              </w:rPr>
            </w:pPr>
            <w:r>
              <w:rPr>
                <w:rFonts w:hint="default" w:ascii="Times New Roman" w:hAnsi="Times New Roman" w:cs="Times New Roman"/>
                <w:kern w:val="0"/>
                <w:sz w:val="21"/>
                <w:szCs w:val="21"/>
              </w:rPr>
              <w:t>试剂</w:t>
            </w:r>
          </w:p>
        </w:tc>
        <w:tc>
          <w:tcPr>
            <w:tcW w:w="850" w:type="dxa"/>
            <w:noWrap w:val="0"/>
            <w:vAlign w:val="top"/>
          </w:tcPr>
          <w:p w14:paraId="2B60DBFC">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空白</w:t>
            </w:r>
          </w:p>
          <w:p w14:paraId="37B813EA">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对照</w:t>
            </w:r>
          </w:p>
        </w:tc>
        <w:tc>
          <w:tcPr>
            <w:tcW w:w="737" w:type="dxa"/>
            <w:noWrap w:val="0"/>
            <w:vAlign w:val="top"/>
          </w:tcPr>
          <w:p w14:paraId="7D016BFB">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4</w:t>
            </w:r>
          </w:p>
        </w:tc>
        <w:tc>
          <w:tcPr>
            <w:tcW w:w="737" w:type="dxa"/>
            <w:noWrap w:val="0"/>
            <w:vAlign w:val="top"/>
          </w:tcPr>
          <w:p w14:paraId="21D56655">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8</w:t>
            </w:r>
          </w:p>
        </w:tc>
        <w:tc>
          <w:tcPr>
            <w:tcW w:w="737" w:type="dxa"/>
            <w:noWrap w:val="0"/>
            <w:vAlign w:val="top"/>
          </w:tcPr>
          <w:p w14:paraId="034D1D68">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12</w:t>
            </w:r>
          </w:p>
        </w:tc>
        <w:tc>
          <w:tcPr>
            <w:tcW w:w="737" w:type="dxa"/>
            <w:noWrap w:val="0"/>
            <w:vAlign w:val="top"/>
          </w:tcPr>
          <w:p w14:paraId="594F778C">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16</w:t>
            </w:r>
          </w:p>
        </w:tc>
        <w:tc>
          <w:tcPr>
            <w:tcW w:w="737" w:type="dxa"/>
            <w:noWrap w:val="0"/>
            <w:vAlign w:val="top"/>
          </w:tcPr>
          <w:p w14:paraId="3992B185">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20</w:t>
            </w:r>
          </w:p>
        </w:tc>
        <w:tc>
          <w:tcPr>
            <w:tcW w:w="737" w:type="dxa"/>
            <w:noWrap w:val="0"/>
            <w:vAlign w:val="top"/>
          </w:tcPr>
          <w:p w14:paraId="1D6A9093">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24</w:t>
            </w:r>
          </w:p>
        </w:tc>
      </w:tr>
      <w:tr w14:paraId="31CE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19" w:type="dxa"/>
            <w:noWrap w:val="0"/>
            <w:vAlign w:val="top"/>
          </w:tcPr>
          <w:p w14:paraId="229C4C67">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稀释液体积（μL）</w:t>
            </w:r>
          </w:p>
        </w:tc>
        <w:tc>
          <w:tcPr>
            <w:tcW w:w="850" w:type="dxa"/>
            <w:noWrap w:val="0"/>
            <w:vAlign w:val="top"/>
          </w:tcPr>
          <w:p w14:paraId="7B880F07">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1400</w:t>
            </w:r>
          </w:p>
        </w:tc>
        <w:tc>
          <w:tcPr>
            <w:tcW w:w="737" w:type="dxa"/>
            <w:tcBorders>
              <w:bottom w:val="single" w:color="auto" w:sz="4" w:space="0"/>
            </w:tcBorders>
            <w:noWrap w:val="0"/>
            <w:vAlign w:val="top"/>
          </w:tcPr>
          <w:p w14:paraId="6A2886DD">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1300</w:t>
            </w:r>
          </w:p>
        </w:tc>
        <w:tc>
          <w:tcPr>
            <w:tcW w:w="737" w:type="dxa"/>
            <w:tcBorders>
              <w:bottom w:val="single" w:color="auto" w:sz="4" w:space="0"/>
            </w:tcBorders>
            <w:noWrap w:val="0"/>
            <w:vAlign w:val="top"/>
          </w:tcPr>
          <w:p w14:paraId="1CDB9A89">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1200</w:t>
            </w:r>
          </w:p>
        </w:tc>
        <w:tc>
          <w:tcPr>
            <w:tcW w:w="737" w:type="dxa"/>
            <w:tcBorders>
              <w:bottom w:val="single" w:color="auto" w:sz="4" w:space="0"/>
            </w:tcBorders>
            <w:noWrap w:val="0"/>
            <w:vAlign w:val="top"/>
          </w:tcPr>
          <w:p w14:paraId="22B802EC">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1100</w:t>
            </w:r>
          </w:p>
        </w:tc>
        <w:tc>
          <w:tcPr>
            <w:tcW w:w="737" w:type="dxa"/>
            <w:tcBorders>
              <w:bottom w:val="single" w:color="auto" w:sz="4" w:space="0"/>
            </w:tcBorders>
            <w:noWrap w:val="0"/>
            <w:vAlign w:val="top"/>
          </w:tcPr>
          <w:p w14:paraId="15F383F4">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1000</w:t>
            </w:r>
          </w:p>
        </w:tc>
        <w:tc>
          <w:tcPr>
            <w:tcW w:w="737" w:type="dxa"/>
            <w:tcBorders>
              <w:bottom w:val="single" w:color="auto" w:sz="4" w:space="0"/>
            </w:tcBorders>
            <w:noWrap w:val="0"/>
            <w:vAlign w:val="top"/>
          </w:tcPr>
          <w:p w14:paraId="4C99BD06">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900</w:t>
            </w:r>
          </w:p>
        </w:tc>
        <w:tc>
          <w:tcPr>
            <w:tcW w:w="737" w:type="dxa"/>
            <w:noWrap w:val="0"/>
            <w:vAlign w:val="top"/>
          </w:tcPr>
          <w:p w14:paraId="03F45848">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800</w:t>
            </w:r>
          </w:p>
        </w:tc>
      </w:tr>
      <w:tr w14:paraId="362EB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19" w:type="dxa"/>
            <w:noWrap w:val="0"/>
            <w:vAlign w:val="top"/>
          </w:tcPr>
          <w:p w14:paraId="35383FCE">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0.1 mg/mL DOX标准液体积（μL）</w:t>
            </w:r>
          </w:p>
        </w:tc>
        <w:tc>
          <w:tcPr>
            <w:tcW w:w="850" w:type="dxa"/>
            <w:noWrap w:val="0"/>
            <w:vAlign w:val="top"/>
          </w:tcPr>
          <w:p w14:paraId="6EF14A8F">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0</w:t>
            </w:r>
          </w:p>
        </w:tc>
        <w:tc>
          <w:tcPr>
            <w:tcW w:w="737" w:type="dxa"/>
            <w:tcBorders>
              <w:bottom w:val="single" w:color="auto" w:sz="4" w:space="0"/>
            </w:tcBorders>
            <w:noWrap w:val="0"/>
            <w:vAlign w:val="top"/>
          </w:tcPr>
          <w:p w14:paraId="7916F74B">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100</w:t>
            </w:r>
          </w:p>
        </w:tc>
        <w:tc>
          <w:tcPr>
            <w:tcW w:w="737" w:type="dxa"/>
            <w:tcBorders>
              <w:bottom w:val="single" w:color="auto" w:sz="4" w:space="0"/>
            </w:tcBorders>
            <w:noWrap w:val="0"/>
            <w:vAlign w:val="top"/>
          </w:tcPr>
          <w:p w14:paraId="30FA5D13">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200</w:t>
            </w:r>
          </w:p>
        </w:tc>
        <w:tc>
          <w:tcPr>
            <w:tcW w:w="737" w:type="dxa"/>
            <w:tcBorders>
              <w:bottom w:val="single" w:color="auto" w:sz="4" w:space="0"/>
            </w:tcBorders>
            <w:noWrap w:val="0"/>
            <w:vAlign w:val="top"/>
          </w:tcPr>
          <w:p w14:paraId="13F572D4">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300</w:t>
            </w:r>
          </w:p>
        </w:tc>
        <w:tc>
          <w:tcPr>
            <w:tcW w:w="737" w:type="dxa"/>
            <w:tcBorders>
              <w:bottom w:val="single" w:color="auto" w:sz="4" w:space="0"/>
            </w:tcBorders>
            <w:noWrap w:val="0"/>
            <w:vAlign w:val="top"/>
          </w:tcPr>
          <w:p w14:paraId="783BE0D5">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400</w:t>
            </w:r>
          </w:p>
        </w:tc>
        <w:tc>
          <w:tcPr>
            <w:tcW w:w="737" w:type="dxa"/>
            <w:tcBorders>
              <w:bottom w:val="single" w:color="auto" w:sz="4" w:space="0"/>
            </w:tcBorders>
            <w:noWrap w:val="0"/>
            <w:vAlign w:val="top"/>
          </w:tcPr>
          <w:p w14:paraId="726E1258">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500</w:t>
            </w:r>
          </w:p>
        </w:tc>
        <w:tc>
          <w:tcPr>
            <w:tcW w:w="737" w:type="dxa"/>
            <w:noWrap w:val="0"/>
            <w:vAlign w:val="top"/>
          </w:tcPr>
          <w:p w14:paraId="4106EC89">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600</w:t>
            </w:r>
          </w:p>
        </w:tc>
      </w:tr>
      <w:tr w14:paraId="4CE27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3119" w:type="dxa"/>
            <w:noWrap w:val="0"/>
            <w:vAlign w:val="top"/>
          </w:tcPr>
          <w:p w14:paraId="17DEC9ED">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福林酚试剂体积（μL）</w:t>
            </w:r>
          </w:p>
        </w:tc>
        <w:tc>
          <w:tcPr>
            <w:tcW w:w="5272" w:type="dxa"/>
            <w:gridSpan w:val="7"/>
            <w:noWrap w:val="0"/>
            <w:vAlign w:val="top"/>
          </w:tcPr>
          <w:p w14:paraId="272EDDFE">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200</w:t>
            </w:r>
          </w:p>
        </w:tc>
      </w:tr>
      <w:tr w14:paraId="5282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3119" w:type="dxa"/>
            <w:noWrap w:val="0"/>
            <w:vAlign w:val="top"/>
          </w:tcPr>
          <w:p w14:paraId="4181EDAA">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0.94 mol/L碳酸钠溶液体积（μL）</w:t>
            </w:r>
          </w:p>
        </w:tc>
        <w:tc>
          <w:tcPr>
            <w:tcW w:w="5272" w:type="dxa"/>
            <w:gridSpan w:val="7"/>
            <w:noWrap w:val="0"/>
            <w:vAlign w:val="top"/>
          </w:tcPr>
          <w:p w14:paraId="2F5ED221">
            <w:pPr>
              <w:keepNext w:val="0"/>
              <w:keepLines w:val="0"/>
              <w:suppressLineNumbers w:val="0"/>
              <w:adjustRightInd w:val="0"/>
              <w:spacing w:before="0" w:beforeAutospacing="0" w:after="0" w:afterAutospacing="0" w:line="460" w:lineRule="exact"/>
              <w:ind w:left="0" w:right="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900</w:t>
            </w:r>
          </w:p>
        </w:tc>
      </w:tr>
    </w:tbl>
    <w:p w14:paraId="70428D9B">
      <w:pPr>
        <w:pStyle w:val="53"/>
        <w:jc w:val="center"/>
      </w:pPr>
    </w:p>
    <w:p w14:paraId="1CFFBF7B">
      <w:pPr>
        <w:pStyle w:val="53"/>
        <w:jc w:val="center"/>
        <w:rPr>
          <w:rFonts w:hint="eastAsia"/>
        </w:rPr>
      </w:pPr>
      <w:r>
        <w:drawing>
          <wp:inline distT="0" distB="0" distL="114300" distR="114300">
            <wp:extent cx="3622040" cy="2672715"/>
            <wp:effectExtent l="4445" t="4445" r="15875" b="508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A76D681">
      <w:pPr>
        <w:widowControl w:val="0"/>
        <w:numPr>
          <w:ilvl w:val="0"/>
          <w:numId w:val="0"/>
        </w:numPr>
        <w:spacing w:line="360" w:lineRule="auto"/>
        <w:jc w:val="center"/>
        <w:rPr>
          <w:rFonts w:hint="eastAsia"/>
          <w:b/>
          <w:bCs/>
          <w:sz w:val="21"/>
          <w:szCs w:val="21"/>
          <w:lang w:val="en-US" w:eastAsia="zh-CN"/>
        </w:rPr>
      </w:pPr>
      <w:r>
        <w:rPr>
          <w:rFonts w:hint="default" w:ascii="Times New Roman" w:hAnsi="Times New Roman" w:cs="Times New Roman"/>
          <w:b/>
          <w:bCs/>
          <w:sz w:val="21"/>
          <w:szCs w:val="21"/>
          <w:lang w:val="en-US" w:eastAsia="zh-CN"/>
        </w:rPr>
        <w:t>图3-4-</w:t>
      </w:r>
      <w:r>
        <w:rPr>
          <w:rFonts w:hint="eastAsia" w:ascii="Times New Roman" w:hAnsi="Times New Roman" w:cs="Times New Roman"/>
          <w:b/>
          <w:bCs/>
          <w:sz w:val="21"/>
          <w:szCs w:val="21"/>
          <w:lang w:val="en-US" w:eastAsia="zh-CN"/>
        </w:rPr>
        <w:t>1</w:t>
      </w: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lang w:val="en-US" w:eastAsia="zh-CN"/>
        </w:rPr>
        <w:t>对770 nm处的</w:t>
      </w:r>
      <w:r>
        <w:rPr>
          <w:rFonts w:hint="eastAsia"/>
          <w:b/>
          <w:bCs/>
          <w:sz w:val="21"/>
          <w:szCs w:val="21"/>
          <w:lang w:val="en-US" w:eastAsia="zh-CN"/>
        </w:rPr>
        <w:t>吸光度进行拟合</w:t>
      </w:r>
    </w:p>
    <w:p w14:paraId="5E9FC3EC">
      <w:pPr>
        <w:pStyle w:val="53"/>
        <w:jc w:val="center"/>
      </w:pPr>
      <w:r>
        <w:drawing>
          <wp:inline distT="0" distB="0" distL="114300" distR="114300">
            <wp:extent cx="3599815" cy="2207895"/>
            <wp:effectExtent l="0" t="0" r="12065" b="1905"/>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pic:cNvPicPr>
                      <a:picLocks noChangeAspect="1"/>
                    </pic:cNvPicPr>
                  </pic:nvPicPr>
                  <pic:blipFill>
                    <a:blip r:embed="rId13"/>
                    <a:stretch>
                      <a:fillRect/>
                    </a:stretch>
                  </pic:blipFill>
                  <pic:spPr>
                    <a:xfrm>
                      <a:off x="0" y="0"/>
                      <a:ext cx="3599815" cy="2207895"/>
                    </a:xfrm>
                    <a:prstGeom prst="rect">
                      <a:avLst/>
                    </a:prstGeom>
                    <a:noFill/>
                    <a:ln>
                      <a:noFill/>
                    </a:ln>
                  </pic:spPr>
                </pic:pic>
              </a:graphicData>
            </a:graphic>
          </wp:inline>
        </w:drawing>
      </w:r>
    </w:p>
    <w:p w14:paraId="1479057E">
      <w:pPr>
        <w:jc w:val="center"/>
        <w:rPr>
          <w:rFonts w:hint="eastAsia"/>
          <w:b/>
          <w:bCs/>
        </w:rPr>
      </w:pPr>
      <w:r>
        <w:rPr>
          <w:rFonts w:hint="eastAsia"/>
          <w:b/>
          <w:bCs/>
        </w:rPr>
        <w:t>图</w:t>
      </w:r>
      <w:r>
        <w:rPr>
          <w:rFonts w:hint="default" w:ascii="Times New Roman" w:hAnsi="Times New Roman" w:cs="Times New Roman"/>
          <w:b/>
          <w:bCs/>
        </w:rPr>
        <w:t>3-4-</w:t>
      </w:r>
      <w:r>
        <w:rPr>
          <w:rFonts w:hint="eastAsia" w:ascii="Times New Roman" w:hAnsi="Times New Roman" w:cs="Times New Roman"/>
          <w:b/>
          <w:bCs/>
          <w:lang w:val="en-US" w:eastAsia="zh-CN"/>
        </w:rPr>
        <w:t>2</w:t>
      </w:r>
      <w:r>
        <w:rPr>
          <w:rFonts w:hint="default" w:ascii="Times New Roman" w:hAnsi="Times New Roman" w:cs="Times New Roman"/>
          <w:b/>
          <w:bCs/>
        </w:rPr>
        <w:t xml:space="preserve"> </w:t>
      </w:r>
      <w:r>
        <w:rPr>
          <w:rFonts w:hint="eastAsia" w:ascii="Times New Roman" w:hAnsi="Times New Roman" w:cs="Times New Roman"/>
          <w:b/>
          <w:bCs/>
          <w:lang w:val="en-US" w:eastAsia="zh-CN"/>
        </w:rPr>
        <w:t>实验室2</w:t>
      </w:r>
      <w:r>
        <w:rPr>
          <w:rFonts w:hint="default" w:ascii="Times New Roman" w:hAnsi="Times New Roman" w:cs="Times New Roman"/>
          <w:b/>
          <w:bCs/>
          <w:szCs w:val="24"/>
        </w:rPr>
        <w:t>标</w:t>
      </w:r>
      <w:r>
        <w:rPr>
          <w:rFonts w:hint="eastAsia"/>
          <w:b/>
          <w:bCs/>
          <w:szCs w:val="24"/>
        </w:rPr>
        <w:t>准溶液的线性关系图</w:t>
      </w:r>
    </w:p>
    <w:p w14:paraId="17FE7985">
      <w:pPr>
        <w:pStyle w:val="53"/>
        <w:rPr>
          <w:rFonts w:hint="eastAsia"/>
        </w:rPr>
      </w:pPr>
    </w:p>
    <w:p w14:paraId="6034C08B">
      <w:pPr>
        <w:pStyle w:val="53"/>
        <w:keepNext w:val="0"/>
        <w:keepLines w:val="0"/>
        <w:pageBreakBefore w:val="0"/>
        <w:kinsoku/>
        <w:wordWrap/>
        <w:overflowPunct/>
        <w:topLinePunct w:val="0"/>
        <w:autoSpaceDE/>
        <w:autoSpaceDN/>
        <w:bidi w:val="0"/>
        <w:adjustRightInd/>
        <w:snapToGrid w:val="0"/>
        <w:spacing w:line="360" w:lineRule="auto"/>
        <w:textAlignment w:val="auto"/>
        <w:rPr>
          <w:rFonts w:hint="default" w:ascii="Times New Roman" w:hAnsi="Times New Roman" w:cs="Times New Roman"/>
          <w:sz w:val="24"/>
          <w:szCs w:val="24"/>
        </w:rPr>
      </w:pPr>
      <w:bookmarkStart w:id="60" w:name="_Toc12035"/>
      <w:r>
        <w:rPr>
          <w:rFonts w:hint="default" w:ascii="Times New Roman" w:hAnsi="Times New Roman" w:cs="Times New Roman"/>
          <w:sz w:val="24"/>
          <w:szCs w:val="24"/>
        </w:rPr>
        <w:t>3.4.2.</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 xml:space="preserve"> 样品含量测定</w:t>
      </w:r>
      <w:bookmarkEnd w:id="60"/>
    </w:p>
    <w:p w14:paraId="0CA4CA8F">
      <w:pPr>
        <w:keepNext w:val="0"/>
        <w:keepLines w:val="0"/>
        <w:pageBreakBefore w:val="0"/>
        <w:widowControl/>
        <w:kinsoku/>
        <w:wordWrap/>
        <w:overflowPunct/>
        <w:topLinePunct w:val="0"/>
        <w:autoSpaceDE/>
        <w:autoSpaceDN/>
        <w:bidi w:val="0"/>
        <w:adjustRightInd/>
        <w:snapToGrid w:val="0"/>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rPr>
        <w:t>a) 取矿化反应混合液样品，根据F-C试剂法测定DOX的浓度（以总反应体系2.</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 xml:space="preserve"> mL作为总稀释体积）：取5 mL避光管，先加入</w:t>
      </w:r>
      <w:r>
        <w:rPr>
          <w:rFonts w:hint="default" w:ascii="Times New Roman" w:hAnsi="Times New Roman" w:cs="Times New Roman"/>
          <w:sz w:val="24"/>
          <w:szCs w:val="24"/>
          <w:lang w:val="en-US" w:eastAsia="zh-CN"/>
        </w:rPr>
        <w:t>1.1 mL</w:t>
      </w:r>
      <w:r>
        <w:rPr>
          <w:rFonts w:hint="default" w:ascii="Times New Roman" w:hAnsi="Times New Roman" w:cs="Times New Roman"/>
          <w:sz w:val="24"/>
          <w:szCs w:val="24"/>
        </w:rPr>
        <w:t>稀释液</w:t>
      </w:r>
      <w:r>
        <w:rPr>
          <w:rFonts w:hint="default" w:ascii="Times New Roman" w:hAnsi="Times New Roman" w:cs="Times New Roman"/>
          <w:sz w:val="24"/>
          <w:szCs w:val="24"/>
          <w:lang w:val="en-US" w:eastAsia="zh-CN"/>
        </w:rPr>
        <w:t>B</w:t>
      </w:r>
      <w:r>
        <w:rPr>
          <w:rFonts w:hint="default" w:ascii="Times New Roman" w:hAnsi="Times New Roman" w:cs="Times New Roman"/>
          <w:sz w:val="24"/>
          <w:szCs w:val="24"/>
        </w:rPr>
        <w:t>，再加入</w:t>
      </w:r>
      <w:r>
        <w:rPr>
          <w:rFonts w:hint="default" w:ascii="Times New Roman" w:hAnsi="Times New Roman" w:cs="Times New Roman"/>
          <w:sz w:val="24"/>
          <w:szCs w:val="24"/>
          <w:lang w:val="en-US" w:eastAsia="zh-CN"/>
        </w:rPr>
        <w:t>300</w:t>
      </w:r>
      <w:r>
        <w:rPr>
          <w:rFonts w:hint="default" w:ascii="Times New Roman" w:hAnsi="Times New Roman" w:cs="Times New Roman"/>
          <w:sz w:val="24"/>
          <w:szCs w:val="24"/>
        </w:rPr>
        <w:t xml:space="preserve"> µL矿化反应混合液样品，然后依次加入福林酚试剂200 µL、0.94 mol/L碳酸钠溶液900 µL，使总反应体系总体积为2.5 mL。混匀后避光反应20 min，在770 nm波长处测定吸光度。将吸光度代入标准曲线计算DOX浓度</w:t>
      </w:r>
      <w:r>
        <w:rPr>
          <w:rFonts w:hint="default" w:ascii="Times New Roman" w:hAnsi="Times New Roman" w:cs="Times New Roman"/>
          <w:sz w:val="24"/>
          <w:szCs w:val="24"/>
          <w:lang w:val="en-US" w:eastAsia="zh-CN"/>
        </w:rPr>
        <w:t>C</w:t>
      </w:r>
      <w:r>
        <w:rPr>
          <w:rFonts w:hint="default" w:ascii="Times New Roman" w:hAnsi="Times New Roman" w:cs="Times New Roman"/>
          <w:sz w:val="24"/>
          <w:szCs w:val="24"/>
          <w:vertAlign w:val="subscript"/>
          <w:lang w:val="en-US" w:eastAsia="zh-CN"/>
        </w:rPr>
        <w:t>a</w:t>
      </w:r>
      <w:r>
        <w:rPr>
          <w:rFonts w:hint="default" w:ascii="Times New Roman" w:hAnsi="Times New Roman" w:cs="Times New Roman"/>
          <w:sz w:val="24"/>
          <w:szCs w:val="24"/>
          <w:vertAlign w:val="baseline"/>
          <w:lang w:val="en-US" w:eastAsia="zh-CN"/>
        </w:rPr>
        <w:t>（mg/mL）</w:t>
      </w:r>
      <w:r>
        <w:rPr>
          <w:rFonts w:hint="default" w:ascii="Times New Roman" w:hAnsi="Times New Roman" w:cs="Times New Roman"/>
          <w:sz w:val="24"/>
          <w:szCs w:val="24"/>
        </w:rPr>
        <w:t>。根据矿化反应混合液的样品体积</w:t>
      </w:r>
      <w:r>
        <w:rPr>
          <w:rFonts w:hint="default" w:ascii="Times New Roman" w:hAnsi="Times New Roman" w:cs="Times New Roman"/>
          <w:sz w:val="24"/>
          <w:szCs w:val="24"/>
          <w:lang w:val="en-US" w:eastAsia="zh-CN"/>
        </w:rPr>
        <w:t>0.5</w:t>
      </w:r>
      <w:r>
        <w:rPr>
          <w:rFonts w:hint="default" w:ascii="Times New Roman" w:hAnsi="Times New Roman" w:cs="Times New Roman"/>
          <w:sz w:val="24"/>
          <w:szCs w:val="24"/>
        </w:rPr>
        <w:t xml:space="preserve"> mL</w:t>
      </w:r>
      <w:r>
        <w:rPr>
          <w:rFonts w:hint="default" w:ascii="Times New Roman" w:hAnsi="Times New Roman" w:cs="Times New Roman"/>
          <w:sz w:val="24"/>
          <w:szCs w:val="24"/>
          <w:lang w:val="en-US" w:eastAsia="zh-CN"/>
        </w:rPr>
        <w:t>(V</w:t>
      </w:r>
      <w:r>
        <w:rPr>
          <w:rFonts w:hint="default" w:ascii="Times New Roman" w:hAnsi="Times New Roman" w:cs="Times New Roman"/>
          <w:sz w:val="24"/>
          <w:szCs w:val="24"/>
          <w:vertAlign w:val="subscript"/>
          <w:lang w:val="en-US" w:eastAsia="zh-CN"/>
        </w:rPr>
        <w:t>a</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计算DOX投料量（μg）。</w:t>
      </w:r>
    </w:p>
    <w:p w14:paraId="029F51BC">
      <w:pPr>
        <w:keepNext w:val="0"/>
        <w:keepLines w:val="0"/>
        <w:pageBreakBefore w:val="0"/>
        <w:widowControl/>
        <w:kinsoku/>
        <w:wordWrap/>
        <w:overflowPunct/>
        <w:topLinePunct w:val="0"/>
        <w:autoSpaceDE/>
        <w:autoSpaceDN/>
        <w:bidi w:val="0"/>
        <w:adjustRightInd/>
        <w:snapToGrid w:val="0"/>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rPr>
        <w:t>b) 取矿化反应混合液样品</w:t>
      </w:r>
      <w:r>
        <w:rPr>
          <w:rFonts w:hint="default" w:ascii="Times New Roman" w:hAnsi="Times New Roman" w:cs="Times New Roman"/>
          <w:sz w:val="24"/>
          <w:szCs w:val="24"/>
          <w:lang w:val="en-US" w:eastAsia="zh-CN"/>
        </w:rPr>
        <w:t>1.5 mL</w:t>
      </w:r>
      <w:r>
        <w:rPr>
          <w:rFonts w:hint="default" w:ascii="Times New Roman" w:hAnsi="Times New Roman" w:cs="Times New Roman"/>
          <w:sz w:val="24"/>
          <w:szCs w:val="24"/>
        </w:rPr>
        <w:t>，在14000 g条件下离心30 min，获得沉淀和上清液。</w:t>
      </w:r>
    </w:p>
    <w:p w14:paraId="0841D62E">
      <w:pPr>
        <w:keepNext w:val="0"/>
        <w:keepLines w:val="0"/>
        <w:pageBreakBefore w:val="0"/>
        <w:widowControl/>
        <w:kinsoku/>
        <w:wordWrap/>
        <w:overflowPunct/>
        <w:topLinePunct w:val="0"/>
        <w:autoSpaceDE/>
        <w:autoSpaceDN/>
        <w:bidi w:val="0"/>
        <w:adjustRightInd/>
        <w:snapToGrid w:val="0"/>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rPr>
        <w:t>c) 将</w:t>
      </w:r>
      <w:r>
        <w:rPr>
          <w:rFonts w:hint="default" w:ascii="Times New Roman" w:hAnsi="Times New Roman" w:cs="Times New Roman"/>
          <w:sz w:val="24"/>
          <w:szCs w:val="24"/>
          <w:lang w:val="en-US" w:eastAsia="zh-CN"/>
        </w:rPr>
        <w:t xml:space="preserve"> b</w:t>
      </w:r>
      <w:r>
        <w:rPr>
          <w:rFonts w:hint="default" w:ascii="Times New Roman" w:hAnsi="Times New Roman" w:cs="Times New Roman"/>
          <w:sz w:val="24"/>
          <w:szCs w:val="24"/>
        </w:rPr>
        <w:t>)</w:t>
      </w:r>
      <w:r>
        <w:rPr>
          <w:rFonts w:hint="default" w:ascii="Times New Roman" w:hAnsi="Times New Roman" w:cs="Times New Roman"/>
          <w:sz w:val="24"/>
          <w:szCs w:val="24"/>
          <w:lang w:eastAsia="zh-CN"/>
        </w:rPr>
        <w:t>中</w:t>
      </w:r>
      <w:r>
        <w:rPr>
          <w:rFonts w:hint="default" w:ascii="Times New Roman" w:hAnsi="Times New Roman" w:cs="Times New Roman"/>
          <w:sz w:val="24"/>
          <w:szCs w:val="24"/>
        </w:rPr>
        <w:t>上清液</w:t>
      </w:r>
      <w:r>
        <w:rPr>
          <w:rFonts w:hint="default" w:ascii="Times New Roman" w:hAnsi="Times New Roman" w:cs="Times New Roman"/>
          <w:sz w:val="24"/>
          <w:szCs w:val="24"/>
          <w:lang w:val="en-US" w:eastAsia="zh-CN"/>
        </w:rPr>
        <w:t>0.5 mL</w:t>
      </w:r>
      <w:r>
        <w:rPr>
          <w:rFonts w:hint="default" w:ascii="Times New Roman" w:hAnsi="Times New Roman" w:cs="Times New Roman"/>
          <w:sz w:val="24"/>
          <w:szCs w:val="24"/>
        </w:rPr>
        <w:t>转移至30 kDa超滤管、在7000 g条件下超滤10 min，获得浓缩液（体积</w:t>
      </w:r>
      <w:r>
        <w:rPr>
          <w:rFonts w:hint="default" w:ascii="Times New Roman" w:hAnsi="Times New Roman" w:cs="Times New Roman"/>
          <w:sz w:val="24"/>
          <w:szCs w:val="24"/>
          <w:lang w:val="en-US" w:eastAsia="zh-CN"/>
        </w:rPr>
        <w:t>35</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μ</w:t>
      </w:r>
      <w:r>
        <w:rPr>
          <w:rFonts w:hint="default" w:ascii="Times New Roman" w:hAnsi="Times New Roman" w:cs="Times New Roman"/>
          <w:sz w:val="24"/>
          <w:szCs w:val="24"/>
        </w:rPr>
        <w:t>L，含载体及大分子）和滤液（含游离DOX）</w:t>
      </w:r>
      <w:r>
        <w:rPr>
          <w:rFonts w:hint="default" w:ascii="Times New Roman" w:hAnsi="Times New Roman" w:cs="Times New Roman"/>
          <w:sz w:val="24"/>
          <w:szCs w:val="24"/>
          <w:lang w:eastAsia="zh-CN"/>
        </w:rPr>
        <w:t>。浓缩液即为矿化JQT14-DOX样品</w:t>
      </w:r>
      <w:r>
        <w:rPr>
          <w:rFonts w:hint="default" w:ascii="Times New Roman" w:hAnsi="Times New Roman" w:cs="Times New Roman"/>
          <w:sz w:val="24"/>
          <w:szCs w:val="24"/>
        </w:rPr>
        <w:t>。</w:t>
      </w:r>
    </w:p>
    <w:p w14:paraId="75A507B6">
      <w:pPr>
        <w:keepNext w:val="0"/>
        <w:keepLines w:val="0"/>
        <w:pageBreakBefore w:val="0"/>
        <w:widowControl/>
        <w:kinsoku/>
        <w:wordWrap/>
        <w:overflowPunct/>
        <w:topLinePunct w:val="0"/>
        <w:autoSpaceDE/>
        <w:autoSpaceDN/>
        <w:bidi w:val="0"/>
        <w:adjustRightInd/>
        <w:snapToGrid w:val="0"/>
        <w:spacing w:line="360" w:lineRule="auto"/>
        <w:ind w:firstLine="420"/>
        <w:textAlignment w:val="auto"/>
        <w:rPr>
          <w:rFonts w:hint="default" w:ascii="Times New Roman" w:hAnsi="Times New Roman" w:cs="Times New Roman"/>
          <w:sz w:val="24"/>
          <w:szCs w:val="24"/>
        </w:rPr>
      </w:pPr>
      <w:r>
        <w:rPr>
          <w:rFonts w:hint="default" w:ascii="Times New Roman" w:hAnsi="Times New Roman" w:cs="Times New Roman"/>
          <w:sz w:val="24"/>
          <w:szCs w:val="24"/>
        </w:rPr>
        <w:t>d) 取3.4.2.</w:t>
      </w:r>
      <w:r>
        <w:rPr>
          <w:rFonts w:hint="default" w:ascii="Times New Roman" w:hAnsi="Times New Roman" w:cs="Times New Roman"/>
          <w:sz w:val="24"/>
          <w:szCs w:val="24"/>
          <w:lang w:val="en-US" w:eastAsia="zh-CN"/>
        </w:rPr>
        <w:t xml:space="preserve">3 </w:t>
      </w:r>
      <w:r>
        <w:rPr>
          <w:rFonts w:hint="default" w:ascii="Times New Roman" w:hAnsi="Times New Roman" w:cs="Times New Roman"/>
          <w:sz w:val="24"/>
          <w:szCs w:val="24"/>
        </w:rPr>
        <w:t>c)中的矿化JQT14-DOX样品</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30</w:t>
      </w:r>
      <w:r>
        <w:rPr>
          <w:rFonts w:hint="default" w:ascii="Times New Roman" w:hAnsi="Times New Roman" w:cs="Times New Roman"/>
          <w:sz w:val="24"/>
          <w:szCs w:val="24"/>
        </w:rPr>
        <w:t xml:space="preserve"> μL</w:t>
      </w:r>
      <w:r>
        <w:rPr>
          <w:rFonts w:hint="default" w:ascii="Times New Roman" w:hAnsi="Times New Roman" w:cs="Times New Roman"/>
          <w:sz w:val="24"/>
          <w:szCs w:val="24"/>
          <w:lang w:val="en-US" w:eastAsia="zh-CN"/>
        </w:rPr>
        <w:t>+1370</w:t>
      </w:r>
      <w:r>
        <w:rPr>
          <w:rFonts w:hint="default" w:ascii="Times New Roman" w:hAnsi="Times New Roman" w:cs="Times New Roman"/>
          <w:sz w:val="24"/>
          <w:szCs w:val="24"/>
        </w:rPr>
        <w:t>μL</w:t>
      </w:r>
      <w:r>
        <w:rPr>
          <w:rFonts w:hint="default" w:ascii="Times New Roman" w:hAnsi="Times New Roman" w:cs="Times New Roman"/>
          <w:sz w:val="24"/>
          <w:szCs w:val="24"/>
          <w:lang w:val="en-US" w:eastAsia="zh-CN"/>
        </w:rPr>
        <w:t>稀释液B</w:t>
      </w:r>
      <w:r>
        <w:rPr>
          <w:rFonts w:hint="default" w:ascii="Times New Roman" w:hAnsi="Times New Roman" w:cs="Times New Roman"/>
          <w:sz w:val="24"/>
          <w:szCs w:val="24"/>
          <w:lang w:eastAsia="zh-CN"/>
        </w:rPr>
        <w:t>）</w:t>
      </w:r>
      <w:r>
        <w:rPr>
          <w:rFonts w:hint="default" w:ascii="Times New Roman" w:hAnsi="Times New Roman" w:cs="Times New Roman"/>
          <w:sz w:val="24"/>
          <w:szCs w:val="24"/>
        </w:rPr>
        <w:t>，按3.4.2.</w:t>
      </w:r>
      <w:r>
        <w:rPr>
          <w:rFonts w:hint="default" w:ascii="Times New Roman" w:hAnsi="Times New Roman" w:cs="Times New Roman"/>
          <w:sz w:val="24"/>
          <w:szCs w:val="24"/>
          <w:lang w:val="en-US" w:eastAsia="zh-CN"/>
        </w:rPr>
        <w:t xml:space="preserve">3 </w:t>
      </w:r>
      <w:r>
        <w:rPr>
          <w:rFonts w:hint="default" w:ascii="Times New Roman" w:hAnsi="Times New Roman" w:cs="Times New Roman"/>
          <w:sz w:val="24"/>
          <w:szCs w:val="24"/>
        </w:rPr>
        <w:t>a)项下F-C试剂法同法操作，测定浓缩液中DOX浓度</w:t>
      </w:r>
      <w:r>
        <w:rPr>
          <w:rFonts w:hint="default" w:ascii="Times New Roman" w:hAnsi="Times New Roman" w:cs="Times New Roman"/>
          <w:sz w:val="24"/>
          <w:szCs w:val="24"/>
          <w:lang w:val="en-US" w:eastAsia="zh-CN"/>
        </w:rPr>
        <w:t>C</w:t>
      </w:r>
      <w:r>
        <w:rPr>
          <w:rFonts w:hint="default" w:ascii="Times New Roman" w:hAnsi="Times New Roman" w:cs="Times New Roman"/>
          <w:sz w:val="24"/>
          <w:szCs w:val="24"/>
          <w:vertAlign w:val="subscript"/>
          <w:lang w:val="en-US" w:eastAsia="zh-CN"/>
        </w:rPr>
        <w:t>b</w:t>
      </w:r>
      <w:r>
        <w:rPr>
          <w:rFonts w:hint="default" w:ascii="Times New Roman" w:hAnsi="Times New Roman" w:cs="Times New Roman"/>
          <w:sz w:val="24"/>
          <w:szCs w:val="24"/>
          <w:vertAlign w:val="baseline"/>
          <w:lang w:val="en-US" w:eastAsia="zh-CN"/>
        </w:rPr>
        <w:t>（mg/mL）</w:t>
      </w:r>
      <w:r>
        <w:rPr>
          <w:rFonts w:hint="default" w:ascii="Times New Roman" w:hAnsi="Times New Roman" w:cs="Times New Roman"/>
          <w:sz w:val="24"/>
          <w:szCs w:val="24"/>
        </w:rPr>
        <w:t>，根据浓缩液体积</w:t>
      </w:r>
      <w:r>
        <w:rPr>
          <w:rFonts w:hint="default" w:ascii="Times New Roman" w:hAnsi="Times New Roman" w:cs="Times New Roman"/>
          <w:sz w:val="24"/>
          <w:szCs w:val="24"/>
          <w:lang w:val="en-US" w:eastAsia="zh-CN"/>
        </w:rPr>
        <w:t>35</w:t>
      </w:r>
      <w:r>
        <w:rPr>
          <w:rFonts w:hint="default" w:ascii="Times New Roman" w:hAnsi="Times New Roman" w:cs="Times New Roman"/>
          <w:sz w:val="24"/>
          <w:szCs w:val="24"/>
        </w:rPr>
        <w:t xml:space="preserve"> μL</w:t>
      </w:r>
      <w:r>
        <w:rPr>
          <w:rFonts w:hint="default" w:ascii="Times New Roman" w:hAnsi="Times New Roman" w:cs="Times New Roman"/>
          <w:sz w:val="24"/>
          <w:szCs w:val="24"/>
          <w:lang w:val="en-US" w:eastAsia="zh-CN"/>
        </w:rPr>
        <w:t>(V</w:t>
      </w:r>
      <w:r>
        <w:rPr>
          <w:rFonts w:hint="default" w:ascii="Times New Roman" w:hAnsi="Times New Roman" w:cs="Times New Roman"/>
          <w:sz w:val="24"/>
          <w:szCs w:val="24"/>
          <w:vertAlign w:val="subscript"/>
          <w:lang w:val="en-US" w:eastAsia="zh-CN"/>
        </w:rPr>
        <w:t>b</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计算浓缩后样品DOX含量（μg）。</w:t>
      </w:r>
    </w:p>
    <w:p w14:paraId="409BC9DD">
      <w:pPr>
        <w:numPr>
          <w:ilvl w:val="0"/>
          <w:numId w:val="0"/>
        </w:numPr>
        <w:jc w:val="center"/>
        <w:rPr>
          <w:rFonts w:hint="eastAsia"/>
          <w:b/>
          <w:bCs/>
          <w:sz w:val="21"/>
          <w:szCs w:val="21"/>
          <w:lang w:val="en-US" w:eastAsia="zh-CN"/>
        </w:rPr>
      </w:pPr>
      <w:r>
        <w:rPr>
          <w:rFonts w:hint="default" w:ascii="Times New Roman" w:hAnsi="Times New Roman" w:cs="Times New Roman"/>
          <w:b/>
          <w:bCs/>
          <w:sz w:val="21"/>
          <w:szCs w:val="21"/>
          <w:lang w:val="en-US" w:eastAsia="zh-CN"/>
        </w:rPr>
        <w:t>表3-4-</w:t>
      </w:r>
      <w:r>
        <w:rPr>
          <w:rFonts w:hint="eastAsia" w:ascii="Times New Roman" w:hAnsi="Times New Roman" w:cs="Times New Roman"/>
          <w:b/>
          <w:bCs/>
          <w:sz w:val="21"/>
          <w:szCs w:val="21"/>
          <w:lang w:val="en-US" w:eastAsia="zh-CN"/>
        </w:rPr>
        <w:t>2</w:t>
      </w: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实验室1</w:t>
      </w:r>
      <w:r>
        <w:rPr>
          <w:rFonts w:hint="default" w:ascii="Times New Roman" w:hAnsi="Times New Roman" w:cs="Times New Roman"/>
          <w:b/>
          <w:bCs/>
          <w:sz w:val="21"/>
          <w:szCs w:val="21"/>
          <w:lang w:val="en-US" w:eastAsia="zh-CN"/>
        </w:rPr>
        <w:t>样品</w:t>
      </w:r>
      <w:r>
        <w:rPr>
          <w:rFonts w:hint="eastAsia"/>
          <w:b/>
          <w:bCs/>
          <w:sz w:val="21"/>
          <w:szCs w:val="21"/>
          <w:lang w:val="en-US" w:eastAsia="zh-CN"/>
        </w:rPr>
        <w:t>溶液的吸光度值表</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2"/>
        <w:gridCol w:w="1120"/>
        <w:gridCol w:w="1396"/>
        <w:gridCol w:w="2495"/>
        <w:gridCol w:w="1666"/>
      </w:tblGrid>
      <w:tr w14:paraId="4EBB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081" w:type="pct"/>
            <w:noWrap w:val="0"/>
            <w:vAlign w:val="center"/>
          </w:tcPr>
          <w:p w14:paraId="776B07C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样品名称</w:t>
            </w:r>
          </w:p>
        </w:tc>
        <w:tc>
          <w:tcPr>
            <w:tcW w:w="657" w:type="pct"/>
            <w:noWrap w:val="0"/>
            <w:vAlign w:val="center"/>
          </w:tcPr>
          <w:p w14:paraId="5ED87E0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取样编号</w:t>
            </w:r>
          </w:p>
        </w:tc>
        <w:tc>
          <w:tcPr>
            <w:tcW w:w="819" w:type="pct"/>
            <w:noWrap w:val="0"/>
            <w:vAlign w:val="center"/>
          </w:tcPr>
          <w:p w14:paraId="4B564ED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lang w:val="en-US" w:eastAsia="zh-CN"/>
              </w:rPr>
              <w:t>770 nm处的吸光度</w:t>
            </w:r>
          </w:p>
        </w:tc>
        <w:tc>
          <w:tcPr>
            <w:tcW w:w="1464" w:type="pct"/>
            <w:noWrap w:val="0"/>
            <w:vAlign w:val="center"/>
          </w:tcPr>
          <w:p w14:paraId="2A57DE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vertAlign w:val="baseline"/>
                <w:lang w:val="en-US" w:eastAsia="zh-CN"/>
              </w:rPr>
              <w:t>Dox的浓度（mg/L）</w:t>
            </w:r>
          </w:p>
        </w:tc>
        <w:tc>
          <w:tcPr>
            <w:tcW w:w="977" w:type="pct"/>
            <w:noWrap w:val="0"/>
            <w:vAlign w:val="center"/>
          </w:tcPr>
          <w:p w14:paraId="654BFE4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备注</w:t>
            </w:r>
          </w:p>
        </w:tc>
      </w:tr>
      <w:tr w14:paraId="4F247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81" w:type="pct"/>
            <w:vMerge w:val="restart"/>
            <w:noWrap w:val="0"/>
            <w:vAlign w:val="center"/>
          </w:tcPr>
          <w:p w14:paraId="260E2BE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超滤滤液</w:t>
            </w:r>
          </w:p>
        </w:tc>
        <w:tc>
          <w:tcPr>
            <w:tcW w:w="657" w:type="pct"/>
            <w:noWrap w:val="0"/>
            <w:vAlign w:val="center"/>
          </w:tcPr>
          <w:p w14:paraId="0254CA2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w:t>
            </w:r>
          </w:p>
        </w:tc>
        <w:tc>
          <w:tcPr>
            <w:tcW w:w="819" w:type="pct"/>
            <w:noWrap w:val="0"/>
            <w:vAlign w:val="center"/>
          </w:tcPr>
          <w:p w14:paraId="43B82CC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0.012</w:t>
            </w:r>
          </w:p>
        </w:tc>
        <w:tc>
          <w:tcPr>
            <w:tcW w:w="1464" w:type="pct"/>
            <w:noWrap w:val="0"/>
            <w:vAlign w:val="center"/>
          </w:tcPr>
          <w:p w14:paraId="60407C6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977" w:type="pct"/>
            <w:vMerge w:val="restart"/>
            <w:noWrap w:val="0"/>
            <w:vAlign w:val="center"/>
          </w:tcPr>
          <w:p w14:paraId="480C748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r>
      <w:tr w14:paraId="7599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81" w:type="pct"/>
            <w:vMerge w:val="continue"/>
            <w:noWrap w:val="0"/>
            <w:vAlign w:val="center"/>
          </w:tcPr>
          <w:p w14:paraId="4F67607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657" w:type="pct"/>
            <w:noWrap w:val="0"/>
            <w:vAlign w:val="center"/>
          </w:tcPr>
          <w:p w14:paraId="20BF33E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w:t>
            </w:r>
          </w:p>
        </w:tc>
        <w:tc>
          <w:tcPr>
            <w:tcW w:w="819" w:type="pct"/>
            <w:noWrap w:val="0"/>
            <w:vAlign w:val="center"/>
          </w:tcPr>
          <w:p w14:paraId="589D361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0.003</w:t>
            </w:r>
          </w:p>
        </w:tc>
        <w:tc>
          <w:tcPr>
            <w:tcW w:w="1464" w:type="pct"/>
            <w:noWrap w:val="0"/>
            <w:vAlign w:val="center"/>
          </w:tcPr>
          <w:p w14:paraId="5D7DFAE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977" w:type="pct"/>
            <w:vMerge w:val="continue"/>
            <w:noWrap w:val="0"/>
            <w:vAlign w:val="center"/>
          </w:tcPr>
          <w:p w14:paraId="3C21D5E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2C8C4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continue"/>
            <w:noWrap w:val="0"/>
            <w:vAlign w:val="center"/>
          </w:tcPr>
          <w:p w14:paraId="0D84C71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657" w:type="pct"/>
            <w:noWrap w:val="0"/>
            <w:vAlign w:val="center"/>
          </w:tcPr>
          <w:p w14:paraId="52F2FF6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w:t>
            </w:r>
          </w:p>
        </w:tc>
        <w:tc>
          <w:tcPr>
            <w:tcW w:w="819" w:type="pct"/>
            <w:noWrap w:val="0"/>
            <w:vAlign w:val="center"/>
          </w:tcPr>
          <w:p w14:paraId="79DD18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0.003</w:t>
            </w:r>
          </w:p>
        </w:tc>
        <w:tc>
          <w:tcPr>
            <w:tcW w:w="1464" w:type="pct"/>
            <w:noWrap w:val="0"/>
            <w:vAlign w:val="center"/>
          </w:tcPr>
          <w:p w14:paraId="4F86CD2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977" w:type="pct"/>
            <w:vMerge w:val="continue"/>
            <w:noWrap w:val="0"/>
            <w:vAlign w:val="center"/>
          </w:tcPr>
          <w:p w14:paraId="7893ACD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6612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restart"/>
            <w:noWrap w:val="0"/>
            <w:vAlign w:val="center"/>
          </w:tcPr>
          <w:p w14:paraId="5191D10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超滤浓缩液-JQT14-DOX</w:t>
            </w:r>
          </w:p>
        </w:tc>
        <w:tc>
          <w:tcPr>
            <w:tcW w:w="657" w:type="pct"/>
            <w:noWrap w:val="0"/>
            <w:vAlign w:val="center"/>
          </w:tcPr>
          <w:p w14:paraId="23C2538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1</w:t>
            </w:r>
          </w:p>
        </w:tc>
        <w:tc>
          <w:tcPr>
            <w:tcW w:w="819" w:type="pct"/>
            <w:noWrap w:val="0"/>
            <w:vAlign w:val="center"/>
          </w:tcPr>
          <w:p w14:paraId="687C678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0.547</w:t>
            </w:r>
          </w:p>
        </w:tc>
        <w:tc>
          <w:tcPr>
            <w:tcW w:w="1464" w:type="pct"/>
            <w:noWrap w:val="0"/>
            <w:vAlign w:val="center"/>
          </w:tcPr>
          <w:p w14:paraId="061D28B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1329.94</w:t>
            </w:r>
          </w:p>
        </w:tc>
        <w:tc>
          <w:tcPr>
            <w:tcW w:w="977" w:type="pct"/>
            <w:vMerge w:val="restart"/>
            <w:noWrap w:val="0"/>
            <w:vAlign w:val="center"/>
          </w:tcPr>
          <w:p w14:paraId="7EC71A6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取30</w:t>
            </w:r>
            <w:r>
              <w:rPr>
                <w:rFonts w:hint="default" w:ascii="Times New Roman" w:hAnsi="Times New Roman" w:cs="Times New Roman"/>
                <w:kern w:val="0"/>
                <w:sz w:val="21"/>
                <w:szCs w:val="21"/>
              </w:rPr>
              <w:t>μL</w:t>
            </w:r>
            <w:r>
              <w:rPr>
                <w:rFonts w:hint="default" w:ascii="Times New Roman" w:hAnsi="Times New Roman" w:cs="Times New Roman"/>
                <w:kern w:val="0"/>
                <w:sz w:val="21"/>
                <w:szCs w:val="21"/>
                <w:lang w:val="en-US" w:eastAsia="zh-CN"/>
              </w:rPr>
              <w:t>待测液</w:t>
            </w:r>
            <w:r>
              <w:rPr>
                <w:rFonts w:hint="default" w:ascii="Times New Roman" w:hAnsi="Times New Roman" w:cs="Times New Roman"/>
                <w:sz w:val="21"/>
                <w:szCs w:val="21"/>
                <w:vertAlign w:val="baseline"/>
                <w:lang w:val="en-US" w:eastAsia="zh-CN"/>
              </w:rPr>
              <w:t>+1370</w:t>
            </w:r>
            <w:r>
              <w:rPr>
                <w:rFonts w:hint="default" w:ascii="Times New Roman" w:hAnsi="Times New Roman" w:cs="Times New Roman"/>
                <w:kern w:val="0"/>
                <w:sz w:val="21"/>
                <w:szCs w:val="21"/>
              </w:rPr>
              <w:t>μL</w:t>
            </w:r>
            <w:r>
              <w:rPr>
                <w:rFonts w:hint="default" w:ascii="Times New Roman" w:hAnsi="Times New Roman" w:cs="Times New Roman"/>
                <w:kern w:val="0"/>
                <w:sz w:val="21"/>
                <w:szCs w:val="21"/>
                <w:lang w:val="en-US" w:eastAsia="zh-CN"/>
              </w:rPr>
              <w:t>稀释液B</w:t>
            </w:r>
          </w:p>
        </w:tc>
      </w:tr>
      <w:tr w14:paraId="3D00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continue"/>
            <w:noWrap w:val="0"/>
            <w:vAlign w:val="center"/>
          </w:tcPr>
          <w:p w14:paraId="08485C1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657" w:type="pct"/>
            <w:noWrap w:val="0"/>
            <w:vAlign w:val="center"/>
          </w:tcPr>
          <w:p w14:paraId="4A9215F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2</w:t>
            </w:r>
          </w:p>
        </w:tc>
        <w:tc>
          <w:tcPr>
            <w:tcW w:w="819" w:type="pct"/>
            <w:noWrap w:val="0"/>
            <w:vAlign w:val="center"/>
          </w:tcPr>
          <w:p w14:paraId="111D3E5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0.562</w:t>
            </w:r>
          </w:p>
        </w:tc>
        <w:tc>
          <w:tcPr>
            <w:tcW w:w="1464" w:type="pct"/>
            <w:noWrap w:val="0"/>
            <w:vAlign w:val="center"/>
          </w:tcPr>
          <w:p w14:paraId="0A8449B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1369.12</w:t>
            </w:r>
          </w:p>
        </w:tc>
        <w:tc>
          <w:tcPr>
            <w:tcW w:w="977" w:type="pct"/>
            <w:vMerge w:val="continue"/>
            <w:noWrap w:val="0"/>
            <w:vAlign w:val="center"/>
          </w:tcPr>
          <w:p w14:paraId="2B28D2D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4771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continue"/>
            <w:noWrap w:val="0"/>
            <w:vAlign w:val="center"/>
          </w:tcPr>
          <w:p w14:paraId="5DF6E42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657" w:type="pct"/>
            <w:noWrap w:val="0"/>
            <w:vAlign w:val="center"/>
          </w:tcPr>
          <w:p w14:paraId="064FE62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3</w:t>
            </w:r>
          </w:p>
        </w:tc>
        <w:tc>
          <w:tcPr>
            <w:tcW w:w="819" w:type="pct"/>
            <w:noWrap w:val="0"/>
            <w:vAlign w:val="center"/>
          </w:tcPr>
          <w:p w14:paraId="3A14AA9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0.516</w:t>
            </w:r>
          </w:p>
        </w:tc>
        <w:tc>
          <w:tcPr>
            <w:tcW w:w="1464" w:type="pct"/>
            <w:noWrap w:val="0"/>
            <w:vAlign w:val="center"/>
          </w:tcPr>
          <w:p w14:paraId="5A031F8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1248.96</w:t>
            </w:r>
          </w:p>
        </w:tc>
        <w:tc>
          <w:tcPr>
            <w:tcW w:w="977" w:type="pct"/>
            <w:vMerge w:val="continue"/>
            <w:noWrap w:val="0"/>
            <w:vAlign w:val="center"/>
          </w:tcPr>
          <w:p w14:paraId="0DF0154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39627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restart"/>
            <w:noWrap w:val="0"/>
            <w:vAlign w:val="center"/>
          </w:tcPr>
          <w:p w14:paraId="771522B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矿化反应混合液-离心上清液</w:t>
            </w:r>
          </w:p>
        </w:tc>
        <w:tc>
          <w:tcPr>
            <w:tcW w:w="657" w:type="pct"/>
            <w:noWrap w:val="0"/>
            <w:vAlign w:val="center"/>
          </w:tcPr>
          <w:p w14:paraId="48A543A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1</w:t>
            </w:r>
          </w:p>
        </w:tc>
        <w:tc>
          <w:tcPr>
            <w:tcW w:w="819" w:type="pct"/>
            <w:noWrap w:val="0"/>
            <w:vAlign w:val="center"/>
          </w:tcPr>
          <w:p w14:paraId="3A27368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0.499</w:t>
            </w:r>
          </w:p>
        </w:tc>
        <w:tc>
          <w:tcPr>
            <w:tcW w:w="1464" w:type="pct"/>
            <w:noWrap w:val="0"/>
            <w:vAlign w:val="center"/>
          </w:tcPr>
          <w:p w14:paraId="771033B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977" w:type="pct"/>
            <w:vMerge w:val="restart"/>
            <w:noWrap w:val="0"/>
            <w:vAlign w:val="center"/>
          </w:tcPr>
          <w:p w14:paraId="113E343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r>
      <w:tr w14:paraId="273B1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continue"/>
            <w:noWrap w:val="0"/>
            <w:vAlign w:val="center"/>
          </w:tcPr>
          <w:p w14:paraId="1329AB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657" w:type="pct"/>
            <w:noWrap w:val="0"/>
            <w:vAlign w:val="center"/>
          </w:tcPr>
          <w:p w14:paraId="53C0779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2</w:t>
            </w:r>
          </w:p>
        </w:tc>
        <w:tc>
          <w:tcPr>
            <w:tcW w:w="819" w:type="pct"/>
            <w:noWrap w:val="0"/>
            <w:vAlign w:val="center"/>
          </w:tcPr>
          <w:p w14:paraId="6AB293F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0.519</w:t>
            </w:r>
          </w:p>
        </w:tc>
        <w:tc>
          <w:tcPr>
            <w:tcW w:w="1464" w:type="pct"/>
            <w:noWrap w:val="0"/>
            <w:vAlign w:val="center"/>
          </w:tcPr>
          <w:p w14:paraId="5CD2860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977" w:type="pct"/>
            <w:vMerge w:val="continue"/>
            <w:noWrap w:val="0"/>
            <w:vAlign w:val="center"/>
          </w:tcPr>
          <w:p w14:paraId="6D08042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51F07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continue"/>
            <w:noWrap w:val="0"/>
            <w:vAlign w:val="center"/>
          </w:tcPr>
          <w:p w14:paraId="3DE60B4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657" w:type="pct"/>
            <w:noWrap w:val="0"/>
            <w:vAlign w:val="center"/>
          </w:tcPr>
          <w:p w14:paraId="0BD0A39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3</w:t>
            </w:r>
          </w:p>
        </w:tc>
        <w:tc>
          <w:tcPr>
            <w:tcW w:w="819" w:type="pct"/>
            <w:noWrap w:val="0"/>
            <w:vAlign w:val="center"/>
          </w:tcPr>
          <w:p w14:paraId="743B2E9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0.522</w:t>
            </w:r>
          </w:p>
        </w:tc>
        <w:tc>
          <w:tcPr>
            <w:tcW w:w="1464" w:type="pct"/>
            <w:noWrap w:val="0"/>
            <w:vAlign w:val="center"/>
          </w:tcPr>
          <w:p w14:paraId="5729529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p>
        </w:tc>
        <w:tc>
          <w:tcPr>
            <w:tcW w:w="977" w:type="pct"/>
            <w:vMerge w:val="continue"/>
            <w:noWrap w:val="0"/>
            <w:vAlign w:val="center"/>
          </w:tcPr>
          <w:p w14:paraId="070D423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74F4F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restart"/>
            <w:noWrap w:val="0"/>
            <w:vAlign w:val="center"/>
          </w:tcPr>
          <w:p w14:paraId="59ECE15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矿化反应混合液</w:t>
            </w:r>
          </w:p>
        </w:tc>
        <w:tc>
          <w:tcPr>
            <w:tcW w:w="657" w:type="pct"/>
            <w:noWrap w:val="0"/>
            <w:vAlign w:val="center"/>
          </w:tcPr>
          <w:p w14:paraId="31DEA88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1</w:t>
            </w:r>
          </w:p>
        </w:tc>
        <w:tc>
          <w:tcPr>
            <w:tcW w:w="819" w:type="pct"/>
            <w:noWrap w:val="0"/>
            <w:vAlign w:val="center"/>
          </w:tcPr>
          <w:p w14:paraId="5A0EFB3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0.528</w:t>
            </w:r>
          </w:p>
        </w:tc>
        <w:tc>
          <w:tcPr>
            <w:tcW w:w="1464" w:type="pct"/>
            <w:noWrap w:val="0"/>
            <w:vAlign w:val="center"/>
          </w:tcPr>
          <w:p w14:paraId="34A33A4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128.03</w:t>
            </w:r>
          </w:p>
        </w:tc>
        <w:tc>
          <w:tcPr>
            <w:tcW w:w="977" w:type="pct"/>
            <w:vMerge w:val="restart"/>
            <w:noWrap w:val="0"/>
            <w:vAlign w:val="center"/>
          </w:tcPr>
          <w:p w14:paraId="659A637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取300</w:t>
            </w:r>
            <w:r>
              <w:rPr>
                <w:rFonts w:hint="default" w:ascii="Times New Roman" w:hAnsi="Times New Roman" w:cs="Times New Roman"/>
                <w:kern w:val="0"/>
                <w:sz w:val="21"/>
                <w:szCs w:val="21"/>
              </w:rPr>
              <w:t>μL</w:t>
            </w:r>
            <w:r>
              <w:rPr>
                <w:rFonts w:hint="default" w:ascii="Times New Roman" w:hAnsi="Times New Roman" w:cs="Times New Roman"/>
                <w:kern w:val="0"/>
                <w:sz w:val="21"/>
                <w:szCs w:val="21"/>
                <w:lang w:val="en-US" w:eastAsia="zh-CN"/>
              </w:rPr>
              <w:t>待测液</w:t>
            </w:r>
            <w:r>
              <w:rPr>
                <w:rFonts w:hint="default" w:ascii="Times New Roman" w:hAnsi="Times New Roman" w:cs="Times New Roman"/>
                <w:sz w:val="21"/>
                <w:szCs w:val="21"/>
                <w:vertAlign w:val="baseline"/>
                <w:lang w:val="en-US" w:eastAsia="zh-CN"/>
              </w:rPr>
              <w:t>+1100</w:t>
            </w:r>
            <w:r>
              <w:rPr>
                <w:rFonts w:hint="default" w:ascii="Times New Roman" w:hAnsi="Times New Roman" w:cs="Times New Roman"/>
                <w:kern w:val="0"/>
                <w:sz w:val="21"/>
                <w:szCs w:val="21"/>
              </w:rPr>
              <w:t>μL</w:t>
            </w:r>
            <w:r>
              <w:rPr>
                <w:rFonts w:hint="default" w:ascii="Times New Roman" w:hAnsi="Times New Roman" w:cs="Times New Roman"/>
                <w:kern w:val="0"/>
                <w:sz w:val="21"/>
                <w:szCs w:val="21"/>
                <w:lang w:val="en-US" w:eastAsia="zh-CN"/>
              </w:rPr>
              <w:t>稀释液B</w:t>
            </w:r>
          </w:p>
        </w:tc>
      </w:tr>
      <w:tr w14:paraId="1449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continue"/>
            <w:noWrap w:val="0"/>
            <w:vAlign w:val="center"/>
          </w:tcPr>
          <w:p w14:paraId="27D25BB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657" w:type="pct"/>
            <w:noWrap w:val="0"/>
            <w:vAlign w:val="center"/>
          </w:tcPr>
          <w:p w14:paraId="4764306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2</w:t>
            </w:r>
          </w:p>
        </w:tc>
        <w:tc>
          <w:tcPr>
            <w:tcW w:w="819" w:type="pct"/>
            <w:noWrap w:val="0"/>
            <w:vAlign w:val="center"/>
          </w:tcPr>
          <w:p w14:paraId="17015FE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0.539</w:t>
            </w:r>
          </w:p>
        </w:tc>
        <w:tc>
          <w:tcPr>
            <w:tcW w:w="1464" w:type="pct"/>
            <w:noWrap w:val="0"/>
            <w:vAlign w:val="center"/>
          </w:tcPr>
          <w:p w14:paraId="5D9F7F0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130.90</w:t>
            </w:r>
          </w:p>
        </w:tc>
        <w:tc>
          <w:tcPr>
            <w:tcW w:w="977" w:type="pct"/>
            <w:vMerge w:val="continue"/>
            <w:noWrap w:val="0"/>
            <w:vAlign w:val="center"/>
          </w:tcPr>
          <w:p w14:paraId="4A2BDFF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r w14:paraId="04A9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1" w:type="pct"/>
            <w:vMerge w:val="continue"/>
            <w:noWrap w:val="0"/>
            <w:vAlign w:val="center"/>
          </w:tcPr>
          <w:p w14:paraId="1DF94A2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657" w:type="pct"/>
            <w:noWrap w:val="0"/>
            <w:vAlign w:val="center"/>
          </w:tcPr>
          <w:p w14:paraId="6C77FA5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3</w:t>
            </w:r>
          </w:p>
        </w:tc>
        <w:tc>
          <w:tcPr>
            <w:tcW w:w="819" w:type="pct"/>
            <w:noWrap w:val="0"/>
            <w:vAlign w:val="center"/>
          </w:tcPr>
          <w:p w14:paraId="509F15E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0.542</w:t>
            </w:r>
          </w:p>
        </w:tc>
        <w:tc>
          <w:tcPr>
            <w:tcW w:w="1464" w:type="pct"/>
            <w:noWrap w:val="0"/>
            <w:vAlign w:val="center"/>
          </w:tcPr>
          <w:p w14:paraId="7F89F00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131.69</w:t>
            </w:r>
          </w:p>
        </w:tc>
        <w:tc>
          <w:tcPr>
            <w:tcW w:w="977" w:type="pct"/>
            <w:vMerge w:val="continue"/>
            <w:noWrap w:val="0"/>
            <w:vAlign w:val="center"/>
          </w:tcPr>
          <w:p w14:paraId="013767D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p>
        </w:tc>
      </w:tr>
    </w:tbl>
    <w:p w14:paraId="412E8120">
      <w:pPr>
        <w:widowControl/>
        <w:spacing w:after="160" w:line="278" w:lineRule="auto"/>
        <w:rPr>
          <w:rFonts w:hint="default" w:ascii="Times New Roman" w:hAnsi="Times New Roman" w:cs="Times New Roman"/>
          <w:szCs w:val="24"/>
        </w:rPr>
      </w:pPr>
    </w:p>
    <w:p w14:paraId="0546F7A0">
      <w:pPr>
        <w:jc w:val="center"/>
        <w:rPr>
          <w:rFonts w:hint="eastAsia"/>
          <w:b/>
          <w:bCs/>
        </w:rPr>
      </w:pPr>
      <w:r>
        <w:rPr>
          <w:rFonts w:hint="default" w:ascii="Times New Roman" w:hAnsi="Times New Roman" w:cs="Times New Roman"/>
          <w:b/>
          <w:bCs/>
          <w:szCs w:val="24"/>
        </w:rPr>
        <w:t>表3-4-</w:t>
      </w:r>
      <w:r>
        <w:rPr>
          <w:rFonts w:hint="eastAsia" w:ascii="Times New Roman" w:hAnsi="Times New Roman" w:cs="Times New Roman"/>
          <w:b/>
          <w:bCs/>
          <w:szCs w:val="24"/>
          <w:lang w:val="en-US" w:eastAsia="zh-CN"/>
        </w:rPr>
        <w:t>3</w:t>
      </w:r>
      <w:r>
        <w:rPr>
          <w:rFonts w:hint="default" w:ascii="Times New Roman" w:hAnsi="Times New Roman" w:cs="Times New Roman"/>
          <w:b/>
          <w:bCs/>
          <w:szCs w:val="24"/>
        </w:rPr>
        <w:t xml:space="preserve"> </w:t>
      </w:r>
      <w:r>
        <w:rPr>
          <w:rFonts w:hint="eastAsia" w:ascii="Times New Roman" w:hAnsi="Times New Roman" w:cs="Times New Roman"/>
          <w:b/>
          <w:bCs/>
          <w:sz w:val="21"/>
          <w:szCs w:val="21"/>
          <w:lang w:val="en-US" w:eastAsia="zh-CN"/>
        </w:rPr>
        <w:t>实验室2</w:t>
      </w:r>
      <w:r>
        <w:rPr>
          <w:rFonts w:hint="default" w:ascii="Times New Roman" w:hAnsi="Times New Roman" w:cs="Times New Roman"/>
          <w:b/>
          <w:bCs/>
          <w:szCs w:val="24"/>
        </w:rPr>
        <w:t>样品</w:t>
      </w:r>
      <w:r>
        <w:rPr>
          <w:rFonts w:hint="eastAsia"/>
          <w:b/>
          <w:bCs/>
          <w:szCs w:val="24"/>
        </w:rPr>
        <w:t>溶液的吸光度值表</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3"/>
        <w:gridCol w:w="777"/>
        <w:gridCol w:w="1106"/>
        <w:gridCol w:w="1200"/>
        <w:gridCol w:w="1360"/>
        <w:gridCol w:w="811"/>
        <w:gridCol w:w="1735"/>
      </w:tblGrid>
      <w:tr w14:paraId="090DE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blHeader/>
          <w:jc w:val="center"/>
        </w:trPr>
        <w:tc>
          <w:tcPr>
            <w:tcW w:w="909" w:type="pct"/>
            <w:noWrap w:val="0"/>
            <w:vAlign w:val="center"/>
          </w:tcPr>
          <w:p w14:paraId="765650C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样品名称</w:t>
            </w:r>
          </w:p>
        </w:tc>
        <w:tc>
          <w:tcPr>
            <w:tcW w:w="465" w:type="pct"/>
            <w:noWrap w:val="0"/>
            <w:vAlign w:val="center"/>
          </w:tcPr>
          <w:p w14:paraId="66A1CDD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取样</w:t>
            </w:r>
          </w:p>
          <w:p w14:paraId="18EAC07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编号</w:t>
            </w:r>
          </w:p>
        </w:tc>
        <w:tc>
          <w:tcPr>
            <w:tcW w:w="658" w:type="pct"/>
            <w:noWrap w:val="0"/>
            <w:vAlign w:val="center"/>
          </w:tcPr>
          <w:p w14:paraId="0452A33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szCs w:val="24"/>
              </w:rPr>
              <w:t>吸光度</w:t>
            </w:r>
          </w:p>
        </w:tc>
        <w:tc>
          <w:tcPr>
            <w:tcW w:w="713" w:type="pct"/>
            <w:noWrap w:val="0"/>
            <w:vAlign w:val="center"/>
          </w:tcPr>
          <w:p w14:paraId="11E963A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rPr>
              <w:t>Dox浓度（mg/L）</w:t>
            </w:r>
          </w:p>
        </w:tc>
        <w:tc>
          <w:tcPr>
            <w:tcW w:w="807" w:type="pct"/>
            <w:noWrap w:val="0"/>
            <w:vAlign w:val="center"/>
          </w:tcPr>
          <w:p w14:paraId="53B2934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Dox浓度平均值</w:t>
            </w:r>
          </w:p>
          <w:p w14:paraId="337352D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（mg/L）</w:t>
            </w:r>
          </w:p>
        </w:tc>
        <w:tc>
          <w:tcPr>
            <w:tcW w:w="420" w:type="pct"/>
            <w:noWrap w:val="0"/>
            <w:vAlign w:val="center"/>
          </w:tcPr>
          <w:p w14:paraId="5B6C219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RSD</w:t>
            </w:r>
          </w:p>
          <w:p w14:paraId="14D8CF1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c>
          <w:tcPr>
            <w:tcW w:w="1027" w:type="pct"/>
            <w:noWrap w:val="0"/>
            <w:vAlign w:val="center"/>
          </w:tcPr>
          <w:p w14:paraId="3CB5A31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mc:AlternateContent>
                <mc:Choice Requires="wps">
                  <w:drawing>
                    <wp:anchor distT="0" distB="0" distL="114300" distR="114300" simplePos="0" relativeHeight="251659264" behindDoc="0" locked="0" layoutInCell="1" allowOverlap="1">
                      <wp:simplePos x="0" y="0"/>
                      <wp:positionH relativeFrom="column">
                        <wp:posOffset>60960</wp:posOffset>
                      </wp:positionH>
                      <wp:positionV relativeFrom="paragraph">
                        <wp:posOffset>186690</wp:posOffset>
                      </wp:positionV>
                      <wp:extent cx="717550" cy="635"/>
                      <wp:effectExtent l="0" t="0" r="0" b="0"/>
                      <wp:wrapNone/>
                      <wp:docPr id="6" name="直接连接符 6"/>
                      <wp:cNvGraphicFramePr/>
                      <a:graphic xmlns:a="http://schemas.openxmlformats.org/drawingml/2006/main">
                        <a:graphicData uri="http://schemas.microsoft.com/office/word/2010/wordprocessingShape">
                          <wps:wsp>
                            <wps:cNvCnPr/>
                            <wps:spPr>
                              <a:xfrm>
                                <a:off x="0" y="0"/>
                                <a:ext cx="717550"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8pt;margin-top:14.7pt;height:0.05pt;width:56.5pt;z-index:251659264;mso-width-relative:page;mso-height-relative:page;" filled="f" stroked="t" coordsize="21600,21600" o:gfxdata="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MR0S/TAAAABwEAAA8AAAAAAAAAAQAgAAAAIgAAAGRycy9kb3ducmV2LnhtbFBLAQIUABQA&#10;AAAIAIdO4kB61SYH9QEAAOUDAAAOAAAAAAAAAAEAIAAAACIBAABkcnMvZTJvRG9jLnhtbFBLBQYA&#10;AAAABgAGAFkBAACJBQAAAAA=&#10;">
                      <v:fill on="f" focussize="0,0"/>
                      <v:stroke color="#000000" joinstyle="round"/>
                      <v:imagedata o:title=""/>
                      <o:lock v:ext="edit" aspectratio="f"/>
                    </v:line>
                  </w:pict>
                </mc:Fallback>
              </mc:AlternateContent>
            </w:r>
            <w:r>
              <w:rPr>
                <w:rFonts w:hint="default" w:ascii="Times New Roman" w:hAnsi="Times New Roman" w:cs="Times New Roman"/>
              </w:rPr>
              <w:t>滤液+浓缩液上清液</w:t>
            </w:r>
          </w:p>
        </w:tc>
      </w:tr>
      <w:tr w14:paraId="7C7D6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09" w:type="pct"/>
            <w:vMerge w:val="restart"/>
            <w:noWrap w:val="0"/>
            <w:vAlign w:val="center"/>
          </w:tcPr>
          <w:p w14:paraId="0553CAA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超滤滤液</w:t>
            </w:r>
          </w:p>
          <w:p w14:paraId="69568A0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（Merck）</w:t>
            </w:r>
          </w:p>
        </w:tc>
        <w:tc>
          <w:tcPr>
            <w:tcW w:w="465" w:type="pct"/>
            <w:noWrap w:val="0"/>
            <w:vAlign w:val="center"/>
          </w:tcPr>
          <w:p w14:paraId="72B6444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w:t>
            </w:r>
          </w:p>
        </w:tc>
        <w:tc>
          <w:tcPr>
            <w:tcW w:w="658" w:type="pct"/>
            <w:noWrap w:val="0"/>
            <w:vAlign w:val="center"/>
          </w:tcPr>
          <w:p w14:paraId="7F9CC9D7">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0.1015</w:t>
            </w:r>
          </w:p>
        </w:tc>
        <w:tc>
          <w:tcPr>
            <w:tcW w:w="713" w:type="pct"/>
            <w:noWrap w:val="0"/>
            <w:vAlign w:val="center"/>
          </w:tcPr>
          <w:p w14:paraId="154CBE31">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18.437</w:t>
            </w:r>
          </w:p>
        </w:tc>
        <w:tc>
          <w:tcPr>
            <w:tcW w:w="807" w:type="pct"/>
            <w:vMerge w:val="restart"/>
            <w:noWrap w:val="0"/>
            <w:vAlign w:val="center"/>
          </w:tcPr>
          <w:p w14:paraId="2082461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18.42</w:t>
            </w:r>
          </w:p>
        </w:tc>
        <w:tc>
          <w:tcPr>
            <w:tcW w:w="420" w:type="pct"/>
            <w:vMerge w:val="restart"/>
            <w:noWrap w:val="0"/>
            <w:vAlign w:val="center"/>
          </w:tcPr>
          <w:p w14:paraId="7DAA833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0.4</w:t>
            </w:r>
          </w:p>
        </w:tc>
        <w:tc>
          <w:tcPr>
            <w:tcW w:w="1027" w:type="pct"/>
            <w:noWrap w:val="0"/>
            <w:vAlign w:val="center"/>
          </w:tcPr>
          <w:p w14:paraId="7CA4738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89.3%</w:t>
            </w:r>
          </w:p>
        </w:tc>
      </w:tr>
      <w:tr w14:paraId="49F4E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09" w:type="pct"/>
            <w:vMerge w:val="continue"/>
            <w:noWrap w:val="0"/>
            <w:vAlign w:val="center"/>
          </w:tcPr>
          <w:p w14:paraId="4E10525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06B2837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2</w:t>
            </w:r>
          </w:p>
        </w:tc>
        <w:tc>
          <w:tcPr>
            <w:tcW w:w="658" w:type="pct"/>
            <w:noWrap w:val="0"/>
            <w:vAlign w:val="center"/>
          </w:tcPr>
          <w:p w14:paraId="541602F1">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0.1011</w:t>
            </w:r>
          </w:p>
        </w:tc>
        <w:tc>
          <w:tcPr>
            <w:tcW w:w="713" w:type="pct"/>
            <w:noWrap w:val="0"/>
            <w:vAlign w:val="center"/>
          </w:tcPr>
          <w:p w14:paraId="6B98B9E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18.343</w:t>
            </w:r>
          </w:p>
        </w:tc>
        <w:tc>
          <w:tcPr>
            <w:tcW w:w="807" w:type="pct"/>
            <w:vMerge w:val="continue"/>
            <w:noWrap w:val="0"/>
            <w:vAlign w:val="center"/>
          </w:tcPr>
          <w:p w14:paraId="0A510B7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24D78F0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noWrap w:val="0"/>
            <w:vAlign w:val="center"/>
          </w:tcPr>
          <w:p w14:paraId="5E936A3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88.5%</w:t>
            </w:r>
          </w:p>
        </w:tc>
      </w:tr>
      <w:tr w14:paraId="7D6F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698E55A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4DC8E81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3</w:t>
            </w:r>
          </w:p>
        </w:tc>
        <w:tc>
          <w:tcPr>
            <w:tcW w:w="658" w:type="pct"/>
            <w:noWrap w:val="0"/>
            <w:vAlign w:val="center"/>
          </w:tcPr>
          <w:p w14:paraId="561DD9FE">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0.1017</w:t>
            </w:r>
          </w:p>
        </w:tc>
        <w:tc>
          <w:tcPr>
            <w:tcW w:w="713" w:type="pct"/>
            <w:noWrap w:val="0"/>
            <w:vAlign w:val="center"/>
          </w:tcPr>
          <w:p w14:paraId="09AA603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18.484</w:t>
            </w:r>
          </w:p>
        </w:tc>
        <w:tc>
          <w:tcPr>
            <w:tcW w:w="807" w:type="pct"/>
            <w:vMerge w:val="continue"/>
            <w:noWrap w:val="0"/>
            <w:vAlign w:val="center"/>
          </w:tcPr>
          <w:p w14:paraId="3B9047E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2E2D686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noWrap w:val="0"/>
            <w:vAlign w:val="center"/>
          </w:tcPr>
          <w:p w14:paraId="125D581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89.3%</w:t>
            </w:r>
          </w:p>
        </w:tc>
      </w:tr>
      <w:tr w14:paraId="3419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restart"/>
            <w:noWrap w:val="0"/>
            <w:vAlign w:val="center"/>
          </w:tcPr>
          <w:p w14:paraId="74FE2B9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超滤浓缩液-JQT14-DOX</w:t>
            </w:r>
          </w:p>
          <w:p w14:paraId="4B2BF35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（Merck）</w:t>
            </w:r>
          </w:p>
        </w:tc>
        <w:tc>
          <w:tcPr>
            <w:tcW w:w="465" w:type="pct"/>
            <w:noWrap w:val="0"/>
            <w:vAlign w:val="center"/>
          </w:tcPr>
          <w:p w14:paraId="598DA02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w:t>
            </w:r>
          </w:p>
        </w:tc>
        <w:tc>
          <w:tcPr>
            <w:tcW w:w="658" w:type="pct"/>
            <w:noWrap w:val="0"/>
            <w:vAlign w:val="center"/>
          </w:tcPr>
          <w:p w14:paraId="16FD1819">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0.5923</w:t>
            </w:r>
          </w:p>
        </w:tc>
        <w:tc>
          <w:tcPr>
            <w:tcW w:w="713" w:type="pct"/>
            <w:noWrap w:val="0"/>
            <w:vAlign w:val="center"/>
          </w:tcPr>
          <w:p w14:paraId="15B39316">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118.185</w:t>
            </w:r>
          </w:p>
        </w:tc>
        <w:tc>
          <w:tcPr>
            <w:tcW w:w="807" w:type="pct"/>
            <w:vMerge w:val="restart"/>
            <w:noWrap w:val="0"/>
            <w:vAlign w:val="center"/>
          </w:tcPr>
          <w:p w14:paraId="71ABECF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117.17</w:t>
            </w:r>
          </w:p>
        </w:tc>
        <w:tc>
          <w:tcPr>
            <w:tcW w:w="420" w:type="pct"/>
            <w:vMerge w:val="restart"/>
            <w:noWrap w:val="0"/>
            <w:vAlign w:val="center"/>
          </w:tcPr>
          <w:p w14:paraId="0BD5E24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0.9</w:t>
            </w:r>
          </w:p>
        </w:tc>
        <w:tc>
          <w:tcPr>
            <w:tcW w:w="1027" w:type="pct"/>
            <w:noWrap w:val="0"/>
            <w:vAlign w:val="center"/>
          </w:tcPr>
          <w:p w14:paraId="717D727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r>
      <w:tr w14:paraId="1BD56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4C47B9B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1D76326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2</w:t>
            </w:r>
          </w:p>
        </w:tc>
        <w:tc>
          <w:tcPr>
            <w:tcW w:w="658" w:type="pct"/>
            <w:noWrap w:val="0"/>
            <w:vAlign w:val="center"/>
          </w:tcPr>
          <w:p w14:paraId="4EA683CE">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0.5827</w:t>
            </w:r>
          </w:p>
        </w:tc>
        <w:tc>
          <w:tcPr>
            <w:tcW w:w="713" w:type="pct"/>
            <w:noWrap w:val="0"/>
            <w:vAlign w:val="center"/>
          </w:tcPr>
          <w:p w14:paraId="4A37AF2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116.191</w:t>
            </w:r>
          </w:p>
        </w:tc>
        <w:tc>
          <w:tcPr>
            <w:tcW w:w="807" w:type="pct"/>
            <w:vMerge w:val="continue"/>
            <w:noWrap w:val="0"/>
            <w:vAlign w:val="center"/>
          </w:tcPr>
          <w:p w14:paraId="1D7CB3D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1235FC1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noWrap w:val="0"/>
            <w:vAlign w:val="center"/>
          </w:tcPr>
          <w:p w14:paraId="5884CB9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r>
      <w:tr w14:paraId="5276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60DD089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40CBF30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3</w:t>
            </w:r>
          </w:p>
        </w:tc>
        <w:tc>
          <w:tcPr>
            <w:tcW w:w="658" w:type="pct"/>
            <w:noWrap w:val="0"/>
            <w:vAlign w:val="center"/>
          </w:tcPr>
          <w:p w14:paraId="60AA3197">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0.5873</w:t>
            </w:r>
          </w:p>
        </w:tc>
        <w:tc>
          <w:tcPr>
            <w:tcW w:w="713" w:type="pct"/>
            <w:noWrap w:val="0"/>
            <w:vAlign w:val="center"/>
          </w:tcPr>
          <w:p w14:paraId="246E2E2A">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117.146</w:t>
            </w:r>
          </w:p>
        </w:tc>
        <w:tc>
          <w:tcPr>
            <w:tcW w:w="807" w:type="pct"/>
            <w:vMerge w:val="continue"/>
            <w:noWrap w:val="0"/>
            <w:vAlign w:val="center"/>
          </w:tcPr>
          <w:p w14:paraId="0A7762F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5C0E894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noWrap w:val="0"/>
            <w:vAlign w:val="center"/>
          </w:tcPr>
          <w:p w14:paraId="0706B7D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r>
      <w:tr w14:paraId="132E4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restart"/>
            <w:noWrap w:val="0"/>
            <w:vAlign w:val="center"/>
          </w:tcPr>
          <w:p w14:paraId="142CE9B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超滤滤液</w:t>
            </w:r>
          </w:p>
          <w:p w14:paraId="6A842BB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（PALL）</w:t>
            </w:r>
          </w:p>
        </w:tc>
        <w:tc>
          <w:tcPr>
            <w:tcW w:w="465" w:type="pct"/>
            <w:noWrap w:val="0"/>
            <w:vAlign w:val="center"/>
          </w:tcPr>
          <w:p w14:paraId="35D7995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w:t>
            </w:r>
          </w:p>
        </w:tc>
        <w:tc>
          <w:tcPr>
            <w:tcW w:w="658" w:type="pct"/>
            <w:noWrap w:val="0"/>
            <w:vAlign w:val="center"/>
          </w:tcPr>
          <w:p w14:paraId="166150D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0.1165</w:t>
            </w:r>
          </w:p>
        </w:tc>
        <w:tc>
          <w:tcPr>
            <w:tcW w:w="713" w:type="pct"/>
            <w:noWrap w:val="0"/>
            <w:vAlign w:val="center"/>
          </w:tcPr>
          <w:p w14:paraId="663449D5">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21.978</w:t>
            </w:r>
          </w:p>
        </w:tc>
        <w:tc>
          <w:tcPr>
            <w:tcW w:w="807" w:type="pct"/>
            <w:vMerge w:val="restart"/>
            <w:noWrap w:val="0"/>
            <w:vAlign w:val="center"/>
          </w:tcPr>
          <w:p w14:paraId="05DA247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22.39</w:t>
            </w:r>
          </w:p>
        </w:tc>
        <w:tc>
          <w:tcPr>
            <w:tcW w:w="420" w:type="pct"/>
            <w:vMerge w:val="restart"/>
            <w:noWrap w:val="0"/>
            <w:vAlign w:val="center"/>
          </w:tcPr>
          <w:p w14:paraId="3837546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1.6</w:t>
            </w:r>
          </w:p>
        </w:tc>
        <w:tc>
          <w:tcPr>
            <w:tcW w:w="1027" w:type="pct"/>
            <w:noWrap w:val="0"/>
            <w:vAlign w:val="center"/>
          </w:tcPr>
          <w:p w14:paraId="3F2F0B5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87.2%</w:t>
            </w:r>
          </w:p>
        </w:tc>
      </w:tr>
      <w:tr w14:paraId="24F2C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pct"/>
            <w:vMerge w:val="continue"/>
            <w:noWrap w:val="0"/>
            <w:vAlign w:val="center"/>
          </w:tcPr>
          <w:p w14:paraId="76546DC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271ECBC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2</w:t>
            </w:r>
          </w:p>
        </w:tc>
        <w:tc>
          <w:tcPr>
            <w:tcW w:w="658" w:type="pct"/>
            <w:noWrap w:val="0"/>
            <w:vAlign w:val="center"/>
          </w:tcPr>
          <w:p w14:paraId="39618664">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0.1191</w:t>
            </w:r>
          </w:p>
        </w:tc>
        <w:tc>
          <w:tcPr>
            <w:tcW w:w="713" w:type="pct"/>
            <w:noWrap w:val="0"/>
            <w:vAlign w:val="center"/>
          </w:tcPr>
          <w:p w14:paraId="43E006A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22.592</w:t>
            </w:r>
          </w:p>
        </w:tc>
        <w:tc>
          <w:tcPr>
            <w:tcW w:w="807" w:type="pct"/>
            <w:vMerge w:val="continue"/>
            <w:noWrap w:val="0"/>
            <w:vAlign w:val="center"/>
          </w:tcPr>
          <w:p w14:paraId="0811C3E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3DC301B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noWrap w:val="0"/>
            <w:vAlign w:val="center"/>
          </w:tcPr>
          <w:p w14:paraId="256D416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89.5%</w:t>
            </w:r>
          </w:p>
        </w:tc>
      </w:tr>
      <w:tr w14:paraId="2D6C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1E44BB9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5129967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3</w:t>
            </w:r>
          </w:p>
        </w:tc>
        <w:tc>
          <w:tcPr>
            <w:tcW w:w="658" w:type="pct"/>
            <w:noWrap w:val="0"/>
            <w:vAlign w:val="center"/>
          </w:tcPr>
          <w:p w14:paraId="33D7D807">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0.1191</w:t>
            </w:r>
          </w:p>
        </w:tc>
        <w:tc>
          <w:tcPr>
            <w:tcW w:w="713" w:type="pct"/>
            <w:noWrap w:val="0"/>
            <w:vAlign w:val="center"/>
          </w:tcPr>
          <w:p w14:paraId="4C7BB10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22.592</w:t>
            </w:r>
          </w:p>
        </w:tc>
        <w:tc>
          <w:tcPr>
            <w:tcW w:w="807" w:type="pct"/>
            <w:vMerge w:val="continue"/>
            <w:noWrap w:val="0"/>
            <w:vAlign w:val="center"/>
          </w:tcPr>
          <w:p w14:paraId="6735CF4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5003F47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noWrap w:val="0"/>
            <w:vAlign w:val="center"/>
          </w:tcPr>
          <w:p w14:paraId="6C8F199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88.8%</w:t>
            </w:r>
          </w:p>
        </w:tc>
      </w:tr>
      <w:tr w14:paraId="2341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restart"/>
            <w:noWrap w:val="0"/>
            <w:vAlign w:val="center"/>
          </w:tcPr>
          <w:p w14:paraId="3614C3A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超滤浓缩液-JQT14-DOX</w:t>
            </w:r>
          </w:p>
          <w:p w14:paraId="4863813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（PALL）</w:t>
            </w:r>
          </w:p>
        </w:tc>
        <w:tc>
          <w:tcPr>
            <w:tcW w:w="465" w:type="pct"/>
            <w:noWrap w:val="0"/>
            <w:vAlign w:val="center"/>
          </w:tcPr>
          <w:p w14:paraId="3B8C046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w:t>
            </w:r>
          </w:p>
        </w:tc>
        <w:tc>
          <w:tcPr>
            <w:tcW w:w="658" w:type="pct"/>
            <w:noWrap w:val="0"/>
            <w:vAlign w:val="center"/>
          </w:tcPr>
          <w:p w14:paraId="58B9A91C">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0.6140</w:t>
            </w:r>
          </w:p>
        </w:tc>
        <w:tc>
          <w:tcPr>
            <w:tcW w:w="713" w:type="pct"/>
            <w:noWrap w:val="0"/>
            <w:vAlign w:val="center"/>
          </w:tcPr>
          <w:p w14:paraId="0236AB58">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111.539</w:t>
            </w:r>
          </w:p>
        </w:tc>
        <w:tc>
          <w:tcPr>
            <w:tcW w:w="807" w:type="pct"/>
            <w:vMerge w:val="restart"/>
            <w:noWrap w:val="0"/>
            <w:vAlign w:val="center"/>
          </w:tcPr>
          <w:p w14:paraId="045D9B9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112.43</w:t>
            </w:r>
          </w:p>
        </w:tc>
        <w:tc>
          <w:tcPr>
            <w:tcW w:w="420" w:type="pct"/>
            <w:vMerge w:val="restart"/>
            <w:noWrap w:val="0"/>
            <w:vAlign w:val="center"/>
          </w:tcPr>
          <w:p w14:paraId="2176216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0.9</w:t>
            </w:r>
          </w:p>
        </w:tc>
        <w:tc>
          <w:tcPr>
            <w:tcW w:w="1027" w:type="pct"/>
            <w:noWrap w:val="0"/>
            <w:vAlign w:val="center"/>
          </w:tcPr>
          <w:p w14:paraId="163A13E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r>
      <w:tr w14:paraId="4970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3021494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5EC8029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2</w:t>
            </w:r>
          </w:p>
        </w:tc>
        <w:tc>
          <w:tcPr>
            <w:tcW w:w="658" w:type="pct"/>
            <w:noWrap w:val="0"/>
            <w:vAlign w:val="center"/>
          </w:tcPr>
          <w:p w14:paraId="559375CB">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0.6242</w:t>
            </w:r>
          </w:p>
        </w:tc>
        <w:tc>
          <w:tcPr>
            <w:tcW w:w="713" w:type="pct"/>
            <w:noWrap w:val="0"/>
            <w:vAlign w:val="center"/>
          </w:tcPr>
          <w:p w14:paraId="38E83608">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113.466</w:t>
            </w:r>
          </w:p>
        </w:tc>
        <w:tc>
          <w:tcPr>
            <w:tcW w:w="807" w:type="pct"/>
            <w:vMerge w:val="continue"/>
            <w:noWrap w:val="0"/>
            <w:vAlign w:val="center"/>
          </w:tcPr>
          <w:p w14:paraId="24E14AF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2BF87C0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noWrap w:val="0"/>
            <w:vAlign w:val="center"/>
          </w:tcPr>
          <w:p w14:paraId="4071003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r>
      <w:tr w14:paraId="369D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6001A79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2BBDE3D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3</w:t>
            </w:r>
          </w:p>
        </w:tc>
        <w:tc>
          <w:tcPr>
            <w:tcW w:w="658" w:type="pct"/>
            <w:noWrap w:val="0"/>
            <w:vAlign w:val="center"/>
          </w:tcPr>
          <w:p w14:paraId="76DBE679">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0.6180</w:t>
            </w:r>
          </w:p>
        </w:tc>
        <w:tc>
          <w:tcPr>
            <w:tcW w:w="713" w:type="pct"/>
            <w:noWrap w:val="0"/>
            <w:vAlign w:val="center"/>
          </w:tcPr>
          <w:p w14:paraId="16C8B78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112.295</w:t>
            </w:r>
          </w:p>
        </w:tc>
        <w:tc>
          <w:tcPr>
            <w:tcW w:w="807" w:type="pct"/>
            <w:vMerge w:val="continue"/>
            <w:noWrap w:val="0"/>
            <w:vAlign w:val="center"/>
          </w:tcPr>
          <w:p w14:paraId="1812812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2A997F5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noWrap w:val="0"/>
            <w:vAlign w:val="center"/>
          </w:tcPr>
          <w:p w14:paraId="4436BF4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r>
      <w:tr w14:paraId="06584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restart"/>
            <w:noWrap w:val="0"/>
            <w:vAlign w:val="center"/>
          </w:tcPr>
          <w:p w14:paraId="60BC33B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矿化反应混合液-离心上清液</w:t>
            </w:r>
          </w:p>
        </w:tc>
        <w:tc>
          <w:tcPr>
            <w:tcW w:w="465" w:type="pct"/>
            <w:noWrap w:val="0"/>
            <w:vAlign w:val="center"/>
          </w:tcPr>
          <w:p w14:paraId="33AC051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w:t>
            </w:r>
          </w:p>
        </w:tc>
        <w:tc>
          <w:tcPr>
            <w:tcW w:w="658" w:type="pct"/>
            <w:noWrap w:val="0"/>
            <w:vAlign w:val="center"/>
          </w:tcPr>
          <w:p w14:paraId="4E4227AF">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0.6717</w:t>
            </w:r>
          </w:p>
        </w:tc>
        <w:tc>
          <w:tcPr>
            <w:tcW w:w="713" w:type="pct"/>
            <w:noWrap w:val="0"/>
            <w:vAlign w:val="center"/>
          </w:tcPr>
          <w:p w14:paraId="099FA6AD">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153.045</w:t>
            </w:r>
          </w:p>
        </w:tc>
        <w:tc>
          <w:tcPr>
            <w:tcW w:w="807" w:type="pct"/>
            <w:vMerge w:val="restart"/>
            <w:noWrap w:val="0"/>
            <w:vAlign w:val="center"/>
          </w:tcPr>
          <w:p w14:paraId="6CC56C7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152.32</w:t>
            </w:r>
          </w:p>
        </w:tc>
        <w:tc>
          <w:tcPr>
            <w:tcW w:w="420" w:type="pct"/>
            <w:vMerge w:val="restart"/>
            <w:noWrap w:val="0"/>
            <w:vAlign w:val="center"/>
          </w:tcPr>
          <w:p w14:paraId="3B42A8A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0.5</w:t>
            </w:r>
          </w:p>
        </w:tc>
        <w:tc>
          <w:tcPr>
            <w:tcW w:w="1027" w:type="pct"/>
            <w:vMerge w:val="restart"/>
            <w:noWrap w:val="0"/>
            <w:vAlign w:val="center"/>
          </w:tcPr>
          <w:p w14:paraId="6079F79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r>
      <w:tr w14:paraId="6CF0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30AFA89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2899747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2</w:t>
            </w:r>
          </w:p>
        </w:tc>
        <w:tc>
          <w:tcPr>
            <w:tcW w:w="658" w:type="pct"/>
            <w:noWrap w:val="0"/>
            <w:vAlign w:val="center"/>
          </w:tcPr>
          <w:p w14:paraId="1FE93B9A">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0.6672</w:t>
            </w:r>
          </w:p>
        </w:tc>
        <w:tc>
          <w:tcPr>
            <w:tcW w:w="713" w:type="pct"/>
            <w:noWrap w:val="0"/>
            <w:vAlign w:val="center"/>
          </w:tcPr>
          <w:p w14:paraId="184E1D9D">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151.983</w:t>
            </w:r>
          </w:p>
        </w:tc>
        <w:tc>
          <w:tcPr>
            <w:tcW w:w="807" w:type="pct"/>
            <w:vMerge w:val="continue"/>
            <w:noWrap w:val="0"/>
            <w:vAlign w:val="center"/>
          </w:tcPr>
          <w:p w14:paraId="3574EB5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68ED4F5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vMerge w:val="continue"/>
            <w:noWrap w:val="0"/>
            <w:vAlign w:val="center"/>
          </w:tcPr>
          <w:p w14:paraId="5345E4B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r>
      <w:tr w14:paraId="05B59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16EA957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1D1AFAF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3</w:t>
            </w:r>
          </w:p>
        </w:tc>
        <w:tc>
          <w:tcPr>
            <w:tcW w:w="658" w:type="pct"/>
            <w:noWrap w:val="0"/>
            <w:vAlign w:val="center"/>
          </w:tcPr>
          <w:p w14:paraId="5C9D959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0.6670</w:t>
            </w:r>
          </w:p>
        </w:tc>
        <w:tc>
          <w:tcPr>
            <w:tcW w:w="713" w:type="pct"/>
            <w:noWrap w:val="0"/>
            <w:vAlign w:val="center"/>
          </w:tcPr>
          <w:p w14:paraId="268C15C1">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151.936</w:t>
            </w:r>
          </w:p>
        </w:tc>
        <w:tc>
          <w:tcPr>
            <w:tcW w:w="807" w:type="pct"/>
            <w:vMerge w:val="continue"/>
            <w:noWrap w:val="0"/>
            <w:vAlign w:val="center"/>
          </w:tcPr>
          <w:p w14:paraId="7D1BB0A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65CF41E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vMerge w:val="continue"/>
            <w:noWrap w:val="0"/>
            <w:vAlign w:val="center"/>
          </w:tcPr>
          <w:p w14:paraId="26B7A47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r>
      <w:tr w14:paraId="171A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restart"/>
            <w:noWrap w:val="0"/>
            <w:vAlign w:val="center"/>
          </w:tcPr>
          <w:p w14:paraId="380DB10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矿化反应混合液</w:t>
            </w:r>
          </w:p>
        </w:tc>
        <w:tc>
          <w:tcPr>
            <w:tcW w:w="465" w:type="pct"/>
            <w:noWrap w:val="0"/>
            <w:vAlign w:val="center"/>
          </w:tcPr>
          <w:p w14:paraId="4E96140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1</w:t>
            </w:r>
          </w:p>
        </w:tc>
        <w:tc>
          <w:tcPr>
            <w:tcW w:w="658" w:type="pct"/>
            <w:noWrap w:val="0"/>
            <w:vAlign w:val="center"/>
          </w:tcPr>
          <w:p w14:paraId="1CC8A9E3">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0.7144</w:t>
            </w:r>
          </w:p>
        </w:tc>
        <w:tc>
          <w:tcPr>
            <w:tcW w:w="713" w:type="pct"/>
            <w:noWrap w:val="0"/>
            <w:vAlign w:val="center"/>
          </w:tcPr>
          <w:p w14:paraId="4AA65E7E">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163.126</w:t>
            </w:r>
          </w:p>
        </w:tc>
        <w:tc>
          <w:tcPr>
            <w:tcW w:w="807" w:type="pct"/>
            <w:vMerge w:val="restart"/>
            <w:noWrap w:val="0"/>
            <w:vAlign w:val="center"/>
          </w:tcPr>
          <w:p w14:paraId="4E56279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163.61</w:t>
            </w:r>
          </w:p>
        </w:tc>
        <w:tc>
          <w:tcPr>
            <w:tcW w:w="420" w:type="pct"/>
            <w:vMerge w:val="restart"/>
            <w:noWrap w:val="0"/>
            <w:vAlign w:val="center"/>
          </w:tcPr>
          <w:p w14:paraId="78D4D40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0.6</w:t>
            </w:r>
          </w:p>
        </w:tc>
        <w:tc>
          <w:tcPr>
            <w:tcW w:w="1027" w:type="pct"/>
            <w:vMerge w:val="restart"/>
            <w:noWrap w:val="0"/>
            <w:vAlign w:val="center"/>
          </w:tcPr>
          <w:p w14:paraId="57FAE48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r>
              <w:rPr>
                <w:rFonts w:hint="default" w:ascii="Times New Roman" w:hAnsi="Times New Roman" w:cs="Times New Roman"/>
              </w:rPr>
              <w:t>/</w:t>
            </w:r>
          </w:p>
        </w:tc>
      </w:tr>
      <w:tr w14:paraId="60F6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0B57EF5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663C57E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2</w:t>
            </w:r>
          </w:p>
        </w:tc>
        <w:tc>
          <w:tcPr>
            <w:tcW w:w="658" w:type="pct"/>
            <w:noWrap w:val="0"/>
            <w:vAlign w:val="center"/>
          </w:tcPr>
          <w:p w14:paraId="5AE605E0">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0.7208</w:t>
            </w:r>
          </w:p>
        </w:tc>
        <w:tc>
          <w:tcPr>
            <w:tcW w:w="713" w:type="pct"/>
            <w:noWrap w:val="0"/>
            <w:vAlign w:val="center"/>
          </w:tcPr>
          <w:p w14:paraId="65D321C4">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164.636</w:t>
            </w:r>
          </w:p>
        </w:tc>
        <w:tc>
          <w:tcPr>
            <w:tcW w:w="807" w:type="pct"/>
            <w:vMerge w:val="continue"/>
            <w:noWrap w:val="0"/>
            <w:vAlign w:val="center"/>
          </w:tcPr>
          <w:p w14:paraId="6969814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73C46FB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vMerge w:val="continue"/>
            <w:noWrap w:val="0"/>
            <w:vAlign w:val="center"/>
          </w:tcPr>
          <w:p w14:paraId="3DC0A03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r>
      <w:tr w14:paraId="73406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 w:type="pct"/>
            <w:vMerge w:val="continue"/>
            <w:noWrap w:val="0"/>
            <w:vAlign w:val="center"/>
          </w:tcPr>
          <w:p w14:paraId="3ED1CD7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p>
        </w:tc>
        <w:tc>
          <w:tcPr>
            <w:tcW w:w="465" w:type="pct"/>
            <w:noWrap w:val="0"/>
            <w:vAlign w:val="center"/>
          </w:tcPr>
          <w:p w14:paraId="685F1DC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szCs w:val="24"/>
              </w:rPr>
            </w:pPr>
            <w:r>
              <w:rPr>
                <w:rFonts w:hint="default" w:ascii="Times New Roman" w:hAnsi="Times New Roman" w:cs="Times New Roman"/>
                <w:szCs w:val="24"/>
              </w:rPr>
              <w:t>3</w:t>
            </w:r>
          </w:p>
        </w:tc>
        <w:tc>
          <w:tcPr>
            <w:tcW w:w="658" w:type="pct"/>
            <w:noWrap w:val="0"/>
            <w:vAlign w:val="center"/>
          </w:tcPr>
          <w:p w14:paraId="66158531">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color w:val="000000"/>
                <w:kern w:val="0"/>
                <w:szCs w:val="24"/>
                <w:lang w:bidi="ar"/>
              </w:rPr>
              <w:t>0.7141</w:t>
            </w:r>
          </w:p>
        </w:tc>
        <w:tc>
          <w:tcPr>
            <w:tcW w:w="713" w:type="pct"/>
            <w:noWrap w:val="0"/>
            <w:vAlign w:val="center"/>
          </w:tcPr>
          <w:p w14:paraId="7110C899">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Cs w:val="24"/>
              </w:rPr>
            </w:pPr>
            <w:r>
              <w:rPr>
                <w:rFonts w:hint="default" w:ascii="Times New Roman" w:hAnsi="Times New Roman" w:cs="Times New Roman"/>
                <w:szCs w:val="24"/>
              </w:rPr>
              <w:t>163.055</w:t>
            </w:r>
          </w:p>
        </w:tc>
        <w:tc>
          <w:tcPr>
            <w:tcW w:w="807" w:type="pct"/>
            <w:vMerge w:val="continue"/>
            <w:noWrap w:val="0"/>
            <w:vAlign w:val="center"/>
          </w:tcPr>
          <w:p w14:paraId="6589B1C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420" w:type="pct"/>
            <w:vMerge w:val="continue"/>
            <w:noWrap w:val="0"/>
            <w:vAlign w:val="center"/>
          </w:tcPr>
          <w:p w14:paraId="4129C11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c>
          <w:tcPr>
            <w:tcW w:w="1027" w:type="pct"/>
            <w:vMerge w:val="continue"/>
            <w:noWrap w:val="0"/>
            <w:vAlign w:val="center"/>
          </w:tcPr>
          <w:p w14:paraId="7C34C93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rPr>
            </w:pPr>
          </w:p>
        </w:tc>
      </w:tr>
    </w:tbl>
    <w:p w14:paraId="6B1A62AF">
      <w:pPr>
        <w:widowControl/>
        <w:spacing w:after="160" w:line="278" w:lineRule="auto"/>
        <w:rPr>
          <w:rFonts w:hint="default" w:ascii="Times New Roman" w:hAnsi="Times New Roman" w:cs="Times New Roman"/>
          <w:szCs w:val="24"/>
        </w:rPr>
      </w:pPr>
      <w:r>
        <w:rPr>
          <w:sz w:val="18"/>
          <w:szCs w:val="18"/>
        </w:rPr>
        <w:t>注：</w:t>
      </w:r>
      <w:r>
        <w:rPr>
          <w:rFonts w:hint="eastAsia"/>
          <w:sz w:val="18"/>
          <w:szCs w:val="18"/>
        </w:rPr>
        <w:t>本次</w:t>
      </w:r>
      <w:r>
        <w:rPr>
          <w:rFonts w:hint="default" w:ascii="Times New Roman" w:hAnsi="Times New Roman" w:cs="Times New Roman"/>
          <w:sz w:val="18"/>
          <w:szCs w:val="18"/>
        </w:rPr>
        <w:t>试验分别采用Merck和Pall超滤离心管进行测定，离心后Merck滤膜上约有40μl液体残留，Pall滤膜上基本无</w:t>
      </w:r>
      <w:r>
        <w:rPr>
          <w:rFonts w:hint="eastAsia"/>
          <w:sz w:val="18"/>
          <w:szCs w:val="18"/>
        </w:rPr>
        <w:t>液体残留</w:t>
      </w:r>
    </w:p>
    <w:p w14:paraId="4F79291D">
      <w:pPr>
        <w:widowControl/>
        <w:spacing w:after="160" w:line="278" w:lineRule="auto"/>
        <w:rPr>
          <w:rFonts w:hint="default" w:ascii="Times New Roman" w:hAnsi="Times New Roman" w:cs="Times New Roman"/>
          <w:sz w:val="24"/>
          <w:vertAlign w:val="baseline"/>
          <w:lang w:val="en-US" w:eastAsia="zh-CN"/>
        </w:rPr>
      </w:pPr>
      <w:r>
        <w:rPr>
          <w:rFonts w:hint="default" w:ascii="Times New Roman" w:hAnsi="Times New Roman" w:cs="Times New Roman"/>
          <w:sz w:val="24"/>
          <w:vertAlign w:val="baseline"/>
          <w:lang w:val="en-US" w:eastAsia="zh-CN"/>
        </w:rPr>
        <w:t>离    心：矿化反应混合液 → 沉淀 + 上清液</w:t>
      </w:r>
    </w:p>
    <w:p w14:paraId="4B22B47E">
      <w:pPr>
        <w:widowControl/>
        <w:spacing w:after="160" w:line="278" w:lineRule="auto"/>
        <w:rPr>
          <w:rFonts w:hint="default" w:ascii="Times New Roman" w:hAnsi="Times New Roman" w:cs="Times New Roman"/>
          <w:sz w:val="24"/>
          <w:vertAlign w:val="baseline"/>
          <w:lang w:val="en-US" w:eastAsia="zh-CN"/>
        </w:rPr>
      </w:pPr>
      <w:r>
        <w:rPr>
          <w:rFonts w:hint="default" w:ascii="Times New Roman" w:hAnsi="Times New Roman" w:cs="Times New Roman"/>
          <w:sz w:val="24"/>
          <w:vertAlign w:val="baseline"/>
          <w:lang w:val="en-US" w:eastAsia="zh-CN"/>
        </w:rPr>
        <w:t>超滤离心：上清液 → 滤液 + 浓缩液（JQT14-DOX）</w:t>
      </w:r>
    </w:p>
    <w:p w14:paraId="57FC3B02">
      <w:pPr>
        <w:pStyle w:val="53"/>
        <w:spacing w:line="360" w:lineRule="auto"/>
        <w:outlineLvl w:val="2"/>
        <w:rPr>
          <w:rFonts w:hint="default" w:ascii="Times New Roman" w:hAnsi="Times New Roman" w:cs="Times New Roman"/>
          <w:sz w:val="24"/>
          <w:szCs w:val="24"/>
        </w:rPr>
      </w:pPr>
      <w:bookmarkStart w:id="61" w:name="_Toc31081"/>
      <w:bookmarkStart w:id="62" w:name="_Toc8092"/>
      <w:r>
        <w:rPr>
          <w:rFonts w:hint="default" w:ascii="Times New Roman" w:hAnsi="Times New Roman" w:cs="Times New Roman"/>
          <w:sz w:val="24"/>
          <w:szCs w:val="24"/>
        </w:rPr>
        <w:t>3.4.3 验证结果计算</w:t>
      </w:r>
      <w:bookmarkEnd w:id="61"/>
      <w:bookmarkEnd w:id="62"/>
    </w:p>
    <w:p w14:paraId="157E5056">
      <w:pPr>
        <w:pStyle w:val="41"/>
        <w:spacing w:line="360" w:lineRule="auto"/>
        <w:ind w:firstLine="420" w:firstLineChars="0"/>
        <w:rPr>
          <w:rFonts w:hint="default" w:ascii="Times New Roman" w:hAnsi="Times New Roman" w:cs="Times New Roman"/>
          <w:sz w:val="24"/>
          <w:szCs w:val="24"/>
        </w:rPr>
      </w:pPr>
      <w:r>
        <w:rPr>
          <w:rFonts w:hint="default" w:ascii="Times New Roman" w:hAnsi="Times New Roman" w:cs="Times New Roman"/>
          <w:sz w:val="24"/>
          <w:szCs w:val="24"/>
        </w:rPr>
        <w:t>根据包封率计算公式计算有效成分</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DOX</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的包封率：</w:t>
      </w:r>
    </w:p>
    <w:p w14:paraId="69FF920F">
      <w:pPr>
        <w:pStyle w:val="41"/>
        <w:ind w:firstLine="420"/>
        <w:jc w:val="center"/>
        <w:rPr>
          <w:rFonts w:hAnsi="Cambria Math" w:cs="Cambria Math"/>
          <w:b w:val="0"/>
          <w:i w:val="0"/>
          <w:color w:val="0000FF"/>
        </w:rPr>
      </w:pPr>
      <m:oMathPara>
        <m:oMath>
          <m:r>
            <m:rPr>
              <m:sty m:val="p"/>
            </m:rPr>
            <w:rPr>
              <w:rFonts w:hint="default" w:ascii="Cambria Math" w:hAnsi="Cambria Math"/>
              <w:color w:val="auto"/>
              <w:lang w:val="en-US" w:eastAsia="zh-CN"/>
            </w:rPr>
            <m:t>EE</m:t>
          </m:r>
          <m:r>
            <m:rPr>
              <m:sty m:val="p"/>
            </m:rPr>
            <w:rPr>
              <w:rFonts w:hint="default" w:ascii="Cambria Math" w:hAnsi="Cambria Math"/>
              <w:color w:val="auto"/>
            </w:rPr>
            <m:t>=</m:t>
          </m:r>
          <m:f>
            <m:fPr>
              <m:ctrlPr>
                <w:rPr>
                  <w:rFonts w:hint="default" w:ascii="Cambria Math" w:hAnsi="Cambria Math" w:cs="Cambria Math"/>
                  <w:b w:val="0"/>
                  <w:i w:val="0"/>
                  <w:color w:val="auto"/>
                  <w:sz w:val="21"/>
                  <w:lang w:val="en-US" w:eastAsia="zh-CN" w:bidi="ar-SA"/>
                </w:rPr>
              </m:ctrlPr>
            </m:fPr>
            <m:num>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E</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num>
            <m:den>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total</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den>
          </m:f>
          <m:r>
            <m:rPr>
              <m:sty m:val="p"/>
            </m:rPr>
            <w:rPr>
              <w:rFonts w:hint="default" w:ascii="Cambria Math" w:hAnsi="Cambria Math" w:cs="Cambria Math"/>
              <w:color w:val="auto"/>
            </w:rPr>
            <m:t>×</m:t>
          </m:r>
          <m:r>
            <m:rPr>
              <m:sty m:val="p"/>
            </m:rPr>
            <w:rPr>
              <w:rFonts w:hint="default" w:ascii="Cambria Math" w:hAnsi="Cambria Math"/>
              <w:color w:val="auto"/>
            </w:rPr>
            <m:t>100%</m:t>
          </m:r>
          <m:r>
            <m:rPr>
              <m:sty m:val="p"/>
            </m:rPr>
            <w:rPr>
              <w:rFonts w:hint="default" w:ascii="Cambria Math" w:hAnsi="Cambria Math" w:cs="Cambria Math"/>
              <w:color w:val="auto"/>
            </w:rPr>
            <m:t>=</m:t>
          </m:r>
          <m:d>
            <m:dPr>
              <m:ctrlPr>
                <w:rPr>
                  <w:rFonts w:hint="default" w:ascii="Cambria Math" w:hAnsi="Cambria Math" w:cs="Cambria Math"/>
                  <w:color w:val="auto"/>
                </w:rPr>
              </m:ctrlPr>
            </m:dPr>
            <m:e>
              <m:r>
                <m:rPr>
                  <m:sty m:val="p"/>
                </m:rPr>
                <w:rPr>
                  <w:rFonts w:hint="default" w:ascii="Cambria Math" w:hAnsi="Cambria Math" w:cs="Cambria Math"/>
                  <w:color w:val="auto"/>
                </w:rPr>
                <m:t>1−</m:t>
              </m:r>
              <m:f>
                <m:fPr>
                  <m:ctrlPr>
                    <w:rPr>
                      <w:rFonts w:hint="default" w:ascii="Cambria Math" w:hAnsi="Cambria Math" w:cs="Cambria Math"/>
                      <w:b w:val="0"/>
                      <w:i w:val="0"/>
                      <w:color w:val="auto"/>
                      <w:sz w:val="21"/>
                      <w:lang w:val="en-US" w:eastAsia="zh-CN" w:bidi="ar-SA"/>
                    </w:rPr>
                  </m:ctrlPr>
                </m:fPr>
                <m:num>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free</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num>
                <m:den>
                  <m:sSub>
                    <m:sSubPr>
                      <m:ctrlPr>
                        <w:rPr>
                          <w:rFonts w:hint="default" w:ascii="Cambria Math" w:hAnsi="Cambria Math" w:cs="Cambria Math"/>
                          <w:b w:val="0"/>
                          <w:i w:val="0"/>
                          <w:color w:val="auto"/>
                          <w:sz w:val="21"/>
                          <w:lang w:val="en-US" w:eastAsia="zh-CN" w:bidi="ar-SA"/>
                        </w:rPr>
                      </m:ctrlPr>
                    </m:sSubPr>
                    <m:e>
                      <m:r>
                        <m:rPr>
                          <m:sty m:val="p"/>
                        </m:rPr>
                        <w:rPr>
                          <w:rFonts w:hint="default" w:ascii="Cambria Math" w:hAnsi="Cambria Math" w:cs="Cambria Math"/>
                          <w:color w:val="auto"/>
                          <w:sz w:val="21"/>
                          <w:lang w:val="en-US" w:eastAsia="zh-CN" w:bidi="ar-SA"/>
                        </w:rPr>
                        <m:t>w</m:t>
                      </m:r>
                      <m:ctrlPr>
                        <w:rPr>
                          <w:rFonts w:hint="default" w:ascii="Cambria Math" w:hAnsi="Cambria Math" w:cs="Cambria Math"/>
                          <w:b w:val="0"/>
                          <w:i w:val="0"/>
                          <w:color w:val="auto"/>
                          <w:sz w:val="21"/>
                          <w:lang w:val="en-US" w:eastAsia="zh-CN" w:bidi="ar-SA"/>
                        </w:rPr>
                      </m:ctrlPr>
                    </m:e>
                    <m:sub>
                      <m:r>
                        <m:rPr>
                          <m:sty m:val="p"/>
                        </m:rPr>
                        <w:rPr>
                          <w:rFonts w:hint="default" w:ascii="Cambria Math" w:hAnsi="Cambria Math" w:cs="Cambria Math"/>
                          <w:color w:val="auto"/>
                          <w:sz w:val="21"/>
                          <w:lang w:val="en-US" w:eastAsia="zh-CN" w:bidi="ar-SA"/>
                        </w:rPr>
                        <m:t>total</m:t>
                      </m:r>
                      <m:ctrlPr>
                        <w:rPr>
                          <w:rFonts w:hint="default" w:ascii="Cambria Math" w:hAnsi="Cambria Math" w:cs="Cambria Math"/>
                          <w:b w:val="0"/>
                          <w:i w:val="0"/>
                          <w:color w:val="auto"/>
                          <w:sz w:val="21"/>
                          <w:lang w:val="en-US" w:eastAsia="zh-CN" w:bidi="ar-SA"/>
                        </w:rPr>
                      </m:ctrlPr>
                    </m:sub>
                  </m:sSub>
                  <m:ctrlPr>
                    <w:rPr>
                      <w:rFonts w:hint="default" w:ascii="Cambria Math" w:hAnsi="Cambria Math" w:cs="Cambria Math"/>
                      <w:b w:val="0"/>
                      <w:i w:val="0"/>
                      <w:color w:val="auto"/>
                      <w:sz w:val="21"/>
                      <w:lang w:val="en-US" w:eastAsia="zh-CN" w:bidi="ar-SA"/>
                    </w:rPr>
                  </m:ctrlPr>
                </m:den>
              </m:f>
              <m:ctrlPr>
                <w:rPr>
                  <w:rFonts w:hint="default" w:ascii="Cambria Math" w:hAnsi="Cambria Math" w:cs="Cambria Math"/>
                  <w:color w:val="auto"/>
                </w:rPr>
              </m:ctrlPr>
            </m:e>
          </m:d>
          <m:r>
            <m:rPr>
              <m:sty m:val="p"/>
            </m:rPr>
            <w:rPr>
              <w:rFonts w:hint="default" w:ascii="Cambria Math" w:hAnsi="Cambria Math" w:cs="Cambria Math"/>
              <w:color w:val="auto"/>
            </w:rPr>
            <m:t>×100%</m:t>
          </m:r>
        </m:oMath>
      </m:oMathPara>
    </w:p>
    <w:p w14:paraId="319E0E53">
      <w:pPr>
        <w:widowControl/>
        <w:autoSpaceDE w:val="0"/>
        <w:autoSpaceDN w:val="0"/>
        <w:spacing w:line="240" w:lineRule="auto"/>
        <w:jc w:val="center"/>
        <w:rPr>
          <w:rFonts w:ascii="Times New Roman" w:hAnsi="Times New Roman"/>
          <w:kern w:val="0"/>
          <w:szCs w:val="20"/>
          <w:highlight w:val="none"/>
        </w:rPr>
      </w:pPr>
      <m:oMathPara>
        <m:oMath>
          <m:r>
            <m:rPr>
              <m:sty m:val="p"/>
            </m:rPr>
            <w:rPr>
              <w:rFonts w:hint="default" w:ascii="Cambria Math" w:hAnsi="Cambria Math"/>
              <w:kern w:val="0"/>
              <w:szCs w:val="20"/>
            </w:rPr>
            <m:t>=</m:t>
          </m:r>
          <m:f>
            <m:fPr>
              <m:ctrlPr>
                <w:rPr>
                  <w:rFonts w:hint="default" w:ascii="Cambria Math" w:hAnsi="Cambria Math"/>
                  <w:kern w:val="0"/>
                  <w:szCs w:val="20"/>
                </w:rPr>
              </m:ctrlPr>
            </m:fPr>
            <m:num>
              <m:r>
                <m:rPr>
                  <m:sty m:val="p"/>
                </m:rPr>
                <w:rPr>
                  <w:rFonts w:hint="eastAsia" w:ascii="Cambria Math" w:hAnsi="Cambria Math"/>
                  <w:kern w:val="0"/>
                </w:rPr>
                <m:t>浓缩后样品D</m:t>
              </m:r>
              <m:r>
                <m:rPr>
                  <m:sty m:val="p"/>
                </m:rPr>
                <w:rPr>
                  <w:rFonts w:hint="default" w:ascii="Cambria Math" w:hAnsi="Cambria Math"/>
                  <w:kern w:val="0"/>
                </w:rPr>
                <m:t>OX</m:t>
              </m:r>
              <m:r>
                <m:rPr>
                  <m:sty m:val="p"/>
                </m:rPr>
                <w:rPr>
                  <w:rFonts w:hint="eastAsia" w:ascii="Cambria Math" w:hAnsi="Cambria Math"/>
                  <w:kern w:val="0"/>
                </w:rPr>
                <m:t>含量</m:t>
              </m:r>
              <m:ctrlPr>
                <w:rPr>
                  <w:rFonts w:hint="default" w:ascii="Cambria Math" w:hAnsi="Cambria Math"/>
                  <w:kern w:val="0"/>
                  <w:szCs w:val="20"/>
                </w:rPr>
              </m:ctrlPr>
            </m:num>
            <m:den>
              <m:r>
                <m:rPr>
                  <m:sty m:val="p"/>
                </m:rPr>
                <w:rPr>
                  <w:rFonts w:hint="eastAsia" w:ascii="Cambria Math" w:hAnsi="Cambria Math"/>
                  <w:kern w:val="0"/>
                </w:rPr>
                <m:t>D</m:t>
              </m:r>
              <m:r>
                <m:rPr>
                  <m:sty m:val="p"/>
                </m:rPr>
                <w:rPr>
                  <w:rFonts w:hint="default" w:ascii="Cambria Math" w:hAnsi="Cambria Math"/>
                  <w:kern w:val="0"/>
                </w:rPr>
                <m:t>OX</m:t>
              </m:r>
              <m:r>
                <m:rPr>
                  <m:sty m:val="p"/>
                </m:rPr>
                <w:rPr>
                  <w:rFonts w:hint="eastAsia" w:ascii="Cambria Math" w:hAnsi="Cambria Math"/>
                  <w:kern w:val="0"/>
                </w:rPr>
                <m:t>投料量</m:t>
              </m:r>
              <m:ctrlPr>
                <w:rPr>
                  <w:rFonts w:hint="default" w:ascii="Cambria Math" w:hAnsi="Cambria Math"/>
                  <w:kern w:val="0"/>
                  <w:szCs w:val="20"/>
                </w:rPr>
              </m:ctrlPr>
            </m:den>
          </m:f>
          <m:r>
            <m:rPr>
              <m:sty m:val="p"/>
            </m:rPr>
            <w:rPr>
              <w:rFonts w:hint="default" w:ascii="Cambria Math" w:hAnsi="Cambria Math" w:cs="Cambria Math"/>
              <w:kern w:val="0"/>
              <w:szCs w:val="20"/>
            </w:rPr>
            <m:t>×</m:t>
          </m:r>
          <m:r>
            <m:rPr>
              <m:sty m:val="p"/>
            </m:rPr>
            <w:rPr>
              <w:rFonts w:hint="default" w:ascii="Cambria Math" w:hAnsi="Cambria Math"/>
              <w:kern w:val="0"/>
              <w:szCs w:val="20"/>
            </w:rPr>
            <m:t>100%</m:t>
          </m:r>
          <m:r>
            <m:rPr>
              <m:sty m:val="p"/>
            </m:rPr>
            <w:rPr>
              <w:rFonts w:hint="default" w:ascii="Cambria Math" w:hAnsi="Cambria Math"/>
              <w:kern w:val="0"/>
              <w:szCs w:val="20"/>
              <w:highlight w:val="none"/>
            </w:rPr>
            <m:t>=</m:t>
          </m:r>
          <m:f>
            <m:fPr>
              <m:ctrlPr>
                <w:rPr>
                  <w:rFonts w:hint="default" w:ascii="Cambria Math" w:hAnsi="Cambria Math"/>
                  <w:kern w:val="0"/>
                  <w:szCs w:val="20"/>
                  <w:highlight w:val="none"/>
                </w:rPr>
              </m:ctrlPr>
            </m:fPr>
            <m:num>
              <m:sSub>
                <m:sSubPr>
                  <m:ctrlPr>
                    <w:rPr>
                      <w:rFonts w:hint="default" w:ascii="Cambria Math" w:hAnsi="Cambria Math"/>
                      <w:i w:val="0"/>
                      <w:kern w:val="0"/>
                      <w:szCs w:val="20"/>
                      <w:highlight w:val="none"/>
                    </w:rPr>
                  </m:ctrlPr>
                </m:sSubPr>
                <m:e>
                  <m:r>
                    <m:rPr>
                      <m:sty m:val="p"/>
                    </m:rPr>
                    <w:rPr>
                      <w:rFonts w:hint="default" w:ascii="Cambria Math" w:hAnsi="Cambria Math"/>
                      <w:kern w:val="0"/>
                      <w:szCs w:val="20"/>
                      <w:highlight w:val="none"/>
                      <w:lang w:val="en-US" w:eastAsia="zh-CN"/>
                    </w:rPr>
                    <m:t>C</m:t>
                  </m:r>
                  <m:ctrlPr>
                    <w:rPr>
                      <w:rFonts w:hint="default" w:ascii="Cambria Math" w:hAnsi="Cambria Math"/>
                      <w:i w:val="0"/>
                      <w:kern w:val="0"/>
                      <w:szCs w:val="20"/>
                      <w:highlight w:val="none"/>
                    </w:rPr>
                  </m:ctrlPr>
                </m:e>
                <m:sub>
                  <m:r>
                    <m:rPr>
                      <m:sty m:val="p"/>
                    </m:rPr>
                    <w:rPr>
                      <w:rFonts w:hint="default" w:ascii="Cambria Math" w:hAnsi="Cambria Math"/>
                      <w:kern w:val="0"/>
                      <w:szCs w:val="20"/>
                      <w:highlight w:val="none"/>
                      <w:lang w:val="en-US" w:eastAsia="zh-CN"/>
                    </w:rPr>
                    <m:t>b</m:t>
                  </m:r>
                  <m:ctrlPr>
                    <w:rPr>
                      <w:rFonts w:hint="default" w:ascii="Cambria Math" w:hAnsi="Cambria Math"/>
                      <w:i w:val="0"/>
                      <w:kern w:val="0"/>
                      <w:szCs w:val="20"/>
                      <w:highlight w:val="none"/>
                    </w:rPr>
                  </m:ctrlPr>
                </m:sub>
              </m:sSub>
              <m:r>
                <m:rPr>
                  <m:sty m:val="p"/>
                </m:rPr>
                <w:rPr>
                  <w:rFonts w:hint="default" w:ascii="Cambria Math" w:hAnsi="Cambria Math"/>
                  <w:kern w:val="0"/>
                  <w:szCs w:val="20"/>
                  <w:highlight w:val="none"/>
                </w:rPr>
                <m:t>×</m:t>
              </m:r>
              <m:sSub>
                <m:sSubPr>
                  <m:ctrlPr>
                    <w:rPr>
                      <w:rFonts w:hint="default" w:ascii="Cambria Math" w:hAnsi="Cambria Math"/>
                      <w:b w:val="0"/>
                      <w:i w:val="0"/>
                      <w:kern w:val="0"/>
                      <w:szCs w:val="20"/>
                      <w:highlight w:val="none"/>
                    </w:rPr>
                  </m:ctrlPr>
                </m:sSubPr>
                <m:e>
                  <m:r>
                    <m:rPr>
                      <m:sty m:val="p"/>
                    </m:rPr>
                    <w:rPr>
                      <w:rFonts w:hint="default" w:ascii="Cambria Math" w:hAnsi="Cambria Math"/>
                      <w:kern w:val="0"/>
                      <w:szCs w:val="20"/>
                      <w:highlight w:val="none"/>
                      <w:lang w:val="en-US" w:eastAsia="zh-CN"/>
                    </w:rPr>
                    <m:t>V</m:t>
                  </m:r>
                  <m:ctrlPr>
                    <w:rPr>
                      <w:rFonts w:hint="default" w:ascii="Cambria Math" w:hAnsi="Cambria Math"/>
                      <w:b w:val="0"/>
                      <w:i w:val="0"/>
                      <w:kern w:val="0"/>
                      <w:szCs w:val="20"/>
                      <w:highlight w:val="none"/>
                    </w:rPr>
                  </m:ctrlPr>
                </m:e>
                <m:sub>
                  <m:r>
                    <m:rPr>
                      <m:sty m:val="p"/>
                    </m:rPr>
                    <w:rPr>
                      <w:rFonts w:hint="default" w:ascii="Cambria Math" w:hAnsi="Cambria Math"/>
                      <w:kern w:val="0"/>
                      <w:szCs w:val="20"/>
                      <w:highlight w:val="none"/>
                      <w:lang w:val="en-US" w:eastAsia="zh-CN"/>
                    </w:rPr>
                    <m:t>b</m:t>
                  </m:r>
                  <m:ctrlPr>
                    <w:rPr>
                      <w:rFonts w:hint="default" w:ascii="Cambria Math" w:hAnsi="Cambria Math"/>
                      <w:b w:val="0"/>
                      <w:i w:val="0"/>
                      <w:kern w:val="0"/>
                      <w:szCs w:val="20"/>
                      <w:highlight w:val="none"/>
                    </w:rPr>
                  </m:ctrlPr>
                </m:sub>
              </m:sSub>
              <m:ctrlPr>
                <w:rPr>
                  <w:rFonts w:hint="default" w:ascii="Cambria Math" w:hAnsi="Cambria Math"/>
                  <w:kern w:val="0"/>
                  <w:szCs w:val="20"/>
                  <w:highlight w:val="none"/>
                </w:rPr>
              </m:ctrlPr>
            </m:num>
            <m:den>
              <m:sSub>
                <m:sSubPr>
                  <m:ctrlPr>
                    <w:rPr>
                      <w:rFonts w:hint="default" w:ascii="Cambria Math" w:hAnsi="Cambria Math"/>
                      <w:i w:val="0"/>
                      <w:kern w:val="0"/>
                      <w:szCs w:val="20"/>
                      <w:highlight w:val="none"/>
                    </w:rPr>
                  </m:ctrlPr>
                </m:sSubPr>
                <m:e>
                  <m:r>
                    <m:rPr>
                      <m:sty m:val="p"/>
                    </m:rPr>
                    <w:rPr>
                      <w:rFonts w:hint="default" w:ascii="Cambria Math" w:hAnsi="Cambria Math"/>
                      <w:kern w:val="0"/>
                      <w:szCs w:val="20"/>
                      <w:highlight w:val="none"/>
                      <w:lang w:val="en-US" w:eastAsia="zh-CN"/>
                    </w:rPr>
                    <m:t>C</m:t>
                  </m:r>
                  <m:ctrlPr>
                    <w:rPr>
                      <w:rFonts w:hint="default" w:ascii="Cambria Math" w:hAnsi="Cambria Math"/>
                      <w:i w:val="0"/>
                      <w:kern w:val="0"/>
                      <w:szCs w:val="20"/>
                      <w:highlight w:val="none"/>
                    </w:rPr>
                  </m:ctrlPr>
                </m:e>
                <m:sub>
                  <m:r>
                    <m:rPr>
                      <m:sty m:val="p"/>
                    </m:rPr>
                    <w:rPr>
                      <w:rFonts w:hint="default" w:ascii="Cambria Math" w:hAnsi="Cambria Math"/>
                      <w:kern w:val="0"/>
                      <w:szCs w:val="20"/>
                      <w:highlight w:val="none"/>
                      <w:lang w:val="en-US" w:eastAsia="zh-CN"/>
                    </w:rPr>
                    <m:t>a</m:t>
                  </m:r>
                  <m:ctrlPr>
                    <w:rPr>
                      <w:rFonts w:hint="default" w:ascii="Cambria Math" w:hAnsi="Cambria Math"/>
                      <w:i w:val="0"/>
                      <w:kern w:val="0"/>
                      <w:szCs w:val="20"/>
                      <w:highlight w:val="none"/>
                    </w:rPr>
                  </m:ctrlPr>
                </m:sub>
              </m:sSub>
              <m:r>
                <m:rPr>
                  <m:sty m:val="p"/>
                </m:rPr>
                <w:rPr>
                  <w:rFonts w:hint="default" w:ascii="Cambria Math" w:hAnsi="Cambria Math"/>
                  <w:kern w:val="0"/>
                  <w:szCs w:val="20"/>
                  <w:highlight w:val="none"/>
                </w:rPr>
                <m:t>×</m:t>
              </m:r>
              <m:sSub>
                <m:sSubPr>
                  <m:ctrlPr>
                    <w:rPr>
                      <w:rFonts w:hint="default" w:ascii="Cambria Math" w:hAnsi="Cambria Math"/>
                      <w:b w:val="0"/>
                      <w:i w:val="0"/>
                      <w:kern w:val="0"/>
                      <w:szCs w:val="20"/>
                      <w:highlight w:val="none"/>
                    </w:rPr>
                  </m:ctrlPr>
                </m:sSubPr>
                <m:e>
                  <m:r>
                    <m:rPr>
                      <m:sty m:val="p"/>
                    </m:rPr>
                    <w:rPr>
                      <w:rFonts w:hint="default" w:ascii="Cambria Math" w:hAnsi="Cambria Math"/>
                      <w:kern w:val="0"/>
                      <w:szCs w:val="20"/>
                      <w:highlight w:val="none"/>
                      <w:lang w:val="en-US" w:eastAsia="zh-CN"/>
                    </w:rPr>
                    <m:t>V</m:t>
                  </m:r>
                  <m:ctrlPr>
                    <w:rPr>
                      <w:rFonts w:hint="default" w:ascii="Cambria Math" w:hAnsi="Cambria Math"/>
                      <w:b w:val="0"/>
                      <w:i w:val="0"/>
                      <w:kern w:val="0"/>
                      <w:szCs w:val="20"/>
                      <w:highlight w:val="none"/>
                    </w:rPr>
                  </m:ctrlPr>
                </m:e>
                <m:sub>
                  <m:r>
                    <m:rPr>
                      <m:sty m:val="p"/>
                    </m:rPr>
                    <w:rPr>
                      <w:rFonts w:hint="default" w:ascii="Cambria Math" w:hAnsi="Cambria Math"/>
                      <w:kern w:val="0"/>
                      <w:szCs w:val="20"/>
                      <w:highlight w:val="none"/>
                      <w:lang w:val="en-US" w:eastAsia="zh-CN"/>
                    </w:rPr>
                    <m:t>a</m:t>
                  </m:r>
                  <m:ctrlPr>
                    <w:rPr>
                      <w:rFonts w:hint="default" w:ascii="Cambria Math" w:hAnsi="Cambria Math"/>
                      <w:b w:val="0"/>
                      <w:i w:val="0"/>
                      <w:kern w:val="0"/>
                      <w:szCs w:val="20"/>
                      <w:highlight w:val="none"/>
                    </w:rPr>
                  </m:ctrlPr>
                </m:sub>
              </m:sSub>
              <m:ctrlPr>
                <w:rPr>
                  <w:rFonts w:hint="default" w:ascii="Cambria Math" w:hAnsi="Cambria Math"/>
                  <w:kern w:val="0"/>
                  <w:szCs w:val="20"/>
                  <w:highlight w:val="none"/>
                </w:rPr>
              </m:ctrlPr>
            </m:den>
          </m:f>
          <m:r>
            <m:rPr>
              <m:sty m:val="p"/>
            </m:rPr>
            <w:rPr>
              <w:rFonts w:hint="default" w:ascii="Cambria Math" w:hAnsi="Cambria Math" w:cs="Cambria Math"/>
              <w:kern w:val="0"/>
              <w:szCs w:val="20"/>
              <w:highlight w:val="none"/>
            </w:rPr>
            <m:t>×</m:t>
          </m:r>
          <m:r>
            <m:rPr>
              <m:sty m:val="p"/>
            </m:rPr>
            <w:rPr>
              <w:rFonts w:hint="default" w:ascii="Cambria Math" w:hAnsi="Cambria Math"/>
              <w:kern w:val="0"/>
              <w:szCs w:val="20"/>
              <w:highlight w:val="none"/>
            </w:rPr>
            <m:t>100%</m:t>
          </m:r>
        </m:oMath>
      </m:oMathPara>
    </w:p>
    <w:p w14:paraId="5F616608">
      <w:pPr>
        <w:pStyle w:val="41"/>
        <w:ind w:firstLine="420"/>
        <w:rPr>
          <w:rFonts w:hint="eastAsia" w:hAnsi="Cambria Math" w:eastAsia="宋体"/>
          <w:b w:val="0"/>
          <w:i w:val="0"/>
          <w:color w:val="auto"/>
          <w:lang w:val="en-US" w:eastAsia="zh-CN"/>
        </w:rPr>
      </w:pPr>
      <w:r>
        <w:rPr>
          <w:rFonts w:hint="eastAsia" w:hAnsi="Cambria Math"/>
          <w:b w:val="0"/>
          <w:i w:val="0"/>
          <w:color w:val="auto"/>
          <w:lang w:val="en-US" w:eastAsia="zh-CN"/>
        </w:rPr>
        <w:t>式中：</w:t>
      </w:r>
    </w:p>
    <w:p w14:paraId="252ACDEA">
      <w:pPr>
        <w:pStyle w:val="41"/>
        <w:ind w:firstLine="420"/>
        <w:rPr>
          <w:rFonts w:hint="eastAsia" w:hAnsi="Cambria Math"/>
          <w:b w:val="0"/>
          <w:i w:val="0"/>
          <w:color w:val="auto"/>
          <w:lang w:val="en-US" w:eastAsia="zh-CN"/>
        </w:rPr>
      </w:pPr>
      <w:r>
        <w:rPr>
          <w:rFonts w:hint="default" w:ascii="Times New Roman" w:hAnsi="Times New Roman" w:cs="Times New Roman"/>
          <w:b w:val="0"/>
          <w:i w:val="0"/>
          <w:color w:val="auto"/>
          <w:lang w:val="en-US" w:eastAsia="zh-CN"/>
        </w:rPr>
        <w:t>EE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——包封率，%</w:t>
      </w:r>
      <w:r>
        <w:rPr>
          <w:rFonts w:hint="eastAsia" w:hAnsi="Cambria Math"/>
          <w:b w:val="0"/>
          <w:i w:val="0"/>
          <w:color w:val="auto"/>
          <w:lang w:val="en-US" w:eastAsia="zh-CN"/>
        </w:rPr>
        <w:t>；</w:t>
      </w:r>
    </w:p>
    <w:p w14:paraId="512F0FF5">
      <w:pPr>
        <w:pStyle w:val="41"/>
        <w:ind w:firstLine="420"/>
        <w:rPr>
          <w:rFonts w:hint="eastAsia" w:ascii="Times New Roman" w:hAnsi="Times New Roman" w:eastAsia="宋体"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——分子递送载体中包封的有效成分的量</w:t>
      </w:r>
      <w:r>
        <w:rPr>
          <w:rFonts w:hint="eastAsia" w:hAnsi="Cambria Math"/>
          <w:b w:val="0"/>
          <w:i w:val="0"/>
          <w:color w:val="auto"/>
          <w:lang w:eastAsia="zh-CN"/>
        </w:rPr>
        <w:t>；</w:t>
      </w:r>
    </w:p>
    <w:p w14:paraId="2FB1BA04">
      <w:pPr>
        <w:pStyle w:val="41"/>
        <w:ind w:firstLine="420"/>
        <w:rPr>
          <w:rFonts w:hint="eastAsia" w:ascii="Times New Roman" w:hAnsi="Times New Roman" w:eastAsia="宋体"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total</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——分子递送载体中包封的有效成分量和未包封的有效成分的总量</w:t>
      </w:r>
      <w:r>
        <w:rPr>
          <w:rFonts w:hint="eastAsia" w:hAnsi="Cambria Math"/>
          <w:b w:val="0"/>
          <w:i w:val="0"/>
          <w:color w:val="auto"/>
          <w:lang w:eastAsia="zh-CN"/>
        </w:rPr>
        <w:t>；</w:t>
      </w:r>
    </w:p>
    <w:p w14:paraId="02B181F9">
      <w:pPr>
        <w:pStyle w:val="41"/>
        <w:ind w:firstLine="420"/>
        <w:rPr>
          <w:rFonts w:hint="default" w:ascii="Times New Roman" w:hAnsi="Times New Roman" w:cs="Times New Roman"/>
          <w:b w:val="0"/>
          <w:i w:val="0"/>
          <w:color w:val="auto"/>
          <w:lang w:val="en-US" w:eastAsia="zh-CN"/>
        </w:rPr>
      </w:pPr>
      <w:r>
        <w:rPr>
          <w:rFonts w:hint="default" w:ascii="Times New Roman" w:hAnsi="Times New Roman" w:cs="Times New Roman"/>
          <w:b w:val="0"/>
          <w:i w:val="0"/>
          <w:color w:val="auto"/>
          <w:lang w:val="en-US" w:eastAsia="zh-CN"/>
        </w:rPr>
        <w:t>W</w:t>
      </w:r>
      <w:r>
        <w:rPr>
          <w:rFonts w:hint="default" w:ascii="Times New Roman" w:hAnsi="Times New Roman" w:cs="Times New Roman"/>
          <w:b w:val="0"/>
          <w:i w:val="0"/>
          <w:color w:val="auto"/>
          <w:vertAlign w:val="subscript"/>
          <w:lang w:val="en-US" w:eastAsia="zh-CN"/>
        </w:rPr>
        <w:t>free</w:t>
      </w:r>
      <w:r>
        <w:rPr>
          <w:rFonts w:hint="eastAsia" w:ascii="Times New Roman" w:cs="Times New Roman"/>
          <w:b w:val="0"/>
          <w:i w:val="0"/>
          <w:color w:val="auto"/>
          <w:lang w:val="en-US" w:eastAsia="zh-CN"/>
        </w:rPr>
        <w:t xml:space="preserve"> </w:t>
      </w:r>
      <w:r>
        <w:rPr>
          <w:rFonts w:hint="default" w:ascii="Times New Roman" w:hAnsi="Times New Roman" w:cs="Times New Roman"/>
          <w:b w:val="0"/>
          <w:i w:val="0"/>
          <w:color w:val="auto"/>
          <w:lang w:val="en-US" w:eastAsia="zh-CN"/>
        </w:rPr>
        <w:t>——液体介质中未包封的有效成分的量。</w:t>
      </w:r>
    </w:p>
    <w:p w14:paraId="2CF71294">
      <w:pPr>
        <w:numPr>
          <w:ilvl w:val="0"/>
          <w:numId w:val="0"/>
        </w:numPr>
        <w:jc w:val="center"/>
        <w:rPr>
          <w:rFonts w:hint="eastAsia"/>
          <w:b/>
          <w:bCs/>
          <w:sz w:val="21"/>
          <w:szCs w:val="21"/>
          <w:lang w:val="en-US" w:eastAsia="zh-CN"/>
        </w:rPr>
      </w:pPr>
    </w:p>
    <w:p w14:paraId="55D348F0">
      <w:pPr>
        <w:numPr>
          <w:ilvl w:val="0"/>
          <w:numId w:val="0"/>
        </w:numPr>
        <w:jc w:val="center"/>
        <w:rPr>
          <w:rFonts w:hint="eastAsia" w:ascii="Times New Roman" w:hAnsi="Times New Roman" w:eastAsia="宋体" w:cs="Times New Roman"/>
          <w:b w:val="0"/>
          <w:i w:val="0"/>
          <w:color w:val="0000FF"/>
          <w:sz w:val="21"/>
          <w:szCs w:val="21"/>
          <w:lang w:val="en-US" w:eastAsia="zh-CN"/>
        </w:rPr>
      </w:pPr>
      <w:r>
        <w:rPr>
          <w:rFonts w:hint="eastAsia"/>
          <w:b/>
          <w:bCs/>
          <w:sz w:val="21"/>
          <w:szCs w:val="21"/>
          <w:lang w:val="en-US" w:eastAsia="zh-CN"/>
        </w:rPr>
        <w:t>表</w:t>
      </w:r>
      <w:r>
        <w:rPr>
          <w:rFonts w:hint="default" w:ascii="Times New Roman" w:hAnsi="Times New Roman" w:cs="Times New Roman"/>
          <w:b/>
          <w:bCs/>
          <w:sz w:val="21"/>
          <w:szCs w:val="21"/>
          <w:lang w:val="en-US" w:eastAsia="zh-CN"/>
        </w:rPr>
        <w:t>3-4-</w:t>
      </w:r>
      <w:r>
        <w:rPr>
          <w:rFonts w:hint="eastAsia" w:ascii="Times New Roman" w:hAnsi="Times New Roman" w:cs="Times New Roman"/>
          <w:b/>
          <w:bCs/>
          <w:sz w:val="21"/>
          <w:szCs w:val="21"/>
          <w:lang w:val="en-US" w:eastAsia="zh-CN"/>
        </w:rPr>
        <w:t>4</w:t>
      </w:r>
      <w:r>
        <w:rPr>
          <w:rFonts w:hint="default" w:ascii="Times New Roman" w:hAnsi="Times New Roman" w:cs="Times New Roman"/>
          <w:b/>
          <w:bCs/>
          <w:sz w:val="21"/>
          <w:szCs w:val="21"/>
          <w:lang w:val="en-US" w:eastAsia="zh-CN"/>
        </w:rPr>
        <w:t xml:space="preserve"> 样</w:t>
      </w:r>
      <w:r>
        <w:rPr>
          <w:rFonts w:hint="eastAsia"/>
          <w:b/>
          <w:bCs/>
          <w:sz w:val="21"/>
          <w:szCs w:val="21"/>
          <w:lang w:val="en-US" w:eastAsia="zh-CN"/>
        </w:rPr>
        <w:t>品包封率</w:t>
      </w:r>
    </w:p>
    <w:tbl>
      <w:tblPr>
        <w:tblStyle w:val="1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932"/>
        <w:gridCol w:w="1830"/>
        <w:gridCol w:w="1754"/>
        <w:gridCol w:w="1536"/>
        <w:gridCol w:w="1536"/>
      </w:tblGrid>
      <w:tr w14:paraId="5E25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932" w:type="dxa"/>
            <w:noWrap w:val="0"/>
            <w:vAlign w:val="center"/>
          </w:tcPr>
          <w:p w14:paraId="789A84C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p>
        </w:tc>
        <w:tc>
          <w:tcPr>
            <w:tcW w:w="932" w:type="dxa"/>
            <w:noWrap w:val="0"/>
            <w:vAlign w:val="center"/>
          </w:tcPr>
          <w:p w14:paraId="7D7524B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取样编号</w:t>
            </w:r>
          </w:p>
        </w:tc>
        <w:tc>
          <w:tcPr>
            <w:tcW w:w="1830" w:type="dxa"/>
            <w:noWrap w:val="0"/>
            <w:vAlign w:val="center"/>
          </w:tcPr>
          <w:p w14:paraId="1EEB310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浓缩液</w:t>
            </w:r>
          </w:p>
          <w:p w14:paraId="67F1D2B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Dox的总量</w:t>
            </w:r>
            <w:r>
              <w:rPr>
                <w:rFonts w:hint="default" w:ascii="Times New Roman" w:hAnsi="Times New Roman" w:cs="Times New Roman"/>
                <w:b/>
                <w:bCs/>
                <w:kern w:val="0"/>
                <w:sz w:val="21"/>
                <w:szCs w:val="21"/>
              </w:rPr>
              <w:t>μ</w:t>
            </w:r>
            <w:r>
              <w:rPr>
                <w:rFonts w:hint="default" w:ascii="Times New Roman" w:hAnsi="Times New Roman" w:cs="Times New Roman"/>
                <w:b/>
                <w:bCs/>
                <w:kern w:val="0"/>
                <w:sz w:val="21"/>
                <w:szCs w:val="21"/>
                <w:lang w:val="en-US" w:eastAsia="zh-CN"/>
              </w:rPr>
              <w:t>g</w:t>
            </w:r>
          </w:p>
        </w:tc>
        <w:tc>
          <w:tcPr>
            <w:tcW w:w="1754" w:type="dxa"/>
            <w:noWrap w:val="0"/>
            <w:vAlign w:val="center"/>
          </w:tcPr>
          <w:p w14:paraId="6D3B457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矿化反应混合液</w:t>
            </w:r>
          </w:p>
          <w:p w14:paraId="128C61A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vertAlign w:val="baseline"/>
                <w:lang w:val="en-US" w:eastAsia="zh-CN"/>
              </w:rPr>
              <w:t>Dox的总量</w:t>
            </w:r>
            <w:r>
              <w:rPr>
                <w:rFonts w:hint="default" w:ascii="Times New Roman" w:hAnsi="Times New Roman" w:cs="Times New Roman"/>
                <w:b/>
                <w:bCs/>
                <w:kern w:val="0"/>
                <w:sz w:val="21"/>
                <w:szCs w:val="21"/>
              </w:rPr>
              <w:t>μ</w:t>
            </w:r>
            <w:r>
              <w:rPr>
                <w:rFonts w:hint="default" w:ascii="Times New Roman" w:hAnsi="Times New Roman" w:cs="Times New Roman"/>
                <w:b/>
                <w:bCs/>
                <w:kern w:val="0"/>
                <w:sz w:val="21"/>
                <w:szCs w:val="21"/>
                <w:lang w:val="en-US" w:eastAsia="zh-CN"/>
              </w:rPr>
              <w:t>g</w:t>
            </w:r>
          </w:p>
        </w:tc>
        <w:tc>
          <w:tcPr>
            <w:tcW w:w="1536" w:type="dxa"/>
            <w:noWrap w:val="0"/>
            <w:vAlign w:val="center"/>
          </w:tcPr>
          <w:p w14:paraId="4A63E58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包封率</w:t>
            </w:r>
          </w:p>
          <w:p w14:paraId="2E9B5B4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w:t>
            </w:r>
          </w:p>
        </w:tc>
        <w:tc>
          <w:tcPr>
            <w:tcW w:w="1536" w:type="dxa"/>
            <w:noWrap w:val="0"/>
            <w:vAlign w:val="center"/>
          </w:tcPr>
          <w:p w14:paraId="2E08BDF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包封率SD</w:t>
            </w:r>
          </w:p>
          <w:p w14:paraId="06AAB82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w:t>
            </w:r>
          </w:p>
        </w:tc>
      </w:tr>
      <w:tr w14:paraId="6892B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32" w:type="dxa"/>
            <w:vMerge w:val="restart"/>
            <w:noWrap w:val="0"/>
            <w:vAlign w:val="center"/>
          </w:tcPr>
          <w:p w14:paraId="3F55120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实验室1</w:t>
            </w:r>
          </w:p>
        </w:tc>
        <w:tc>
          <w:tcPr>
            <w:tcW w:w="932" w:type="dxa"/>
            <w:noWrap w:val="0"/>
            <w:vAlign w:val="center"/>
          </w:tcPr>
          <w:p w14:paraId="1CC5850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w:t>
            </w:r>
          </w:p>
        </w:tc>
        <w:tc>
          <w:tcPr>
            <w:tcW w:w="1830" w:type="dxa"/>
            <w:noWrap w:val="0"/>
            <w:vAlign w:val="center"/>
          </w:tcPr>
          <w:p w14:paraId="60C0B739">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46.55</w:t>
            </w:r>
          </w:p>
        </w:tc>
        <w:tc>
          <w:tcPr>
            <w:tcW w:w="1754" w:type="dxa"/>
            <w:noWrap w:val="0"/>
            <w:vAlign w:val="center"/>
          </w:tcPr>
          <w:p w14:paraId="27C2B462">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64.02</w:t>
            </w:r>
          </w:p>
        </w:tc>
        <w:tc>
          <w:tcPr>
            <w:tcW w:w="1536" w:type="dxa"/>
            <w:noWrap w:val="0"/>
            <w:vAlign w:val="center"/>
          </w:tcPr>
          <w:p w14:paraId="6CEFDB70">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72.71</w:t>
            </w:r>
          </w:p>
        </w:tc>
        <w:tc>
          <w:tcPr>
            <w:tcW w:w="1536" w:type="dxa"/>
            <w:vMerge w:val="restart"/>
            <w:noWrap w:val="0"/>
            <w:vAlign w:val="center"/>
          </w:tcPr>
          <w:p w14:paraId="2413A69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3.80</w:t>
            </w:r>
          </w:p>
        </w:tc>
      </w:tr>
      <w:tr w14:paraId="7181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32" w:type="dxa"/>
            <w:vMerge w:val="continue"/>
            <w:noWrap w:val="0"/>
            <w:vAlign w:val="center"/>
          </w:tcPr>
          <w:p w14:paraId="7AE93B2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932" w:type="dxa"/>
            <w:noWrap w:val="0"/>
            <w:vAlign w:val="center"/>
          </w:tcPr>
          <w:p w14:paraId="2C31564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w:t>
            </w:r>
          </w:p>
        </w:tc>
        <w:tc>
          <w:tcPr>
            <w:tcW w:w="1830" w:type="dxa"/>
            <w:noWrap w:val="0"/>
            <w:vAlign w:val="center"/>
          </w:tcPr>
          <w:p w14:paraId="4B090BBA">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47.92</w:t>
            </w:r>
          </w:p>
        </w:tc>
        <w:tc>
          <w:tcPr>
            <w:tcW w:w="1754" w:type="dxa"/>
            <w:noWrap w:val="0"/>
            <w:vAlign w:val="center"/>
          </w:tcPr>
          <w:p w14:paraId="50604EBD">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65.45</w:t>
            </w:r>
          </w:p>
        </w:tc>
        <w:tc>
          <w:tcPr>
            <w:tcW w:w="1536" w:type="dxa"/>
            <w:noWrap w:val="0"/>
            <w:vAlign w:val="center"/>
          </w:tcPr>
          <w:p w14:paraId="25DF2BAF">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73.21</w:t>
            </w:r>
          </w:p>
        </w:tc>
        <w:tc>
          <w:tcPr>
            <w:tcW w:w="1536" w:type="dxa"/>
            <w:vMerge w:val="continue"/>
            <w:noWrap w:val="0"/>
            <w:vAlign w:val="center"/>
          </w:tcPr>
          <w:p w14:paraId="669D26A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2F8BB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32" w:type="dxa"/>
            <w:vMerge w:val="continue"/>
            <w:noWrap w:val="0"/>
            <w:vAlign w:val="center"/>
          </w:tcPr>
          <w:p w14:paraId="7EDC95B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932" w:type="dxa"/>
            <w:noWrap w:val="0"/>
            <w:vAlign w:val="center"/>
          </w:tcPr>
          <w:p w14:paraId="3EF954E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w:t>
            </w:r>
          </w:p>
        </w:tc>
        <w:tc>
          <w:tcPr>
            <w:tcW w:w="1830" w:type="dxa"/>
            <w:noWrap w:val="0"/>
            <w:vAlign w:val="center"/>
          </w:tcPr>
          <w:p w14:paraId="569387B5">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43.71</w:t>
            </w:r>
          </w:p>
        </w:tc>
        <w:tc>
          <w:tcPr>
            <w:tcW w:w="1754" w:type="dxa"/>
            <w:noWrap w:val="0"/>
            <w:vAlign w:val="center"/>
          </w:tcPr>
          <w:p w14:paraId="7B462FAD">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65.84</w:t>
            </w:r>
          </w:p>
        </w:tc>
        <w:tc>
          <w:tcPr>
            <w:tcW w:w="1536" w:type="dxa"/>
            <w:noWrap w:val="0"/>
            <w:vAlign w:val="center"/>
          </w:tcPr>
          <w:p w14:paraId="5986110A">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66.39</w:t>
            </w:r>
          </w:p>
        </w:tc>
        <w:tc>
          <w:tcPr>
            <w:tcW w:w="1536" w:type="dxa"/>
            <w:vMerge w:val="continue"/>
            <w:noWrap w:val="0"/>
            <w:vAlign w:val="center"/>
          </w:tcPr>
          <w:p w14:paraId="1078715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10357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32" w:type="dxa"/>
            <w:vMerge w:val="restart"/>
            <w:noWrap w:val="0"/>
            <w:vAlign w:val="center"/>
          </w:tcPr>
          <w:p w14:paraId="3C65A81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实验室2</w:t>
            </w:r>
          </w:p>
        </w:tc>
        <w:tc>
          <w:tcPr>
            <w:tcW w:w="932" w:type="dxa"/>
            <w:shd w:val="clear" w:color="auto" w:fill="auto"/>
            <w:noWrap w:val="0"/>
            <w:vAlign w:val="center"/>
          </w:tcPr>
          <w:p w14:paraId="311466A7">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1</w:t>
            </w:r>
          </w:p>
        </w:tc>
        <w:tc>
          <w:tcPr>
            <w:tcW w:w="1830" w:type="dxa"/>
            <w:shd w:val="clear" w:color="auto" w:fill="auto"/>
            <w:noWrap w:val="0"/>
            <w:vAlign w:val="center"/>
          </w:tcPr>
          <w:p w14:paraId="53CF927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118.185</w:t>
            </w:r>
          </w:p>
        </w:tc>
        <w:tc>
          <w:tcPr>
            <w:tcW w:w="1754" w:type="dxa"/>
            <w:shd w:val="clear" w:color="auto" w:fill="auto"/>
            <w:noWrap w:val="0"/>
            <w:vAlign w:val="center"/>
          </w:tcPr>
          <w:p w14:paraId="7E7F21E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163.126</w:t>
            </w:r>
          </w:p>
        </w:tc>
        <w:tc>
          <w:tcPr>
            <w:tcW w:w="1536" w:type="dxa"/>
            <w:shd w:val="clear" w:color="auto" w:fill="auto"/>
            <w:noWrap w:val="0"/>
            <w:vAlign w:val="center"/>
          </w:tcPr>
          <w:p w14:paraId="4B522345">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72.45</w:t>
            </w:r>
          </w:p>
        </w:tc>
        <w:tc>
          <w:tcPr>
            <w:tcW w:w="1536" w:type="dxa"/>
            <w:vMerge w:val="restart"/>
            <w:noWrap w:val="0"/>
            <w:vAlign w:val="center"/>
          </w:tcPr>
          <w:p w14:paraId="7B1A96B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cs="Times New Roman"/>
                <w:szCs w:val="24"/>
                <w:lang w:val="en-US" w:eastAsia="zh-CN"/>
              </w:rPr>
              <w:t>0.96</w:t>
            </w:r>
          </w:p>
        </w:tc>
      </w:tr>
      <w:tr w14:paraId="60835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32" w:type="dxa"/>
            <w:vMerge w:val="continue"/>
            <w:noWrap w:val="0"/>
            <w:vAlign w:val="center"/>
          </w:tcPr>
          <w:p w14:paraId="68A421E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932" w:type="dxa"/>
            <w:shd w:val="clear" w:color="auto" w:fill="auto"/>
            <w:noWrap w:val="0"/>
            <w:vAlign w:val="center"/>
          </w:tcPr>
          <w:p w14:paraId="4028D3C2">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2</w:t>
            </w:r>
          </w:p>
        </w:tc>
        <w:tc>
          <w:tcPr>
            <w:tcW w:w="1830" w:type="dxa"/>
            <w:shd w:val="clear" w:color="auto" w:fill="auto"/>
            <w:noWrap w:val="0"/>
            <w:vAlign w:val="center"/>
          </w:tcPr>
          <w:p w14:paraId="380FF41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116.191</w:t>
            </w:r>
          </w:p>
        </w:tc>
        <w:tc>
          <w:tcPr>
            <w:tcW w:w="1754" w:type="dxa"/>
            <w:shd w:val="clear" w:color="auto" w:fill="auto"/>
            <w:noWrap w:val="0"/>
            <w:vAlign w:val="center"/>
          </w:tcPr>
          <w:p w14:paraId="3EB5F57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164.636</w:t>
            </w:r>
          </w:p>
        </w:tc>
        <w:tc>
          <w:tcPr>
            <w:tcW w:w="1536" w:type="dxa"/>
            <w:shd w:val="clear" w:color="auto" w:fill="auto"/>
            <w:noWrap w:val="0"/>
            <w:vAlign w:val="center"/>
          </w:tcPr>
          <w:p w14:paraId="3FFE486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70.57</w:t>
            </w:r>
          </w:p>
        </w:tc>
        <w:tc>
          <w:tcPr>
            <w:tcW w:w="1536" w:type="dxa"/>
            <w:vMerge w:val="continue"/>
            <w:noWrap w:val="0"/>
            <w:vAlign w:val="center"/>
          </w:tcPr>
          <w:p w14:paraId="4822C55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r w14:paraId="61511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32" w:type="dxa"/>
            <w:vMerge w:val="continue"/>
            <w:noWrap w:val="0"/>
            <w:vAlign w:val="center"/>
          </w:tcPr>
          <w:p w14:paraId="0F8E1BE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c>
          <w:tcPr>
            <w:tcW w:w="932" w:type="dxa"/>
            <w:shd w:val="clear" w:color="auto" w:fill="auto"/>
            <w:noWrap w:val="0"/>
            <w:vAlign w:val="center"/>
          </w:tcPr>
          <w:p w14:paraId="29D072ED">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3</w:t>
            </w:r>
          </w:p>
        </w:tc>
        <w:tc>
          <w:tcPr>
            <w:tcW w:w="1830" w:type="dxa"/>
            <w:shd w:val="clear" w:color="auto" w:fill="auto"/>
            <w:noWrap w:val="0"/>
            <w:vAlign w:val="center"/>
          </w:tcPr>
          <w:p w14:paraId="3DF3ADC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117.146</w:t>
            </w:r>
          </w:p>
        </w:tc>
        <w:tc>
          <w:tcPr>
            <w:tcW w:w="1754" w:type="dxa"/>
            <w:shd w:val="clear" w:color="auto" w:fill="auto"/>
            <w:noWrap w:val="0"/>
            <w:vAlign w:val="center"/>
          </w:tcPr>
          <w:p w14:paraId="3F21F3F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163.055</w:t>
            </w:r>
          </w:p>
        </w:tc>
        <w:tc>
          <w:tcPr>
            <w:tcW w:w="1536" w:type="dxa"/>
            <w:shd w:val="clear" w:color="auto" w:fill="auto"/>
            <w:noWrap w:val="0"/>
            <w:vAlign w:val="center"/>
          </w:tcPr>
          <w:p w14:paraId="6ECA8B17">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t>71.84</w:t>
            </w:r>
          </w:p>
        </w:tc>
        <w:tc>
          <w:tcPr>
            <w:tcW w:w="1536" w:type="dxa"/>
            <w:vMerge w:val="continue"/>
            <w:noWrap w:val="0"/>
            <w:vAlign w:val="center"/>
          </w:tcPr>
          <w:p w14:paraId="1B81481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sz w:val="21"/>
                <w:szCs w:val="21"/>
                <w:vertAlign w:val="baseline"/>
                <w:lang w:val="en-US" w:eastAsia="zh-CN"/>
              </w:rPr>
            </w:pPr>
          </w:p>
        </w:tc>
      </w:tr>
    </w:tbl>
    <w:p w14:paraId="0C995083">
      <w:pPr>
        <w:pStyle w:val="53"/>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sz w:val="24"/>
          <w:szCs w:val="24"/>
        </w:rPr>
      </w:pPr>
    </w:p>
    <w:p w14:paraId="40FB7D27">
      <w:pPr>
        <w:pStyle w:val="53"/>
        <w:keepNext w:val="0"/>
        <w:keepLines w:val="0"/>
        <w:pageBreakBefore w:val="0"/>
        <w:widowControl w:val="0"/>
        <w:kinsoku/>
        <w:wordWrap/>
        <w:overflowPunct/>
        <w:topLinePunct w:val="0"/>
        <w:autoSpaceDE/>
        <w:autoSpaceDN/>
        <w:bidi w:val="0"/>
        <w:adjustRightInd/>
        <w:snapToGrid w:val="0"/>
        <w:spacing w:line="360" w:lineRule="auto"/>
        <w:textAlignment w:val="auto"/>
        <w:outlineLvl w:val="2"/>
        <w:rPr>
          <w:rFonts w:hint="default" w:ascii="Times New Roman" w:hAnsi="Times New Roman" w:cs="Times New Roman"/>
          <w:sz w:val="24"/>
          <w:szCs w:val="24"/>
        </w:rPr>
      </w:pPr>
      <w:bookmarkStart w:id="63" w:name="_Toc23606"/>
      <w:bookmarkStart w:id="64" w:name="_Toc6108"/>
      <w:r>
        <w:rPr>
          <w:rFonts w:hint="default" w:ascii="Times New Roman" w:hAnsi="Times New Roman" w:cs="Times New Roman"/>
          <w:sz w:val="24"/>
          <w:szCs w:val="24"/>
        </w:rPr>
        <w:t>3.4.</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 xml:space="preserve"> 验证结果判定</w:t>
      </w:r>
      <w:bookmarkEnd w:id="63"/>
      <w:bookmarkEnd w:id="64"/>
    </w:p>
    <w:p w14:paraId="017576A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imes New Roman" w:hAnsi="Times New Roman" w:eastAsia="宋体" w:cs="Times New Roman"/>
          <w:i w:val="0"/>
          <w:iCs w:val="0"/>
          <w:caps w:val="0"/>
          <w:spacing w:val="0"/>
          <w:sz w:val="24"/>
          <w:szCs w:val="24"/>
          <w:shd w:val="clear" w:color="auto" w:fill="auto"/>
          <w:lang w:val="en-US" w:eastAsia="zh-CN"/>
        </w:rPr>
      </w:pPr>
      <w:r>
        <w:rPr>
          <w:rFonts w:hint="default" w:ascii="Times New Roman" w:hAnsi="Times New Roman" w:eastAsia="宋体" w:cs="Times New Roman"/>
          <w:i w:val="0"/>
          <w:iCs w:val="0"/>
          <w:caps w:val="0"/>
          <w:spacing w:val="0"/>
          <w:sz w:val="24"/>
          <w:szCs w:val="24"/>
          <w:shd w:val="clear" w:color="auto" w:fill="auto"/>
        </w:rPr>
        <w:t>平行测定</w:t>
      </w:r>
      <w:r>
        <w:rPr>
          <w:rFonts w:hint="default" w:ascii="Times New Roman" w:hAnsi="Times New Roman" w:cs="Times New Roman"/>
          <w:i w:val="0"/>
          <w:iCs w:val="0"/>
          <w:caps w:val="0"/>
          <w:spacing w:val="0"/>
          <w:sz w:val="24"/>
          <w:szCs w:val="24"/>
          <w:shd w:val="clear" w:color="auto" w:fill="auto"/>
          <w:lang w:val="en-US" w:eastAsia="zh-CN"/>
        </w:rPr>
        <w:t>3</w:t>
      </w:r>
      <w:r>
        <w:rPr>
          <w:rFonts w:hint="default" w:ascii="Times New Roman" w:hAnsi="Times New Roman" w:eastAsia="宋体" w:cs="Times New Roman"/>
          <w:i w:val="0"/>
          <w:iCs w:val="0"/>
          <w:caps w:val="0"/>
          <w:spacing w:val="0"/>
          <w:sz w:val="24"/>
          <w:szCs w:val="24"/>
          <w:shd w:val="clear" w:color="auto" w:fill="auto"/>
        </w:rPr>
        <w:t>份样品，包封率绝对偏差</w:t>
      </w:r>
      <w:r>
        <w:rPr>
          <w:rFonts w:hint="default" w:ascii="Times New Roman" w:hAnsi="Times New Roman" w:cs="Times New Roman"/>
          <w:i w:val="0"/>
          <w:iCs w:val="0"/>
          <w:caps w:val="0"/>
          <w:spacing w:val="0"/>
          <w:sz w:val="24"/>
          <w:szCs w:val="24"/>
          <w:shd w:val="clear" w:color="auto" w:fill="auto"/>
          <w:lang w:val="en-US" w:eastAsia="zh-CN"/>
        </w:rPr>
        <w:t>未</w:t>
      </w:r>
      <w:r>
        <w:rPr>
          <w:rFonts w:hint="default" w:ascii="Times New Roman" w:hAnsi="Times New Roman" w:eastAsia="宋体" w:cs="Times New Roman"/>
          <w:i w:val="0"/>
          <w:iCs w:val="0"/>
          <w:caps w:val="0"/>
          <w:spacing w:val="0"/>
          <w:sz w:val="24"/>
          <w:szCs w:val="24"/>
          <w:shd w:val="clear" w:color="auto" w:fill="auto"/>
        </w:rPr>
        <w:t>超过</w:t>
      </w:r>
      <w:r>
        <w:rPr>
          <w:rFonts w:hint="default" w:ascii="Times New Roman" w:hAnsi="Times New Roman" w:cs="Times New Roman"/>
          <w:i w:val="0"/>
          <w:iCs w:val="0"/>
          <w:caps w:val="0"/>
          <w:spacing w:val="0"/>
          <w:sz w:val="24"/>
          <w:szCs w:val="24"/>
          <w:shd w:val="clear" w:color="auto" w:fill="auto"/>
          <w:lang w:val="en-US" w:eastAsia="zh-CN"/>
        </w:rPr>
        <w:t>8</w:t>
      </w:r>
      <w:r>
        <w:rPr>
          <w:rFonts w:hint="default" w:ascii="Times New Roman" w:hAnsi="Times New Roman" w:eastAsia="宋体" w:cs="Times New Roman"/>
          <w:i w:val="0"/>
          <w:iCs w:val="0"/>
          <w:caps w:val="0"/>
          <w:spacing w:val="0"/>
          <w:sz w:val="24"/>
          <w:szCs w:val="24"/>
          <w:shd w:val="clear" w:color="auto" w:fill="auto"/>
        </w:rPr>
        <w:t>%。</w:t>
      </w:r>
    </w:p>
    <w:p w14:paraId="18A10F62">
      <w:pPr>
        <w:pStyle w:val="41"/>
        <w:ind w:firstLine="0" w:firstLineChars="0"/>
        <w:rPr>
          <w:rFonts w:hint="eastAsia" w:ascii="Times New Roman"/>
          <w:sz w:val="24"/>
          <w:szCs w:val="24"/>
        </w:rPr>
      </w:pPr>
    </w:p>
    <w:p w14:paraId="7779B092">
      <w:pPr>
        <w:pStyle w:val="53"/>
        <w:numPr>
          <w:ilvl w:val="0"/>
          <w:numId w:val="11"/>
        </w:numPr>
        <w:outlineLvl w:val="0"/>
        <w:rPr>
          <w:rFonts w:hint="eastAsia" w:ascii="Times New Roman"/>
          <w:sz w:val="24"/>
          <w:szCs w:val="24"/>
        </w:rPr>
      </w:pPr>
      <w:bookmarkStart w:id="65" w:name="_Toc22303"/>
      <w:bookmarkStart w:id="66" w:name="_Toc7590"/>
      <w:r>
        <w:rPr>
          <w:rFonts w:hint="eastAsia" w:ascii="Times New Roman"/>
          <w:sz w:val="24"/>
          <w:szCs w:val="24"/>
        </w:rPr>
        <w:t>验证结果汇总表</w:t>
      </w:r>
      <w:bookmarkEnd w:id="65"/>
      <w:bookmarkEnd w:id="66"/>
    </w:p>
    <w:p w14:paraId="5B99E026">
      <w:pPr>
        <w:pStyle w:val="53"/>
        <w:numPr>
          <w:ilvl w:val="0"/>
          <w:numId w:val="0"/>
        </w:numPr>
        <w:outlineLvl w:val="0"/>
        <w:rPr>
          <w:rFonts w:hint="eastAsia" w:ascii="Times New Roman"/>
          <w:sz w:val="24"/>
          <w:szCs w:val="24"/>
        </w:rPr>
      </w:pPr>
    </w:p>
    <w:tbl>
      <w:tblPr>
        <w:tblStyle w:val="10"/>
        <w:tblW w:w="7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2"/>
        <w:gridCol w:w="1345"/>
        <w:gridCol w:w="1345"/>
        <w:gridCol w:w="1345"/>
        <w:gridCol w:w="1347"/>
      </w:tblGrid>
      <w:tr w14:paraId="713EB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92" w:type="dxa"/>
            <w:noWrap w:val="0"/>
            <w:vAlign w:val="center"/>
          </w:tcPr>
          <w:p w14:paraId="325DA705">
            <w:pPr>
              <w:keepNext w:val="0"/>
              <w:keepLines w:val="0"/>
              <w:suppressLineNumbers w:val="0"/>
              <w:spacing w:before="0" w:beforeAutospacing="0" w:after="0" w:afterAutospacing="0"/>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rPr>
              <w:t>载体类型</w:t>
            </w:r>
          </w:p>
        </w:tc>
        <w:tc>
          <w:tcPr>
            <w:tcW w:w="1345" w:type="dxa"/>
            <w:noWrap w:val="0"/>
            <w:vAlign w:val="center"/>
          </w:tcPr>
          <w:p w14:paraId="478AB72B">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实验室1</w:t>
            </w:r>
          </w:p>
          <w:p w14:paraId="5A87AA2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rPr>
              <w:t>包封率（%）</w:t>
            </w:r>
          </w:p>
        </w:tc>
        <w:tc>
          <w:tcPr>
            <w:tcW w:w="1345" w:type="dxa"/>
            <w:noWrap w:val="0"/>
            <w:vAlign w:val="center"/>
          </w:tcPr>
          <w:p w14:paraId="278C59EE">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实验室2</w:t>
            </w:r>
          </w:p>
          <w:p w14:paraId="409DDEE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sz w:val="21"/>
                <w:szCs w:val="21"/>
                <w:vertAlign w:val="baseline"/>
              </w:rPr>
            </w:pPr>
            <w:r>
              <w:rPr>
                <w:rFonts w:hint="default" w:ascii="Times New Roman" w:hAnsi="Times New Roman" w:cs="Times New Roman"/>
                <w:b/>
                <w:bCs/>
                <w:sz w:val="21"/>
                <w:szCs w:val="21"/>
              </w:rPr>
              <w:t>包封率（%）</w:t>
            </w:r>
          </w:p>
        </w:tc>
        <w:tc>
          <w:tcPr>
            <w:tcW w:w="1345" w:type="dxa"/>
            <w:noWrap w:val="0"/>
            <w:vAlign w:val="center"/>
          </w:tcPr>
          <w:p w14:paraId="3EF05C7E">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平均值</w:t>
            </w:r>
          </w:p>
          <w:p w14:paraId="47B7A333">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包封率（%）</w:t>
            </w:r>
          </w:p>
        </w:tc>
        <w:tc>
          <w:tcPr>
            <w:tcW w:w="1347" w:type="dxa"/>
            <w:noWrap w:val="0"/>
            <w:vAlign w:val="center"/>
          </w:tcPr>
          <w:p w14:paraId="75C8623D">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RSD</w:t>
            </w:r>
            <w:r>
              <w:rPr>
                <w:rFonts w:hint="default" w:ascii="Times New Roman" w:hAnsi="Times New Roman" w:cs="Times New Roman"/>
                <w:b/>
                <w:bCs/>
                <w:sz w:val="21"/>
                <w:szCs w:val="21"/>
              </w:rPr>
              <w:t>（%）</w:t>
            </w:r>
          </w:p>
        </w:tc>
      </w:tr>
      <w:tr w14:paraId="7A9B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92" w:type="dxa"/>
            <w:noWrap w:val="0"/>
            <w:vAlign w:val="center"/>
          </w:tcPr>
          <w:p w14:paraId="1FFD84CA">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纳米胶束</w:t>
            </w:r>
            <w:r>
              <w:rPr>
                <w:rFonts w:hint="default" w:ascii="Times New Roman" w:hAnsi="Times New Roman" w:cs="Times New Roman"/>
                <w:sz w:val="21"/>
                <w:szCs w:val="21"/>
                <w:lang w:eastAsia="zh-CN"/>
              </w:rPr>
              <w:t>环孢素</w:t>
            </w:r>
          </w:p>
        </w:tc>
        <w:tc>
          <w:tcPr>
            <w:tcW w:w="1345" w:type="dxa"/>
            <w:noWrap w:val="0"/>
            <w:vAlign w:val="center"/>
          </w:tcPr>
          <w:p w14:paraId="2BF6C98B">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&gt;99.9</w:t>
            </w:r>
          </w:p>
        </w:tc>
        <w:tc>
          <w:tcPr>
            <w:tcW w:w="1345" w:type="dxa"/>
            <w:noWrap w:val="0"/>
            <w:vAlign w:val="center"/>
          </w:tcPr>
          <w:p w14:paraId="79C9E249">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1"/>
                <w:szCs w:val="21"/>
                <w:vertAlign w:val="baseline"/>
                <w:lang w:val="en-US" w:eastAsia="zh-CN"/>
              </w:rPr>
            </w:pPr>
            <w:r>
              <w:rPr>
                <w:rFonts w:hint="default" w:ascii="Times New Roman" w:hAnsi="Times New Roman" w:cs="Times New Roman"/>
                <w:szCs w:val="24"/>
              </w:rPr>
              <w:t>99.9</w:t>
            </w:r>
            <w:r>
              <w:rPr>
                <w:rFonts w:hint="eastAsia" w:ascii="Times New Roman" w:hAnsi="Times New Roman" w:cs="Times New Roman"/>
                <w:szCs w:val="24"/>
                <w:lang w:val="en-US" w:eastAsia="zh-CN"/>
              </w:rPr>
              <w:t>9</w:t>
            </w:r>
          </w:p>
        </w:tc>
        <w:tc>
          <w:tcPr>
            <w:tcW w:w="1345" w:type="dxa"/>
            <w:noWrap w:val="0"/>
            <w:vAlign w:val="center"/>
          </w:tcPr>
          <w:p w14:paraId="485AA30D">
            <w:pPr>
              <w:keepNext w:val="0"/>
              <w:keepLines w:val="0"/>
              <w:suppressLineNumbers w:val="0"/>
              <w:spacing w:before="0" w:beforeAutospacing="0" w:after="0" w:afterAutospacing="0"/>
              <w:ind w:left="0" w:right="0"/>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99.94</w:t>
            </w:r>
          </w:p>
        </w:tc>
        <w:tc>
          <w:tcPr>
            <w:tcW w:w="1347" w:type="dxa"/>
            <w:noWrap w:val="0"/>
            <w:vAlign w:val="center"/>
          </w:tcPr>
          <w:p w14:paraId="003BC9CD">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0.06</w:t>
            </w:r>
          </w:p>
        </w:tc>
      </w:tr>
      <w:tr w14:paraId="084A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92" w:type="dxa"/>
            <w:noWrap w:val="0"/>
            <w:vAlign w:val="center"/>
          </w:tcPr>
          <w:p w14:paraId="0713EC10">
            <w:pPr>
              <w:keepNext w:val="0"/>
              <w:keepLines w:val="0"/>
              <w:suppressLineNumbers w:val="0"/>
              <w:spacing w:before="0" w:beforeAutospacing="0" w:after="0" w:afterAutospacing="0"/>
              <w:ind w:left="0" w:right="0"/>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rPr>
              <w:t>脂质体</w:t>
            </w:r>
            <w:r>
              <w:rPr>
                <w:rFonts w:hint="default" w:ascii="Times New Roman" w:hAnsi="Times New Roman" w:cs="Times New Roman"/>
                <w:sz w:val="21"/>
                <w:szCs w:val="21"/>
                <w:lang w:eastAsia="zh-CN"/>
              </w:rPr>
              <w:t>阿霉素</w:t>
            </w:r>
          </w:p>
        </w:tc>
        <w:tc>
          <w:tcPr>
            <w:tcW w:w="1345" w:type="dxa"/>
            <w:noWrap w:val="0"/>
            <w:vAlign w:val="center"/>
          </w:tcPr>
          <w:p w14:paraId="111669A9">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99.12</w:t>
            </w:r>
          </w:p>
        </w:tc>
        <w:tc>
          <w:tcPr>
            <w:tcW w:w="1345" w:type="dxa"/>
            <w:noWrap w:val="0"/>
            <w:vAlign w:val="center"/>
          </w:tcPr>
          <w:p w14:paraId="4D79BA9E">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Cs w:val="24"/>
              </w:rPr>
              <w:t>99.</w:t>
            </w:r>
            <w:r>
              <w:rPr>
                <w:rFonts w:hint="eastAsia" w:ascii="Times New Roman" w:hAnsi="Times New Roman" w:cs="Times New Roman"/>
                <w:szCs w:val="24"/>
                <w:lang w:val="en-US" w:eastAsia="zh-CN"/>
              </w:rPr>
              <w:t>49</w:t>
            </w:r>
          </w:p>
        </w:tc>
        <w:tc>
          <w:tcPr>
            <w:tcW w:w="1345" w:type="dxa"/>
            <w:noWrap w:val="0"/>
            <w:vAlign w:val="center"/>
          </w:tcPr>
          <w:p w14:paraId="219D36FB">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99.30</w:t>
            </w:r>
          </w:p>
        </w:tc>
        <w:tc>
          <w:tcPr>
            <w:tcW w:w="1347" w:type="dxa"/>
            <w:noWrap w:val="0"/>
            <w:vAlign w:val="center"/>
          </w:tcPr>
          <w:p w14:paraId="67627154">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0.26</w:t>
            </w:r>
          </w:p>
        </w:tc>
      </w:tr>
      <w:tr w14:paraId="7B423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92" w:type="dxa"/>
            <w:noWrap w:val="0"/>
            <w:vAlign w:val="center"/>
          </w:tcPr>
          <w:p w14:paraId="0E6A1814">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eastAsia="zh-CN"/>
              </w:rPr>
            </w:pPr>
            <w:r>
              <w:rPr>
                <w:rFonts w:hint="default" w:ascii="Times New Roman" w:hAnsi="Times New Roman" w:cs="Times New Roman"/>
                <w:sz w:val="21"/>
                <w:szCs w:val="21"/>
              </w:rPr>
              <w:t>白蛋白</w:t>
            </w:r>
            <w:r>
              <w:rPr>
                <w:rFonts w:hint="default" w:ascii="Times New Roman" w:hAnsi="Times New Roman" w:cs="Times New Roman"/>
                <w:sz w:val="21"/>
                <w:szCs w:val="21"/>
                <w:lang w:eastAsia="zh-CN"/>
              </w:rPr>
              <w:t>紫杉醇</w:t>
            </w:r>
          </w:p>
        </w:tc>
        <w:tc>
          <w:tcPr>
            <w:tcW w:w="1345" w:type="dxa"/>
            <w:noWrap w:val="0"/>
            <w:vAlign w:val="center"/>
          </w:tcPr>
          <w:p w14:paraId="73BDB47C">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98.2</w:t>
            </w:r>
            <w:r>
              <w:rPr>
                <w:rFonts w:hint="eastAsia" w:ascii="Times New Roman" w:hAnsi="Times New Roman" w:cs="Times New Roman"/>
                <w:sz w:val="21"/>
                <w:szCs w:val="21"/>
                <w:vertAlign w:val="baseline"/>
                <w:lang w:val="en-US" w:eastAsia="zh-CN"/>
              </w:rPr>
              <w:t>0</w:t>
            </w:r>
          </w:p>
        </w:tc>
        <w:tc>
          <w:tcPr>
            <w:tcW w:w="1345" w:type="dxa"/>
            <w:noWrap w:val="0"/>
            <w:vAlign w:val="center"/>
          </w:tcPr>
          <w:p w14:paraId="4AF7ABF4">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1"/>
                <w:szCs w:val="21"/>
                <w:vertAlign w:val="baseline"/>
                <w:lang w:val="en-US" w:eastAsia="zh-CN"/>
              </w:rPr>
            </w:pPr>
            <w:r>
              <w:rPr>
                <w:rFonts w:hint="default" w:ascii="Times New Roman" w:hAnsi="Times New Roman" w:cs="Times New Roman"/>
                <w:szCs w:val="24"/>
              </w:rPr>
              <w:t>97.9</w:t>
            </w:r>
            <w:r>
              <w:rPr>
                <w:rFonts w:hint="eastAsia" w:ascii="Times New Roman" w:hAnsi="Times New Roman" w:cs="Times New Roman"/>
                <w:szCs w:val="24"/>
                <w:lang w:val="en-US" w:eastAsia="zh-CN"/>
              </w:rPr>
              <w:t>4</w:t>
            </w:r>
          </w:p>
        </w:tc>
        <w:tc>
          <w:tcPr>
            <w:tcW w:w="1345" w:type="dxa"/>
            <w:noWrap w:val="0"/>
            <w:vAlign w:val="center"/>
          </w:tcPr>
          <w:p w14:paraId="1F2CB661">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98.07</w:t>
            </w:r>
          </w:p>
        </w:tc>
        <w:tc>
          <w:tcPr>
            <w:tcW w:w="1347" w:type="dxa"/>
            <w:noWrap w:val="0"/>
            <w:vAlign w:val="center"/>
          </w:tcPr>
          <w:p w14:paraId="79A2601B">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0.19</w:t>
            </w:r>
          </w:p>
        </w:tc>
      </w:tr>
      <w:tr w14:paraId="7D42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92" w:type="dxa"/>
            <w:noWrap w:val="0"/>
            <w:vAlign w:val="center"/>
          </w:tcPr>
          <w:p w14:paraId="6BB2874D">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eastAsia="zh-CN"/>
              </w:rPr>
            </w:pPr>
            <w:r>
              <w:rPr>
                <w:rFonts w:hint="default" w:ascii="Times New Roman" w:hAnsi="Times New Roman" w:cs="Times New Roman"/>
                <w:sz w:val="21"/>
                <w:szCs w:val="21"/>
              </w:rPr>
              <w:t>核酸</w:t>
            </w:r>
            <w:r>
              <w:rPr>
                <w:rFonts w:hint="default" w:ascii="Times New Roman" w:hAnsi="Times New Roman" w:cs="Times New Roman"/>
                <w:sz w:val="21"/>
                <w:szCs w:val="21"/>
                <w:lang w:eastAsia="zh-CN"/>
              </w:rPr>
              <w:t>阿霉素</w:t>
            </w:r>
          </w:p>
        </w:tc>
        <w:tc>
          <w:tcPr>
            <w:tcW w:w="1345" w:type="dxa"/>
            <w:noWrap w:val="0"/>
            <w:vAlign w:val="center"/>
          </w:tcPr>
          <w:p w14:paraId="6D91768E">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70.77</w:t>
            </w:r>
          </w:p>
        </w:tc>
        <w:tc>
          <w:tcPr>
            <w:tcW w:w="1345" w:type="dxa"/>
            <w:noWrap w:val="0"/>
            <w:vAlign w:val="center"/>
          </w:tcPr>
          <w:p w14:paraId="0F698DB6">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1"/>
                <w:szCs w:val="21"/>
                <w:vertAlign w:val="baseline"/>
                <w:lang w:val="en-US" w:eastAsia="zh-CN"/>
              </w:rPr>
            </w:pPr>
            <w:r>
              <w:rPr>
                <w:rFonts w:hint="default" w:ascii="Times New Roman" w:hAnsi="Times New Roman" w:cs="Times New Roman"/>
                <w:szCs w:val="24"/>
              </w:rPr>
              <w:t>71.6</w:t>
            </w:r>
            <w:r>
              <w:rPr>
                <w:rFonts w:hint="eastAsia" w:ascii="Times New Roman" w:hAnsi="Times New Roman" w:cs="Times New Roman"/>
                <w:szCs w:val="24"/>
                <w:lang w:val="en-US" w:eastAsia="zh-CN"/>
              </w:rPr>
              <w:t>2</w:t>
            </w:r>
          </w:p>
        </w:tc>
        <w:tc>
          <w:tcPr>
            <w:tcW w:w="1345" w:type="dxa"/>
            <w:noWrap w:val="0"/>
            <w:vAlign w:val="center"/>
          </w:tcPr>
          <w:p w14:paraId="05BC973C">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71.2</w:t>
            </w:r>
          </w:p>
        </w:tc>
        <w:tc>
          <w:tcPr>
            <w:tcW w:w="1347" w:type="dxa"/>
            <w:noWrap w:val="0"/>
            <w:vAlign w:val="center"/>
          </w:tcPr>
          <w:p w14:paraId="4ECE1D57">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0.84</w:t>
            </w:r>
          </w:p>
        </w:tc>
      </w:tr>
    </w:tbl>
    <w:p w14:paraId="4E4E0BD8">
      <w:pPr>
        <w:pStyle w:val="41"/>
        <w:ind w:firstLine="0" w:firstLineChars="0"/>
        <w:rPr>
          <w:rFonts w:hint="eastAsia" w:ascii="Times New Roman"/>
          <w:sz w:val="24"/>
          <w:szCs w:val="24"/>
        </w:rPr>
      </w:pPr>
    </w:p>
    <w:p w14:paraId="669F4C35">
      <w:pPr>
        <w:pStyle w:val="53"/>
        <w:keepNext w:val="0"/>
        <w:keepLines w:val="0"/>
        <w:pageBreakBefore w:val="0"/>
        <w:kinsoku/>
        <w:wordWrap/>
        <w:overflowPunct/>
        <w:topLinePunct w:val="0"/>
        <w:bidi w:val="0"/>
        <w:adjustRightInd/>
        <w:snapToGrid w:val="0"/>
        <w:spacing w:line="360" w:lineRule="auto"/>
        <w:textAlignment w:val="auto"/>
        <w:outlineLvl w:val="0"/>
        <w:rPr>
          <w:rFonts w:hint="default" w:ascii="Times New Roman" w:hAnsi="Times New Roman" w:cs="Times New Roman"/>
          <w:sz w:val="24"/>
          <w:szCs w:val="24"/>
        </w:rPr>
      </w:pPr>
      <w:bookmarkStart w:id="67" w:name="_Toc17394"/>
      <w:bookmarkStart w:id="68" w:name="_Toc19530"/>
      <w:r>
        <w:rPr>
          <w:rFonts w:hint="default" w:ascii="Times New Roman" w:hAnsi="Times New Roman" w:cs="Times New Roman"/>
          <w:sz w:val="24"/>
          <w:szCs w:val="24"/>
        </w:rPr>
        <w:t>5. 结论</w:t>
      </w:r>
      <w:bookmarkEnd w:id="67"/>
      <w:bookmarkEnd w:id="68"/>
    </w:p>
    <w:p w14:paraId="4241E52C">
      <w:pPr>
        <w:pStyle w:val="41"/>
        <w:keepNext w:val="0"/>
        <w:keepLines w:val="0"/>
        <w:pageBreakBefore w:val="0"/>
        <w:kinsoku/>
        <w:wordWrap/>
        <w:overflowPunct/>
        <w:topLinePunct w:val="0"/>
        <w:bidi w:val="0"/>
        <w:adjustRightInd/>
        <w:snapToGrid w:val="0"/>
        <w:spacing w:line="360" w:lineRule="auto"/>
        <w:ind w:firstLine="480"/>
        <w:textAlignment w:val="auto"/>
        <w:rPr>
          <w:rFonts w:hint="default" w:ascii="Times New Roman" w:hAnsi="Times New Roman" w:cs="Times New Roman"/>
          <w:color w:val="auto"/>
          <w:sz w:val="24"/>
          <w:szCs w:val="24"/>
        </w:rPr>
      </w:pPr>
      <w:r>
        <w:rPr>
          <w:rFonts w:hint="default" w:ascii="Times New Roman" w:hAnsi="Times New Roman" w:cs="Times New Roman"/>
          <w:sz w:val="24"/>
          <w:szCs w:val="24"/>
        </w:rPr>
        <w:t>本验证试验按照第8章规定的方法，对四种类型分子递送载体（纳米胶束、脂质体、白蛋</w:t>
      </w:r>
      <w:r>
        <w:rPr>
          <w:rFonts w:hint="default" w:ascii="Times New Roman" w:hAnsi="Times New Roman" w:cs="Times New Roman"/>
          <w:color w:val="auto"/>
          <w:sz w:val="24"/>
          <w:szCs w:val="24"/>
        </w:rPr>
        <w:t>白、核酸）进行了包封率测定验证。</w:t>
      </w:r>
    </w:p>
    <w:p w14:paraId="5C96BEED">
      <w:pPr>
        <w:pStyle w:val="41"/>
        <w:keepNext w:val="0"/>
        <w:keepLines w:val="0"/>
        <w:pageBreakBefore w:val="0"/>
        <w:kinsoku/>
        <w:wordWrap/>
        <w:overflowPunct/>
        <w:topLinePunct w:val="0"/>
        <w:bidi w:val="0"/>
        <w:adjustRightInd/>
        <w:snapToGrid w:val="0"/>
        <w:spacing w:line="360" w:lineRule="auto"/>
        <w:ind w:firstLine="48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验证结果表明：</w:t>
      </w:r>
    </w:p>
    <w:p w14:paraId="3BA694EE">
      <w:pPr>
        <w:pStyle w:val="41"/>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left="0"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w:t>
      </w:r>
      <w:r>
        <w:rPr>
          <w:rFonts w:hint="default" w:ascii="Times New Roman" w:hAnsi="Times New Roman" w:cs="Times New Roman"/>
          <w:color w:val="auto"/>
          <w:sz w:val="24"/>
          <w:szCs w:val="24"/>
        </w:rPr>
        <w:t>方法操作步骤清晰、可行</w:t>
      </w:r>
    </w:p>
    <w:p w14:paraId="64657279">
      <w:pPr>
        <w:pStyle w:val="41"/>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left="0"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超滤离心条件适用于各类型载体（已根据载体特性优化MWCO及离心参数）</w:t>
      </w:r>
    </w:p>
    <w:p w14:paraId="13A24C32">
      <w:pPr>
        <w:pStyle w:val="41"/>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left="0"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3.</w:t>
      </w:r>
      <w:r>
        <w:rPr>
          <w:rFonts w:hint="default" w:ascii="Times New Roman" w:hAnsi="Times New Roman" w:cs="Times New Roman"/>
          <w:color w:val="auto"/>
          <w:sz w:val="24"/>
          <w:szCs w:val="24"/>
        </w:rPr>
        <w:t>液相色谱法/显色法线性良好，系统适用性符合要求</w:t>
      </w:r>
    </w:p>
    <w:p w14:paraId="0DBBFC85">
      <w:pPr>
        <w:pStyle w:val="41"/>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left="0"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4.</w:t>
      </w:r>
      <w:r>
        <w:rPr>
          <w:rFonts w:hint="default" w:ascii="Times New Roman" w:hAnsi="Times New Roman" w:cs="Times New Roman"/>
          <w:color w:val="auto"/>
          <w:sz w:val="24"/>
          <w:szCs w:val="24"/>
        </w:rPr>
        <w:t>包封率测定结果精密度良好，平行样品偏差</w:t>
      </w:r>
      <w:r>
        <w:rPr>
          <w:rFonts w:hint="eastAsia" w:ascii="宋体" w:hAnsi="宋体" w:eastAsia="宋体" w:cs="宋体"/>
          <w:color w:val="auto"/>
          <w:sz w:val="24"/>
          <w:szCs w:val="24"/>
        </w:rPr>
        <w:t xml:space="preserve"> ≤</w:t>
      </w:r>
      <w:r>
        <w:rPr>
          <w:rFonts w:hint="default" w:ascii="Times New Roman" w:hAnsi="Times New Roman" w:cs="Times New Roman"/>
          <w:color w:val="auto"/>
          <w:sz w:val="24"/>
          <w:szCs w:val="24"/>
        </w:rPr>
        <w:t xml:space="preserve"> </w:t>
      </w:r>
      <w:r>
        <w:rPr>
          <w:rFonts w:hint="eastAsia" w:ascii="Times New Roman" w:cs="Times New Roman"/>
          <w:color w:val="auto"/>
          <w:sz w:val="24"/>
          <w:szCs w:val="24"/>
          <w:lang w:val="en-US" w:eastAsia="zh-CN"/>
        </w:rPr>
        <w:t>5</w:t>
      </w:r>
      <w:r>
        <w:rPr>
          <w:rFonts w:hint="default" w:ascii="Times New Roman" w:hAnsi="Times New Roman" w:cs="Times New Roman"/>
          <w:color w:val="auto"/>
          <w:sz w:val="24"/>
          <w:szCs w:val="24"/>
        </w:rPr>
        <w:t>%</w:t>
      </w:r>
    </w:p>
    <w:p w14:paraId="0549FC65">
      <w:pPr>
        <w:pStyle w:val="41"/>
        <w:keepNext w:val="0"/>
        <w:keepLines w:val="0"/>
        <w:pageBreakBefore w:val="0"/>
        <w:kinsoku/>
        <w:wordWrap/>
        <w:overflowPunct/>
        <w:topLinePunct w:val="0"/>
        <w:bidi w:val="0"/>
        <w:adjustRightInd/>
        <w:snapToGrid w:val="0"/>
        <w:spacing w:line="360" w:lineRule="auto"/>
        <w:ind w:firstLine="48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结论：该方法合理、可靠、可行，可用于不同类型分子递送载体的包封率测定。</w:t>
      </w:r>
    </w:p>
    <w:bookmarkEnd w:id="5"/>
    <w:bookmarkEnd w:id="6"/>
    <w:bookmarkEnd w:id="7"/>
    <w:p w14:paraId="46FB9AEE">
      <w:pPr>
        <w:spacing w:before="156" w:beforeLines="50" w:after="156" w:afterLines="50" w:line="360" w:lineRule="auto"/>
        <w:rPr>
          <w:rFonts w:ascii="黑体" w:hAnsi="宋体" w:eastAsia="黑体"/>
          <w:b/>
          <w:sz w:val="24"/>
        </w:rPr>
      </w:pPr>
      <w:r>
        <w:rPr>
          <w:rFonts w:hint="eastAsia" w:ascii="黑体" w:hAnsi="宋体" w:eastAsia="黑体"/>
          <w:b/>
          <w:sz w:val="24"/>
        </w:rPr>
        <w:t>四、与国际、国外同类标准技术内容的对比情况，或者与测试的国外样品、样机的有关数据对比情况</w:t>
      </w:r>
    </w:p>
    <w:p w14:paraId="071E636E">
      <w:pPr>
        <w:spacing w:before="156" w:beforeLines="50" w:after="156" w:afterLines="50" w:line="360" w:lineRule="auto"/>
        <w:ind w:firstLine="480" w:firstLineChars="200"/>
        <w:rPr>
          <w:rFonts w:hint="eastAsia" w:ascii="Times New Roman" w:hAnsi="宋体"/>
          <w:bCs/>
          <w:sz w:val="24"/>
          <w:szCs w:val="24"/>
        </w:rPr>
      </w:pPr>
      <w:r>
        <w:rPr>
          <w:rFonts w:hint="eastAsia" w:ascii="Times New Roman" w:hAnsi="宋体"/>
          <w:bCs/>
          <w:sz w:val="24"/>
          <w:szCs w:val="24"/>
        </w:rPr>
        <w:t>欧洲药品管理局（EMA）：2025年3月27日，EMA发布了《Guideline on the quality aspects of mRNA vaccines》。该指南适用于传染病预防用mRNA疫苗，特别强调了药物开发过程中质量控制的重要性，并明确提出需要对mRNA疫苗的LNP粒径、mRNA包封率、游离mRNA含量及LNP空壳等关键参数进行表征。</w:t>
      </w:r>
    </w:p>
    <w:p w14:paraId="35A648B1">
      <w:pPr>
        <w:spacing w:before="156" w:beforeLines="50" w:after="156" w:afterLines="50" w:line="360" w:lineRule="auto"/>
        <w:ind w:firstLine="480" w:firstLineChars="200"/>
        <w:rPr>
          <w:rFonts w:hint="eastAsia" w:ascii="Times New Roman" w:hAnsi="宋体"/>
          <w:bCs/>
          <w:sz w:val="24"/>
          <w:szCs w:val="24"/>
        </w:rPr>
      </w:pPr>
      <w:r>
        <w:rPr>
          <w:rFonts w:hint="eastAsia" w:ascii="Times New Roman" w:hAnsi="宋体"/>
          <w:bCs/>
          <w:sz w:val="24"/>
          <w:szCs w:val="24"/>
        </w:rPr>
        <w:t>美国食品药品监督管理局（FDA）：虽未查到针对递送用纳米载体材料包封率的专门、详细标准，但在2021年呼吁采用高灵敏度检测技术评估核酸药物，这暗示了对包括包封率在内的相关质量参数准确检测的要求。在实际应用中，对于纳米药物产品的审批，FDA会综合考虑药物的各个方面，其中包封率是评估药物质量、稳定性和有效性的重要指标之一。例如，在一些已批准的纳米药物产品（如 Doxil®，一种阿霉素脂质体）的相关资料中，就有对其包封率等质量指标的详细说明和要求。</w:t>
      </w:r>
    </w:p>
    <w:p w14:paraId="2EB17525">
      <w:pPr>
        <w:spacing w:before="156" w:beforeLines="50" w:after="156" w:afterLines="50" w:line="360" w:lineRule="auto"/>
        <w:ind w:firstLine="480" w:firstLineChars="200"/>
        <w:rPr>
          <w:rFonts w:hint="eastAsia" w:ascii="Times New Roman" w:hAnsi="宋体"/>
          <w:bCs/>
          <w:sz w:val="24"/>
          <w:szCs w:val="24"/>
        </w:rPr>
      </w:pPr>
      <w:r>
        <w:rPr>
          <w:rFonts w:hint="eastAsia" w:ascii="Times New Roman" w:hAnsi="宋体"/>
          <w:bCs/>
          <w:sz w:val="24"/>
          <w:szCs w:val="24"/>
        </w:rPr>
        <w:t>此外，国际上一些科研机构和组织也在推动相关标准的建立和完善。例如，一些专业的药物研发协会或纳米技术研究团体，会发布关于纳米载体材料包封率测定方法的建议或指南，以促进该领域研究和应用的规范化。不过，由于纳米技术的快速发展和纳米载体材料的多样性，目前可能还没有一套完全统一、适用于所有情况的国际标准。</w:t>
      </w:r>
    </w:p>
    <w:p w14:paraId="608D6A38">
      <w:pPr>
        <w:spacing w:before="156" w:beforeLines="50" w:after="156" w:afterLines="50" w:line="360" w:lineRule="auto"/>
        <w:rPr>
          <w:rFonts w:ascii="Times New Roman" w:hAnsi="Times New Roman" w:eastAsia="黑体"/>
          <w:b/>
          <w:sz w:val="24"/>
        </w:rPr>
      </w:pPr>
      <w:r>
        <w:rPr>
          <w:rFonts w:hint="eastAsia" w:ascii="Times New Roman" w:hAnsi="Times New Roman" w:eastAsia="黑体"/>
          <w:b/>
          <w:sz w:val="24"/>
        </w:rPr>
        <w:t>五、以国际标准为基础的起草情况，以及是否合规引用或者采用国际国外标准，并说明未采用国际标准的原因</w:t>
      </w:r>
    </w:p>
    <w:bookmarkEnd w:id="4"/>
    <w:p w14:paraId="028DE29C">
      <w:pPr>
        <w:spacing w:before="156" w:beforeLines="50" w:after="156" w:afterLines="50" w:line="360" w:lineRule="auto"/>
        <w:ind w:firstLine="480" w:firstLineChars="200"/>
        <w:rPr>
          <w:rFonts w:hint="eastAsia" w:ascii="Times New Roman" w:hAnsi="宋体"/>
          <w:bCs/>
          <w:sz w:val="24"/>
          <w:szCs w:val="24"/>
        </w:rPr>
      </w:pPr>
      <w:bookmarkStart w:id="69" w:name="OLE_LINK5"/>
      <w:r>
        <w:rPr>
          <w:rFonts w:hint="eastAsia" w:ascii="Times New Roman" w:hAnsi="宋体"/>
          <w:bCs/>
          <w:sz w:val="24"/>
          <w:szCs w:val="24"/>
        </w:rPr>
        <w:t>目前国内尚无用于递送用纳米载体材料包封率表征的国家标准，国际上国际标准化组织/纳米技术委员会（ISO/TC229）有一项脂质体术语（ISO/TS 4958:2023 Nanotechnologies - Vocabulary - Liposomes）标准已发布，另有一项美国正在主导的盐酸阿霉素脂质体制剂中总药物、包封药物和游离药物测量（ISO PWI 3181 Nanotechnologies – Total, encapsulated, and free drug quantitation in doxorubicin hydrochloride liposomal formulations using RP-HPLC），美国的材料试验协会（ASTM）有2项关于纳米药物表征的标准，其中冷冻电镜法表征脂质体（ASTM E3143-18b Standard practice for performing cryo-transmission electron microscopy of liposomes）已发布，另有一项利用场流分级法表征以脂质体为载体的载体类纳米药物的尺寸和尺寸分布的标准（ASTM WK68060 New test method for analysis of liposomal drug formulations using mutidetector asymmetrical-flow field fraction (AF4)）正在研制。</w:t>
      </w:r>
    </w:p>
    <w:p w14:paraId="1F34ABB2">
      <w:pPr>
        <w:spacing w:before="156" w:beforeLines="50" w:after="156" w:afterLines="50" w:line="360" w:lineRule="auto"/>
        <w:ind w:firstLine="480" w:firstLineChars="200"/>
        <w:rPr>
          <w:rFonts w:hint="eastAsia" w:ascii="Times New Roman" w:hAnsi="宋体"/>
          <w:bCs/>
          <w:sz w:val="24"/>
          <w:szCs w:val="24"/>
        </w:rPr>
      </w:pPr>
      <w:r>
        <w:rPr>
          <w:rFonts w:hint="eastAsia" w:ascii="Times New Roman" w:hAnsi="宋体"/>
          <w:bCs/>
          <w:sz w:val="24"/>
          <w:szCs w:val="24"/>
        </w:rPr>
        <w:t>综上可见，国际上对递送用纳米载体材料表征相关标准研制逐渐重视，并必将激烈争夺该领域标准制定的主导权。本文件拟规范的递送用纳米载体材料对有效成分的负载能力，即包封率，是评估递送用纳米载体材料的重要核心指标，我们有必要尽快制定我国的团体标准，进而制定国家标准，并同步研制相应国际标准。</w:t>
      </w:r>
    </w:p>
    <w:p w14:paraId="4C098D9A">
      <w:pPr>
        <w:spacing w:before="156" w:beforeLines="50" w:after="156" w:afterLines="50" w:line="360" w:lineRule="auto"/>
        <w:rPr>
          <w:rFonts w:ascii="Times New Roman" w:hAnsi="Times New Roman" w:eastAsia="黑体"/>
          <w:b/>
          <w:sz w:val="24"/>
        </w:rPr>
      </w:pPr>
      <w:r>
        <w:rPr>
          <w:rFonts w:hint="eastAsia" w:ascii="Times New Roman" w:hAnsi="Times New Roman" w:eastAsia="黑体"/>
          <w:b/>
          <w:sz w:val="24"/>
        </w:rPr>
        <w:t>六</w:t>
      </w:r>
      <w:r>
        <w:rPr>
          <w:rFonts w:ascii="Times New Roman" w:hAnsi="Times New Roman" w:eastAsia="黑体"/>
          <w:b/>
          <w:sz w:val="24"/>
        </w:rPr>
        <w:t>、</w:t>
      </w:r>
      <w:bookmarkEnd w:id="69"/>
      <w:r>
        <w:rPr>
          <w:rFonts w:hint="eastAsia" w:ascii="Times New Roman" w:hAnsi="Times New Roman" w:eastAsia="黑体"/>
          <w:b/>
          <w:sz w:val="24"/>
        </w:rPr>
        <w:t>与有关法律、行政法规及相关标准的关系</w:t>
      </w:r>
    </w:p>
    <w:p w14:paraId="0AD71671">
      <w:pPr>
        <w:spacing w:before="156" w:beforeLines="50" w:after="156" w:afterLines="50" w:line="360" w:lineRule="auto"/>
        <w:ind w:firstLine="480" w:firstLineChars="200"/>
        <w:rPr>
          <w:rFonts w:ascii="Times New Roman" w:hAnsi="Times New Roman"/>
          <w:sz w:val="24"/>
        </w:rPr>
      </w:pPr>
      <w:r>
        <w:rPr>
          <w:rFonts w:ascii="Times New Roman" w:hAnsi="Times New Roman"/>
          <w:sz w:val="24"/>
        </w:rPr>
        <w:t>本</w:t>
      </w:r>
      <w:r>
        <w:rPr>
          <w:rFonts w:hint="eastAsia" w:ascii="Times New Roman" w:hAnsi="Times New Roman"/>
          <w:sz w:val="24"/>
        </w:rPr>
        <w:t>文件</w:t>
      </w:r>
      <w:r>
        <w:rPr>
          <w:rFonts w:ascii="Times New Roman" w:hAnsi="Times New Roman"/>
          <w:sz w:val="24"/>
        </w:rPr>
        <w:t>编制原则符合国家的有关法律法规，与强制性国家标准协调一致。</w:t>
      </w:r>
    </w:p>
    <w:p w14:paraId="6C093BFE">
      <w:pPr>
        <w:spacing w:before="156" w:beforeLines="50" w:after="156" w:afterLines="50" w:line="360" w:lineRule="auto"/>
        <w:rPr>
          <w:rFonts w:ascii="Times New Roman" w:hAnsi="Times New Roman" w:eastAsia="黑体"/>
          <w:b/>
          <w:sz w:val="24"/>
        </w:rPr>
      </w:pPr>
      <w:r>
        <w:rPr>
          <w:rFonts w:ascii="Times New Roman" w:hAnsi="Times New Roman" w:eastAsia="黑体"/>
          <w:b/>
          <w:sz w:val="24"/>
        </w:rPr>
        <w:t>七、</w:t>
      </w:r>
      <w:r>
        <w:rPr>
          <w:rFonts w:hint="eastAsia" w:ascii="Times New Roman" w:hAnsi="Times New Roman" w:eastAsia="黑体"/>
          <w:b/>
          <w:sz w:val="24"/>
        </w:rPr>
        <w:t>重大分歧意见的处理经过和依据</w:t>
      </w:r>
    </w:p>
    <w:p w14:paraId="4D49D75B">
      <w:pPr>
        <w:spacing w:before="156" w:beforeLines="50" w:after="156" w:afterLines="50" w:line="360" w:lineRule="auto"/>
        <w:ind w:firstLine="480" w:firstLineChars="200"/>
        <w:rPr>
          <w:rFonts w:ascii="Times New Roman" w:hAnsi="Times New Roman"/>
          <w:sz w:val="24"/>
        </w:rPr>
      </w:pPr>
      <w:r>
        <w:rPr>
          <w:rFonts w:ascii="Times New Roman" w:hAnsi="Times New Roman"/>
          <w:sz w:val="24"/>
        </w:rPr>
        <w:t>无。</w:t>
      </w:r>
    </w:p>
    <w:p w14:paraId="2D943465">
      <w:pPr>
        <w:spacing w:line="360" w:lineRule="auto"/>
        <w:rPr>
          <w:rFonts w:ascii="Times New Roman" w:hAnsi="Times New Roman"/>
          <w:b/>
          <w:sz w:val="24"/>
        </w:rPr>
      </w:pPr>
      <w:r>
        <w:rPr>
          <w:rFonts w:ascii="Times New Roman" w:hAnsi="Times New Roman"/>
          <w:b/>
          <w:sz w:val="24"/>
        </w:rPr>
        <w:t>八、</w:t>
      </w:r>
      <w:r>
        <w:rPr>
          <w:rFonts w:hint="eastAsia" w:ascii="Times New Roman" w:hAnsi="Times New Roman"/>
          <w:b/>
          <w:sz w:val="24"/>
        </w:rPr>
        <w:t>涉及专利的有关说明</w:t>
      </w:r>
    </w:p>
    <w:p w14:paraId="04E6DA35">
      <w:pPr>
        <w:spacing w:before="156" w:beforeLines="50" w:after="156" w:afterLines="50" w:line="360" w:lineRule="auto"/>
        <w:ind w:firstLine="480" w:firstLineChars="200"/>
        <w:rPr>
          <w:rFonts w:ascii="Times New Roman" w:hAnsi="Times New Roman"/>
          <w:sz w:val="24"/>
        </w:rPr>
      </w:pPr>
      <w:r>
        <w:rPr>
          <w:rFonts w:ascii="Times New Roman" w:hAnsi="Times New Roman"/>
          <w:sz w:val="24"/>
        </w:rPr>
        <w:t>无。</w:t>
      </w:r>
    </w:p>
    <w:p w14:paraId="554A4D71">
      <w:pPr>
        <w:spacing w:line="360" w:lineRule="auto"/>
        <w:rPr>
          <w:rFonts w:ascii="宋体" w:hAnsi="宋体"/>
          <w:b/>
          <w:sz w:val="24"/>
        </w:rPr>
      </w:pPr>
      <w:r>
        <w:rPr>
          <w:rFonts w:hint="eastAsia" w:ascii="宋体" w:hAnsi="宋体"/>
          <w:b/>
          <w:sz w:val="24"/>
        </w:rPr>
        <w:t>九、实施国家标准的要求，以及组织措施、技术措施、过渡期和实施日期的建议等措施建议</w:t>
      </w:r>
    </w:p>
    <w:p w14:paraId="3E0760E8">
      <w:pPr>
        <w:spacing w:line="360" w:lineRule="auto"/>
        <w:ind w:firstLine="480" w:firstLineChars="200"/>
        <w:rPr>
          <w:rFonts w:hint="default" w:eastAsia="宋体"/>
          <w:bCs/>
          <w:color w:val="FF0000"/>
          <w:sz w:val="24"/>
          <w:lang w:val="en-US" w:eastAsia="zh-CN"/>
        </w:rPr>
      </w:pPr>
      <w:r>
        <w:rPr>
          <w:rFonts w:hint="eastAsia" w:ascii="宋体" w:hAnsi="宋体"/>
          <w:sz w:val="24"/>
        </w:rPr>
        <w:t>建议本标准作为</w:t>
      </w:r>
      <w:r>
        <w:rPr>
          <w:rFonts w:hint="eastAsia" w:ascii="宋体" w:hAnsi="宋体"/>
          <w:sz w:val="24"/>
          <w:lang w:eastAsia="zh-CN"/>
        </w:rPr>
        <w:t>团体</w:t>
      </w:r>
      <w:r>
        <w:rPr>
          <w:rFonts w:hint="eastAsia" w:ascii="宋体" w:hAnsi="宋体"/>
          <w:sz w:val="24"/>
        </w:rPr>
        <w:t>标准</w:t>
      </w:r>
      <w:r>
        <w:rPr>
          <w:rFonts w:hint="eastAsia" w:ascii="宋体" w:hAnsi="宋体"/>
          <w:sz w:val="24"/>
          <w:lang w:eastAsia="zh-CN"/>
        </w:rPr>
        <w:t>，</w:t>
      </w:r>
      <w:r>
        <w:rPr>
          <w:rFonts w:hint="eastAsia" w:ascii="宋体" w:hAnsi="宋体"/>
          <w:sz w:val="24"/>
          <w:lang w:val="en-US" w:eastAsia="zh-CN"/>
        </w:rPr>
        <w:t>发布即实施。</w:t>
      </w:r>
    </w:p>
    <w:p w14:paraId="41B43C9B">
      <w:pPr>
        <w:spacing w:before="156" w:beforeLines="50" w:after="156" w:afterLines="50" w:line="360" w:lineRule="auto"/>
        <w:rPr>
          <w:rFonts w:ascii="黑体" w:hAnsi="宋体" w:eastAsia="黑体"/>
          <w:b/>
          <w:sz w:val="24"/>
        </w:rPr>
      </w:pPr>
      <w:r>
        <w:rPr>
          <w:rFonts w:hint="eastAsia" w:ascii="黑体" w:hAnsi="宋体" w:eastAsia="黑体"/>
          <w:b/>
          <w:sz w:val="24"/>
        </w:rPr>
        <w:t>十、其他应当说明的事项</w:t>
      </w:r>
    </w:p>
    <w:p w14:paraId="6BB74354">
      <w:pPr>
        <w:pStyle w:val="3"/>
        <w:tabs>
          <w:tab w:val="center" w:pos="4535"/>
        </w:tabs>
        <w:spacing w:line="360" w:lineRule="auto"/>
        <w:ind w:firstLine="480" w:firstLineChars="200"/>
        <w:rPr>
          <w:rFonts w:hint="eastAsia" w:ascii="宋体" w:hAnsi="宋体"/>
          <w:sz w:val="24"/>
        </w:rPr>
      </w:pPr>
      <w:r>
        <w:rPr>
          <w:rFonts w:hint="eastAsia" w:ascii="宋体" w:hAnsi="宋体"/>
          <w:sz w:val="24"/>
        </w:rPr>
        <w:t>公平竞争审查结论</w:t>
      </w:r>
      <w:r>
        <w:rPr>
          <w:rFonts w:hint="eastAsia" w:ascii="宋体" w:hAnsi="宋体"/>
          <w:sz w:val="24"/>
          <w:lang w:eastAsia="zh-CN"/>
        </w:rPr>
        <w:t>：</w:t>
      </w:r>
      <w:r>
        <w:rPr>
          <w:rFonts w:hint="eastAsia" w:ascii="宋体" w:hAnsi="宋体"/>
          <w:sz w:val="24"/>
        </w:rPr>
        <w:t>审核通过。《公平竞争审查表》见附件。</w:t>
      </w:r>
    </w:p>
    <w:p w14:paraId="083103CE">
      <w:pPr>
        <w:pStyle w:val="3"/>
        <w:tabs>
          <w:tab w:val="center" w:pos="4535"/>
        </w:tabs>
        <w:spacing w:line="360" w:lineRule="auto"/>
        <w:ind w:firstLine="480" w:firstLineChars="200"/>
        <w:rPr>
          <w:rFonts w:ascii="宋体" w:hAnsi="宋体"/>
          <w:sz w:val="24"/>
        </w:rPr>
      </w:pPr>
      <w:r>
        <w:rPr>
          <w:rFonts w:hint="eastAsia" w:ascii="宋体" w:hAnsi="宋体"/>
          <w:sz w:val="24"/>
        </w:rPr>
        <w:t>本标准颁布机构不承担与本标准相关的任何专利文献检索，如审阅人发现与本标准相关的任何专利信息，请随征求意见稿、送审稿、报批稿一并提交给本标准颁布机构，如需要查询与本标准相关的专利信息，请直接与专利权人联系。</w:t>
      </w:r>
    </w:p>
    <w:p w14:paraId="21FC2249">
      <w:pPr>
        <w:pStyle w:val="3"/>
        <w:tabs>
          <w:tab w:val="center" w:pos="4535"/>
        </w:tabs>
        <w:spacing w:line="360" w:lineRule="auto"/>
        <w:ind w:firstLine="480" w:firstLineChars="200"/>
        <w:rPr>
          <w:rFonts w:hint="eastAsia" w:cs="Times New Roman"/>
          <w:sz w:val="24"/>
          <w:lang w:eastAsia="zh-CN"/>
        </w:rPr>
      </w:pPr>
    </w:p>
    <w:sectPr>
      <w:footerReference r:id="rId3" w:type="default"/>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DY1+ZHRApv-1">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5973C">
    <w:pPr>
      <w:pStyle w:val="5"/>
      <w:jc w:val="center"/>
    </w:pPr>
    <w:r>
      <w:fldChar w:fldCharType="begin"/>
    </w:r>
    <w:r>
      <w:instrText xml:space="preserve">PAGE   \* MERGEFORMAT</w:instrText>
    </w:r>
    <w:r>
      <w:fldChar w:fldCharType="separate"/>
    </w:r>
    <w:r>
      <w:rPr>
        <w:lang w:val="zh-CN"/>
      </w:rPr>
      <w:t>15</w:t>
    </w:r>
    <w:r>
      <w:fldChar w:fldCharType="end"/>
    </w:r>
  </w:p>
  <w:p w14:paraId="6E2FD602">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BB4D8F"/>
    <w:multiLevelType w:val="singleLevel"/>
    <w:tmpl w:val="04BB4D8F"/>
    <w:lvl w:ilvl="0" w:tentative="0">
      <w:start w:val="1"/>
      <w:numFmt w:val="chineseCounting"/>
      <w:suff w:val="nothing"/>
      <w:lvlText w:val="%1、"/>
      <w:lvlJc w:val="left"/>
      <w:rPr>
        <w:rFonts w:hint="eastAsia"/>
      </w:rPr>
    </w:lvl>
  </w:abstractNum>
  <w:abstractNum w:abstractNumId="1">
    <w:nsid w:val="1DBF583A"/>
    <w:multiLevelType w:val="multilevel"/>
    <w:tmpl w:val="1DBF583A"/>
    <w:lvl w:ilvl="0" w:tentative="0">
      <w:start w:val="1"/>
      <w:numFmt w:val="decimal"/>
      <w:pStyle w:val="29"/>
      <w:suff w:val="nothing"/>
      <w:lvlText w:val="注%1："/>
      <w:lvlJc w:val="left"/>
      <w:pPr>
        <w:ind w:left="448" w:hanging="448"/>
      </w:pPr>
      <w:rPr>
        <w:rFonts w:hint="eastAsia" w:ascii="黑体" w:hAnsi="黑体" w:eastAsia="黑体"/>
        <w:b w:val="0"/>
        <w:i w:val="0"/>
        <w:sz w:val="18"/>
        <w:szCs w:val="18"/>
        <w:vertAlign w:val="baseline"/>
        <w:lang w:val="en-US"/>
      </w:rPr>
    </w:lvl>
    <w:lvl w:ilvl="1" w:tentative="0">
      <w:start w:val="1"/>
      <w:numFmt w:val="lowerLetter"/>
      <w:lvlText w:val="%2)"/>
      <w:lvlJc w:val="left"/>
      <w:pPr>
        <w:tabs>
          <w:tab w:val="left" w:pos="-182"/>
        </w:tabs>
        <w:ind w:left="811" w:hanging="630"/>
      </w:pPr>
      <w:rPr>
        <w:rFonts w:hint="eastAsia"/>
        <w:vertAlign w:val="baseline"/>
      </w:rPr>
    </w:lvl>
    <w:lvl w:ilvl="2" w:tentative="0">
      <w:start w:val="1"/>
      <w:numFmt w:val="lowerRoman"/>
      <w:lvlText w:val="%3."/>
      <w:lvlJc w:val="right"/>
      <w:pPr>
        <w:tabs>
          <w:tab w:val="left" w:pos="-182"/>
        </w:tabs>
        <w:ind w:left="811" w:hanging="630"/>
      </w:pPr>
      <w:rPr>
        <w:rFonts w:hint="eastAsia"/>
        <w:vertAlign w:val="baseline"/>
      </w:rPr>
    </w:lvl>
    <w:lvl w:ilvl="3" w:tentative="0">
      <w:start w:val="1"/>
      <w:numFmt w:val="decimal"/>
      <w:lvlText w:val="%4."/>
      <w:lvlJc w:val="left"/>
      <w:pPr>
        <w:tabs>
          <w:tab w:val="left" w:pos="-182"/>
        </w:tabs>
        <w:ind w:left="811" w:hanging="630"/>
      </w:pPr>
      <w:rPr>
        <w:rFonts w:hint="eastAsia"/>
        <w:vertAlign w:val="baseline"/>
      </w:rPr>
    </w:lvl>
    <w:lvl w:ilvl="4" w:tentative="0">
      <w:start w:val="1"/>
      <w:numFmt w:val="lowerLetter"/>
      <w:lvlText w:val="%5)"/>
      <w:lvlJc w:val="left"/>
      <w:pPr>
        <w:tabs>
          <w:tab w:val="left" w:pos="-182"/>
        </w:tabs>
        <w:ind w:left="811" w:hanging="630"/>
      </w:pPr>
      <w:rPr>
        <w:rFonts w:hint="eastAsia"/>
        <w:vertAlign w:val="baseline"/>
      </w:rPr>
    </w:lvl>
    <w:lvl w:ilvl="5" w:tentative="0">
      <w:start w:val="1"/>
      <w:numFmt w:val="lowerRoman"/>
      <w:lvlText w:val="%6."/>
      <w:lvlJc w:val="right"/>
      <w:pPr>
        <w:tabs>
          <w:tab w:val="left" w:pos="-182"/>
        </w:tabs>
        <w:ind w:left="811" w:hanging="630"/>
      </w:pPr>
      <w:rPr>
        <w:rFonts w:hint="eastAsia"/>
        <w:vertAlign w:val="baseline"/>
      </w:rPr>
    </w:lvl>
    <w:lvl w:ilvl="6" w:tentative="0">
      <w:start w:val="1"/>
      <w:numFmt w:val="decimal"/>
      <w:lvlText w:val="%7."/>
      <w:lvlJc w:val="left"/>
      <w:pPr>
        <w:tabs>
          <w:tab w:val="left" w:pos="-182"/>
        </w:tabs>
        <w:ind w:left="811" w:hanging="630"/>
      </w:pPr>
      <w:rPr>
        <w:rFonts w:hint="eastAsia"/>
        <w:vertAlign w:val="baseline"/>
      </w:rPr>
    </w:lvl>
    <w:lvl w:ilvl="7" w:tentative="0">
      <w:start w:val="1"/>
      <w:numFmt w:val="lowerLetter"/>
      <w:lvlText w:val="%8)"/>
      <w:lvlJc w:val="left"/>
      <w:pPr>
        <w:tabs>
          <w:tab w:val="left" w:pos="-182"/>
        </w:tabs>
        <w:ind w:left="811" w:hanging="630"/>
      </w:pPr>
      <w:rPr>
        <w:rFonts w:hint="eastAsia"/>
        <w:vertAlign w:val="baseline"/>
      </w:rPr>
    </w:lvl>
    <w:lvl w:ilvl="8" w:tentative="0">
      <w:start w:val="1"/>
      <w:numFmt w:val="lowerRoman"/>
      <w:lvlText w:val="%9."/>
      <w:lvlJc w:val="right"/>
      <w:pPr>
        <w:tabs>
          <w:tab w:val="left" w:pos="-182"/>
        </w:tabs>
        <w:ind w:left="811" w:hanging="630"/>
      </w:pPr>
      <w:rPr>
        <w:rFonts w:hint="eastAsia"/>
        <w:vertAlign w:val="baseline"/>
      </w:rPr>
    </w:lvl>
  </w:abstractNum>
  <w:abstractNum w:abstractNumId="2">
    <w:nsid w:val="1FC91163"/>
    <w:multiLevelType w:val="multilevel"/>
    <w:tmpl w:val="1FC91163"/>
    <w:lvl w:ilvl="0" w:tentative="0">
      <w:start w:val="1"/>
      <w:numFmt w:val="decimal"/>
      <w:pStyle w:val="35"/>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4"/>
      <w:suff w:val="nothing"/>
      <w:lvlText w:val="%1.%2　"/>
      <w:lvlJc w:val="left"/>
      <w:pPr>
        <w:ind w:left="426"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36"/>
      <w:suff w:val="nothing"/>
      <w:lvlText w:val="%1.%2.%3　"/>
      <w:lvlJc w:val="left"/>
      <w:pPr>
        <w:ind w:left="0" w:firstLine="0"/>
      </w:pPr>
      <w:rPr>
        <w:rFonts w:hint="eastAsia" w:ascii="黑体" w:hAnsi="Times New Roman" w:eastAsia="黑体"/>
        <w:b w:val="0"/>
        <w:i w:val="0"/>
        <w:sz w:val="21"/>
      </w:rPr>
    </w:lvl>
    <w:lvl w:ilvl="3" w:tentative="0">
      <w:start w:val="1"/>
      <w:numFmt w:val="decimal"/>
      <w:pStyle w:val="37"/>
      <w:suff w:val="nothing"/>
      <w:lvlText w:val="%1.%2.%3.%4　"/>
      <w:lvlJc w:val="left"/>
      <w:pPr>
        <w:ind w:left="709" w:firstLine="0"/>
      </w:pPr>
      <w:rPr>
        <w:rFonts w:hint="eastAsia" w:ascii="黑体" w:hAnsi="Times New Roman" w:eastAsia="黑体"/>
        <w:b w:val="0"/>
        <w:i w:val="0"/>
        <w:sz w:val="21"/>
      </w:rPr>
    </w:lvl>
    <w:lvl w:ilvl="4" w:tentative="0">
      <w:start w:val="1"/>
      <w:numFmt w:val="decimal"/>
      <w:pStyle w:val="38"/>
      <w:suff w:val="nothing"/>
      <w:lvlText w:val="%1.%2.%3.%4.%5　"/>
      <w:lvlJc w:val="left"/>
      <w:pPr>
        <w:ind w:left="0" w:firstLine="0"/>
      </w:pPr>
      <w:rPr>
        <w:rFonts w:hint="eastAsia" w:ascii="黑体" w:hAnsi="Times New Roman" w:eastAsia="黑体"/>
        <w:b w:val="0"/>
        <w:i w:val="0"/>
        <w:sz w:val="21"/>
      </w:rPr>
    </w:lvl>
    <w:lvl w:ilvl="5" w:tentative="0">
      <w:start w:val="1"/>
      <w:numFmt w:val="decimal"/>
      <w:pStyle w:val="39"/>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C5917C3"/>
    <w:multiLevelType w:val="multilevel"/>
    <w:tmpl w:val="2C5917C3"/>
    <w:lvl w:ilvl="0" w:tentative="0">
      <w:start w:val="1"/>
      <w:numFmt w:val="none"/>
      <w:pStyle w:val="42"/>
      <w:lvlText w:val="%1——"/>
      <w:lvlJc w:val="left"/>
      <w:pPr>
        <w:tabs>
          <w:tab w:val="left" w:pos="710"/>
        </w:tabs>
        <w:ind w:left="710" w:hanging="426"/>
      </w:pPr>
      <w:rPr>
        <w:rFonts w:hint="default" w:ascii="Times New Roman" w:hAnsi="Times New Roman" w:eastAsia="宋体" w:cs="Times New Roman"/>
        <w:b w:val="0"/>
        <w:i w:val="0"/>
        <w:sz w:val="21"/>
      </w:rPr>
    </w:lvl>
    <w:lvl w:ilvl="1" w:tentative="0">
      <w:start w:val="1"/>
      <w:numFmt w:val="none"/>
      <w:lvlText w:val=""/>
      <w:lvlJc w:val="left"/>
      <w:pPr>
        <w:ind w:left="851" w:hanging="431"/>
      </w:pPr>
      <w:rPr>
        <w:rFonts w:hint="default" w:ascii="Symbol" w:hAnsi="Symbol"/>
        <w:sz w:val="21"/>
      </w:rPr>
    </w:lvl>
    <w:lvl w:ilvl="2" w:tentative="0">
      <w:start w:val="1"/>
      <w:numFmt w:val="bullet"/>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4">
    <w:nsid w:val="2F00122A"/>
    <w:multiLevelType w:val="singleLevel"/>
    <w:tmpl w:val="2F00122A"/>
    <w:lvl w:ilvl="0" w:tentative="0">
      <w:start w:val="2"/>
      <w:numFmt w:val="chineseCounting"/>
      <w:suff w:val="nothing"/>
      <w:lvlText w:val="%1、"/>
      <w:lvlJc w:val="left"/>
      <w:rPr>
        <w:rFonts w:hint="eastAsia"/>
      </w:rPr>
    </w:lvl>
  </w:abstractNum>
  <w:abstractNum w:abstractNumId="5">
    <w:nsid w:val="48802D1C"/>
    <w:multiLevelType w:val="multilevel"/>
    <w:tmpl w:val="48802D1C"/>
    <w:lvl w:ilvl="0" w:tentative="0">
      <w:start w:val="1"/>
      <w:numFmt w:val="upperLetter"/>
      <w:lvlText w:val="%1"/>
      <w:lvlJc w:val="left"/>
      <w:pPr>
        <w:ind w:left="420" w:hanging="420"/>
      </w:pPr>
      <w:rPr>
        <w:rFonts w:hint="eastAsia"/>
      </w:rPr>
    </w:lvl>
    <w:lvl w:ilvl="1" w:tentative="0">
      <w:start w:val="1"/>
      <w:numFmt w:val="decimal"/>
      <w:pStyle w:val="45"/>
      <w:suff w:val="space"/>
      <w:lvlText w:val="图%1.%2"/>
      <w:lvlJc w:val="center"/>
      <w:pPr>
        <w:ind w:left="1844"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557C2AF5"/>
    <w:multiLevelType w:val="multilevel"/>
    <w:tmpl w:val="557C2AF5"/>
    <w:lvl w:ilvl="0" w:tentative="0">
      <w:start w:val="1"/>
      <w:numFmt w:val="decimal"/>
      <w:pStyle w:val="4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646260FA"/>
    <w:multiLevelType w:val="multilevel"/>
    <w:tmpl w:val="646260FA"/>
    <w:lvl w:ilvl="0" w:tentative="0">
      <w:start w:val="1"/>
      <w:numFmt w:val="decimal"/>
      <w:pStyle w:val="46"/>
      <w:suff w:val="nothing"/>
      <w:lvlText w:val="表%1　"/>
      <w:lvlJc w:val="left"/>
      <w:pPr>
        <w:ind w:left="426" w:firstLine="0"/>
      </w:pPr>
      <w:rPr>
        <w:rFonts w:hint="eastAsia" w:ascii="黑体" w:hAnsi="Times New Roman" w:eastAsia="黑体"/>
        <w:b w:val="0"/>
        <w:i w:val="0"/>
        <w:sz w:val="21"/>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559"/>
        </w:tabs>
        <w:ind w:left="1559" w:hanging="708"/>
      </w:pPr>
      <w:rPr>
        <w:rFonts w:hint="eastAsia"/>
      </w:rPr>
    </w:lvl>
    <w:lvl w:ilvl="4" w:tentative="0">
      <w:start w:val="1"/>
      <w:numFmt w:val="decimal"/>
      <w:lvlText w:val="%1.%2.%3.%4.%5"/>
      <w:lvlJc w:val="left"/>
      <w:pPr>
        <w:tabs>
          <w:tab w:val="left" w:pos="2126"/>
        </w:tabs>
        <w:ind w:left="2126" w:hanging="850"/>
      </w:pPr>
      <w:rPr>
        <w:rFonts w:hint="eastAsia"/>
      </w:rPr>
    </w:lvl>
    <w:lvl w:ilvl="5" w:tentative="0">
      <w:start w:val="1"/>
      <w:numFmt w:val="decimal"/>
      <w:lvlText w:val="%1.%2.%3.%4.%5.%6"/>
      <w:lvlJc w:val="left"/>
      <w:pPr>
        <w:tabs>
          <w:tab w:val="left" w:pos="2835"/>
        </w:tabs>
        <w:ind w:left="2835" w:hanging="1134"/>
      </w:pPr>
      <w:rPr>
        <w:rFonts w:hint="eastAsia"/>
      </w:rPr>
    </w:lvl>
    <w:lvl w:ilvl="6" w:tentative="0">
      <w:start w:val="1"/>
      <w:numFmt w:val="decimal"/>
      <w:lvlText w:val="%1.%2.%3.%4.%5.%6.%7"/>
      <w:lvlJc w:val="left"/>
      <w:pPr>
        <w:tabs>
          <w:tab w:val="left" w:pos="3402"/>
        </w:tabs>
        <w:ind w:left="3402" w:hanging="1276"/>
      </w:pPr>
      <w:rPr>
        <w:rFonts w:hint="eastAsia"/>
      </w:rPr>
    </w:lvl>
    <w:lvl w:ilvl="7" w:tentative="0">
      <w:start w:val="1"/>
      <w:numFmt w:val="decimal"/>
      <w:lvlText w:val="%1.%2.%3.%4.%5.%6.%7.%8"/>
      <w:lvlJc w:val="left"/>
      <w:pPr>
        <w:tabs>
          <w:tab w:val="left" w:pos="3969"/>
        </w:tabs>
        <w:ind w:left="3969" w:hanging="1418"/>
      </w:pPr>
      <w:rPr>
        <w:rFonts w:hint="eastAsia"/>
      </w:rPr>
    </w:lvl>
    <w:lvl w:ilvl="8" w:tentative="0">
      <w:start w:val="1"/>
      <w:numFmt w:val="decimal"/>
      <w:lvlText w:val="%1.%2.%3.%4.%5.%6.%7.%8.%9"/>
      <w:lvlJc w:val="left"/>
      <w:pPr>
        <w:tabs>
          <w:tab w:val="left" w:pos="4677"/>
        </w:tabs>
        <w:ind w:left="4677" w:hanging="1700"/>
      </w:pPr>
      <w:rPr>
        <w:rFonts w:hint="eastAsia"/>
      </w:rPr>
    </w:lvl>
  </w:abstractNum>
  <w:abstractNum w:abstractNumId="8">
    <w:nsid w:val="657D3FBC"/>
    <w:multiLevelType w:val="multilevel"/>
    <w:tmpl w:val="657D3FBC"/>
    <w:lvl w:ilvl="0" w:tentative="0">
      <w:start w:val="1"/>
      <w:numFmt w:val="upperLetter"/>
      <w:pStyle w:val="44"/>
      <w:suff w:val="nothing"/>
      <w:lvlText w:val="附录%1"/>
      <w:lvlJc w:val="left"/>
      <w:pPr>
        <w:ind w:left="0" w:firstLine="0"/>
      </w:pPr>
      <w:rPr>
        <w:rFonts w:hint="eastAsia"/>
        <w:spacing w:val="100"/>
      </w:rPr>
    </w:lvl>
    <w:lvl w:ilvl="1" w:tentative="0">
      <w:start w:val="1"/>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eastAsia="黑体"/>
        <w:b w:val="0"/>
        <w:i w:val="0"/>
        <w:sz w:val="21"/>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66B88812"/>
    <w:multiLevelType w:val="singleLevel"/>
    <w:tmpl w:val="66B88812"/>
    <w:lvl w:ilvl="0" w:tentative="0">
      <w:start w:val="4"/>
      <w:numFmt w:val="decimal"/>
      <w:suff w:val="space"/>
      <w:lvlText w:val="%1."/>
      <w:lvlJc w:val="left"/>
    </w:lvl>
  </w:abstractNum>
  <w:abstractNum w:abstractNumId="10">
    <w:nsid w:val="6DBF04F4"/>
    <w:multiLevelType w:val="multilevel"/>
    <w:tmpl w:val="6DBF04F4"/>
    <w:lvl w:ilvl="0" w:tentative="0">
      <w:start w:val="1"/>
      <w:numFmt w:val="none"/>
      <w:pStyle w:val="32"/>
      <w:suff w:val="nothing"/>
      <w:lvlText w:val="%1注："/>
      <w:lvlJc w:val="left"/>
      <w:pPr>
        <w:ind w:left="3199"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7"/>
  </w:num>
  <w:num w:numId="2">
    <w:abstractNumId w:val="6"/>
  </w:num>
  <w:num w:numId="3">
    <w:abstractNumId w:val="1"/>
  </w:num>
  <w:num w:numId="4">
    <w:abstractNumId w:val="10"/>
  </w:num>
  <w:num w:numId="5">
    <w:abstractNumId w:val="2"/>
  </w:num>
  <w:num w:numId="6">
    <w:abstractNumId w:val="3"/>
  </w:num>
  <w:num w:numId="7">
    <w:abstractNumId w:val="8"/>
  </w:num>
  <w:num w:numId="8">
    <w:abstractNumId w:val="5"/>
  </w:num>
  <w:num w:numId="9">
    <w:abstractNumId w:val="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2NGZhMjY1MjFlYmVjZTVjZmIxMmI5ZTNiNDY3MGEifQ=="/>
  </w:docVars>
  <w:rsids>
    <w:rsidRoot w:val="00267304"/>
    <w:rsid w:val="000021F5"/>
    <w:rsid w:val="000029F4"/>
    <w:rsid w:val="00010C8C"/>
    <w:rsid w:val="00011B43"/>
    <w:rsid w:val="00013C28"/>
    <w:rsid w:val="00020131"/>
    <w:rsid w:val="00020C26"/>
    <w:rsid w:val="00021EA5"/>
    <w:rsid w:val="0002377B"/>
    <w:rsid w:val="00025EA3"/>
    <w:rsid w:val="00031688"/>
    <w:rsid w:val="00034E22"/>
    <w:rsid w:val="0004370D"/>
    <w:rsid w:val="00047883"/>
    <w:rsid w:val="00047F9C"/>
    <w:rsid w:val="00053992"/>
    <w:rsid w:val="00063C3C"/>
    <w:rsid w:val="0006654A"/>
    <w:rsid w:val="000752C1"/>
    <w:rsid w:val="00086C5A"/>
    <w:rsid w:val="000928D4"/>
    <w:rsid w:val="000B24EA"/>
    <w:rsid w:val="000B4F65"/>
    <w:rsid w:val="000B5435"/>
    <w:rsid w:val="000B6AC4"/>
    <w:rsid w:val="000C3239"/>
    <w:rsid w:val="000C6F1E"/>
    <w:rsid w:val="000C7D2A"/>
    <w:rsid w:val="000D158F"/>
    <w:rsid w:val="000E366D"/>
    <w:rsid w:val="000E5F5D"/>
    <w:rsid w:val="000F5A77"/>
    <w:rsid w:val="0010574C"/>
    <w:rsid w:val="001219A0"/>
    <w:rsid w:val="00123AFC"/>
    <w:rsid w:val="00126D0E"/>
    <w:rsid w:val="001311BA"/>
    <w:rsid w:val="00131C10"/>
    <w:rsid w:val="00137737"/>
    <w:rsid w:val="0013776C"/>
    <w:rsid w:val="00143FFC"/>
    <w:rsid w:val="00144040"/>
    <w:rsid w:val="00152A70"/>
    <w:rsid w:val="0015496D"/>
    <w:rsid w:val="001719CC"/>
    <w:rsid w:val="00183D26"/>
    <w:rsid w:val="001912C1"/>
    <w:rsid w:val="00191B24"/>
    <w:rsid w:val="001B4BEE"/>
    <w:rsid w:val="001B7A5F"/>
    <w:rsid w:val="001C3803"/>
    <w:rsid w:val="001C6E43"/>
    <w:rsid w:val="001C79C3"/>
    <w:rsid w:val="001D0601"/>
    <w:rsid w:val="001D1610"/>
    <w:rsid w:val="001D6F85"/>
    <w:rsid w:val="001E2A83"/>
    <w:rsid w:val="001F66A5"/>
    <w:rsid w:val="001F7075"/>
    <w:rsid w:val="00212309"/>
    <w:rsid w:val="0021351C"/>
    <w:rsid w:val="00217268"/>
    <w:rsid w:val="00224E10"/>
    <w:rsid w:val="0022536A"/>
    <w:rsid w:val="0025128E"/>
    <w:rsid w:val="00254C42"/>
    <w:rsid w:val="00260C48"/>
    <w:rsid w:val="00261EEB"/>
    <w:rsid w:val="00262574"/>
    <w:rsid w:val="00263D33"/>
    <w:rsid w:val="002649CC"/>
    <w:rsid w:val="00267304"/>
    <w:rsid w:val="00274F25"/>
    <w:rsid w:val="00293FF6"/>
    <w:rsid w:val="00295795"/>
    <w:rsid w:val="00297EA2"/>
    <w:rsid w:val="00297EEF"/>
    <w:rsid w:val="002B1A79"/>
    <w:rsid w:val="002B7262"/>
    <w:rsid w:val="002C0916"/>
    <w:rsid w:val="002C1236"/>
    <w:rsid w:val="002C52E8"/>
    <w:rsid w:val="002C7749"/>
    <w:rsid w:val="002D2EF0"/>
    <w:rsid w:val="002E32BD"/>
    <w:rsid w:val="002E576B"/>
    <w:rsid w:val="002F2021"/>
    <w:rsid w:val="002F214C"/>
    <w:rsid w:val="002F2A53"/>
    <w:rsid w:val="002F3DDE"/>
    <w:rsid w:val="002F69F6"/>
    <w:rsid w:val="0030271A"/>
    <w:rsid w:val="00303CE8"/>
    <w:rsid w:val="0030547F"/>
    <w:rsid w:val="00305CE1"/>
    <w:rsid w:val="00311D96"/>
    <w:rsid w:val="0031354B"/>
    <w:rsid w:val="003161D9"/>
    <w:rsid w:val="0031797A"/>
    <w:rsid w:val="00320D53"/>
    <w:rsid w:val="0032306F"/>
    <w:rsid w:val="00327316"/>
    <w:rsid w:val="0033045B"/>
    <w:rsid w:val="00341FC0"/>
    <w:rsid w:val="00351B73"/>
    <w:rsid w:val="00352364"/>
    <w:rsid w:val="00352DE9"/>
    <w:rsid w:val="00365959"/>
    <w:rsid w:val="00386FC5"/>
    <w:rsid w:val="00392583"/>
    <w:rsid w:val="003A0859"/>
    <w:rsid w:val="003A37A1"/>
    <w:rsid w:val="003A3F4F"/>
    <w:rsid w:val="003B1D51"/>
    <w:rsid w:val="003B57D7"/>
    <w:rsid w:val="003B7146"/>
    <w:rsid w:val="003B758E"/>
    <w:rsid w:val="003D0DC2"/>
    <w:rsid w:val="003D102F"/>
    <w:rsid w:val="003D4B07"/>
    <w:rsid w:val="003D5C7F"/>
    <w:rsid w:val="003E770E"/>
    <w:rsid w:val="003E7958"/>
    <w:rsid w:val="003F70C2"/>
    <w:rsid w:val="00400D01"/>
    <w:rsid w:val="00405F31"/>
    <w:rsid w:val="004123FB"/>
    <w:rsid w:val="00414804"/>
    <w:rsid w:val="00417C8C"/>
    <w:rsid w:val="0042740E"/>
    <w:rsid w:val="00435860"/>
    <w:rsid w:val="0044094D"/>
    <w:rsid w:val="0044178C"/>
    <w:rsid w:val="00443185"/>
    <w:rsid w:val="00450751"/>
    <w:rsid w:val="00453092"/>
    <w:rsid w:val="004708BF"/>
    <w:rsid w:val="00472548"/>
    <w:rsid w:val="00484FC2"/>
    <w:rsid w:val="004870D2"/>
    <w:rsid w:val="004930F9"/>
    <w:rsid w:val="004B20B8"/>
    <w:rsid w:val="004B630E"/>
    <w:rsid w:val="004B76BD"/>
    <w:rsid w:val="004B76C2"/>
    <w:rsid w:val="004B7F87"/>
    <w:rsid w:val="004C0BCE"/>
    <w:rsid w:val="004C131A"/>
    <w:rsid w:val="004C41D2"/>
    <w:rsid w:val="004C4447"/>
    <w:rsid w:val="004C5078"/>
    <w:rsid w:val="004C5641"/>
    <w:rsid w:val="004D690F"/>
    <w:rsid w:val="004E11A8"/>
    <w:rsid w:val="004E2159"/>
    <w:rsid w:val="004E2B61"/>
    <w:rsid w:val="004E4B3C"/>
    <w:rsid w:val="004F01C9"/>
    <w:rsid w:val="004F261E"/>
    <w:rsid w:val="00500CCF"/>
    <w:rsid w:val="00501B2F"/>
    <w:rsid w:val="00502DC7"/>
    <w:rsid w:val="00515746"/>
    <w:rsid w:val="005165B1"/>
    <w:rsid w:val="00516D1D"/>
    <w:rsid w:val="00531148"/>
    <w:rsid w:val="00532D41"/>
    <w:rsid w:val="00536274"/>
    <w:rsid w:val="0054135E"/>
    <w:rsid w:val="00550FB2"/>
    <w:rsid w:val="00561FA4"/>
    <w:rsid w:val="00572DFC"/>
    <w:rsid w:val="005761E3"/>
    <w:rsid w:val="00576583"/>
    <w:rsid w:val="00582055"/>
    <w:rsid w:val="00583C40"/>
    <w:rsid w:val="00590214"/>
    <w:rsid w:val="00594A78"/>
    <w:rsid w:val="00597628"/>
    <w:rsid w:val="005A073F"/>
    <w:rsid w:val="005A4CFB"/>
    <w:rsid w:val="005B4BC0"/>
    <w:rsid w:val="005C3A6C"/>
    <w:rsid w:val="005C540A"/>
    <w:rsid w:val="005D3DB0"/>
    <w:rsid w:val="005D4603"/>
    <w:rsid w:val="005E41C1"/>
    <w:rsid w:val="005E5F10"/>
    <w:rsid w:val="0060290A"/>
    <w:rsid w:val="006030CD"/>
    <w:rsid w:val="00603D7D"/>
    <w:rsid w:val="00604252"/>
    <w:rsid w:val="006045A4"/>
    <w:rsid w:val="006106B5"/>
    <w:rsid w:val="0062237F"/>
    <w:rsid w:val="006234A6"/>
    <w:rsid w:val="00627F75"/>
    <w:rsid w:val="0063409C"/>
    <w:rsid w:val="0063411D"/>
    <w:rsid w:val="00653A79"/>
    <w:rsid w:val="00664787"/>
    <w:rsid w:val="00664C33"/>
    <w:rsid w:val="00666181"/>
    <w:rsid w:val="006706BA"/>
    <w:rsid w:val="0067250E"/>
    <w:rsid w:val="00681F40"/>
    <w:rsid w:val="00683F48"/>
    <w:rsid w:val="00685FD8"/>
    <w:rsid w:val="006929F3"/>
    <w:rsid w:val="00693684"/>
    <w:rsid w:val="0069427A"/>
    <w:rsid w:val="00696BC9"/>
    <w:rsid w:val="006A32AF"/>
    <w:rsid w:val="006A3E08"/>
    <w:rsid w:val="006A54CE"/>
    <w:rsid w:val="006B2B91"/>
    <w:rsid w:val="006B75CD"/>
    <w:rsid w:val="006C28A1"/>
    <w:rsid w:val="006C763A"/>
    <w:rsid w:val="006D0E42"/>
    <w:rsid w:val="006D36BB"/>
    <w:rsid w:val="006D4415"/>
    <w:rsid w:val="006D535C"/>
    <w:rsid w:val="006E1D5C"/>
    <w:rsid w:val="006E4A5D"/>
    <w:rsid w:val="006F3F51"/>
    <w:rsid w:val="006F6780"/>
    <w:rsid w:val="007072A1"/>
    <w:rsid w:val="0071150C"/>
    <w:rsid w:val="00717BC1"/>
    <w:rsid w:val="007213E8"/>
    <w:rsid w:val="0072152E"/>
    <w:rsid w:val="00721926"/>
    <w:rsid w:val="00721B2F"/>
    <w:rsid w:val="00725677"/>
    <w:rsid w:val="00732FA9"/>
    <w:rsid w:val="00733019"/>
    <w:rsid w:val="00733154"/>
    <w:rsid w:val="007406FB"/>
    <w:rsid w:val="007448F3"/>
    <w:rsid w:val="007478E7"/>
    <w:rsid w:val="00755379"/>
    <w:rsid w:val="00761FB4"/>
    <w:rsid w:val="007654AC"/>
    <w:rsid w:val="00773EEA"/>
    <w:rsid w:val="00774B0D"/>
    <w:rsid w:val="0077695F"/>
    <w:rsid w:val="00777B4E"/>
    <w:rsid w:val="0078183F"/>
    <w:rsid w:val="00784B58"/>
    <w:rsid w:val="007A3627"/>
    <w:rsid w:val="007A368E"/>
    <w:rsid w:val="007A48CD"/>
    <w:rsid w:val="007A4AC9"/>
    <w:rsid w:val="007B63E0"/>
    <w:rsid w:val="007B7BFC"/>
    <w:rsid w:val="007C080C"/>
    <w:rsid w:val="007C3676"/>
    <w:rsid w:val="007C3C16"/>
    <w:rsid w:val="007C6A36"/>
    <w:rsid w:val="007C7D40"/>
    <w:rsid w:val="007D2CA3"/>
    <w:rsid w:val="007E28BF"/>
    <w:rsid w:val="007E4CA5"/>
    <w:rsid w:val="007E7D20"/>
    <w:rsid w:val="007E7EC6"/>
    <w:rsid w:val="007F07E9"/>
    <w:rsid w:val="007F1A38"/>
    <w:rsid w:val="008004FA"/>
    <w:rsid w:val="00815878"/>
    <w:rsid w:val="00817932"/>
    <w:rsid w:val="008241B3"/>
    <w:rsid w:val="008250A8"/>
    <w:rsid w:val="00832F31"/>
    <w:rsid w:val="00836B9E"/>
    <w:rsid w:val="00845936"/>
    <w:rsid w:val="00846F26"/>
    <w:rsid w:val="00851090"/>
    <w:rsid w:val="00856F39"/>
    <w:rsid w:val="00865B51"/>
    <w:rsid w:val="00871FFE"/>
    <w:rsid w:val="00880118"/>
    <w:rsid w:val="008803A1"/>
    <w:rsid w:val="00880E0E"/>
    <w:rsid w:val="00881741"/>
    <w:rsid w:val="008845D4"/>
    <w:rsid w:val="008876D6"/>
    <w:rsid w:val="00893042"/>
    <w:rsid w:val="00894721"/>
    <w:rsid w:val="00895BEE"/>
    <w:rsid w:val="008960A6"/>
    <w:rsid w:val="008A0A02"/>
    <w:rsid w:val="008A451B"/>
    <w:rsid w:val="008A6CF2"/>
    <w:rsid w:val="008B59F8"/>
    <w:rsid w:val="008C025F"/>
    <w:rsid w:val="008C22A7"/>
    <w:rsid w:val="008D054A"/>
    <w:rsid w:val="008D2563"/>
    <w:rsid w:val="008E6A34"/>
    <w:rsid w:val="008F4DFF"/>
    <w:rsid w:val="008F75E6"/>
    <w:rsid w:val="00900D6C"/>
    <w:rsid w:val="00900E7D"/>
    <w:rsid w:val="009022AB"/>
    <w:rsid w:val="0091445D"/>
    <w:rsid w:val="00914BFC"/>
    <w:rsid w:val="00915244"/>
    <w:rsid w:val="0091568B"/>
    <w:rsid w:val="009156A5"/>
    <w:rsid w:val="00917070"/>
    <w:rsid w:val="00931EF4"/>
    <w:rsid w:val="009327B2"/>
    <w:rsid w:val="009408D0"/>
    <w:rsid w:val="00941CA6"/>
    <w:rsid w:val="009452E3"/>
    <w:rsid w:val="00951D45"/>
    <w:rsid w:val="00951DA6"/>
    <w:rsid w:val="00960428"/>
    <w:rsid w:val="00981514"/>
    <w:rsid w:val="00990104"/>
    <w:rsid w:val="00990CC3"/>
    <w:rsid w:val="00993DF9"/>
    <w:rsid w:val="00994A63"/>
    <w:rsid w:val="00995467"/>
    <w:rsid w:val="009A1208"/>
    <w:rsid w:val="009B29EC"/>
    <w:rsid w:val="009B4C57"/>
    <w:rsid w:val="009C1240"/>
    <w:rsid w:val="009C1AED"/>
    <w:rsid w:val="009C2966"/>
    <w:rsid w:val="009D55DE"/>
    <w:rsid w:val="009D7656"/>
    <w:rsid w:val="009E1EAD"/>
    <w:rsid w:val="009E241B"/>
    <w:rsid w:val="009E2C94"/>
    <w:rsid w:val="009F4021"/>
    <w:rsid w:val="009F4A1A"/>
    <w:rsid w:val="009F4B25"/>
    <w:rsid w:val="00A05729"/>
    <w:rsid w:val="00A1282E"/>
    <w:rsid w:val="00A144E1"/>
    <w:rsid w:val="00A23E5B"/>
    <w:rsid w:val="00A24E93"/>
    <w:rsid w:val="00A26804"/>
    <w:rsid w:val="00A326D0"/>
    <w:rsid w:val="00A34560"/>
    <w:rsid w:val="00A34D8C"/>
    <w:rsid w:val="00A36D03"/>
    <w:rsid w:val="00A43324"/>
    <w:rsid w:val="00A442BA"/>
    <w:rsid w:val="00A46C2F"/>
    <w:rsid w:val="00A5554E"/>
    <w:rsid w:val="00A56A09"/>
    <w:rsid w:val="00A60639"/>
    <w:rsid w:val="00A71B18"/>
    <w:rsid w:val="00A819AD"/>
    <w:rsid w:val="00A855AA"/>
    <w:rsid w:val="00A876E5"/>
    <w:rsid w:val="00A916F8"/>
    <w:rsid w:val="00A95855"/>
    <w:rsid w:val="00AA1098"/>
    <w:rsid w:val="00AB6D22"/>
    <w:rsid w:val="00AB70FC"/>
    <w:rsid w:val="00AC3662"/>
    <w:rsid w:val="00AE2258"/>
    <w:rsid w:val="00AE2CB3"/>
    <w:rsid w:val="00AE497F"/>
    <w:rsid w:val="00AF0DCE"/>
    <w:rsid w:val="00B00D17"/>
    <w:rsid w:val="00B0317E"/>
    <w:rsid w:val="00B045C9"/>
    <w:rsid w:val="00B061CC"/>
    <w:rsid w:val="00B108DC"/>
    <w:rsid w:val="00B111D7"/>
    <w:rsid w:val="00B13568"/>
    <w:rsid w:val="00B16E76"/>
    <w:rsid w:val="00B24F4C"/>
    <w:rsid w:val="00B42F92"/>
    <w:rsid w:val="00B4596B"/>
    <w:rsid w:val="00B46A6E"/>
    <w:rsid w:val="00B5150C"/>
    <w:rsid w:val="00B5304C"/>
    <w:rsid w:val="00B5357C"/>
    <w:rsid w:val="00B64BC3"/>
    <w:rsid w:val="00B76AFE"/>
    <w:rsid w:val="00B774B2"/>
    <w:rsid w:val="00B804F7"/>
    <w:rsid w:val="00B9053F"/>
    <w:rsid w:val="00B9192C"/>
    <w:rsid w:val="00B96FFF"/>
    <w:rsid w:val="00B97EB0"/>
    <w:rsid w:val="00BA0764"/>
    <w:rsid w:val="00BA313C"/>
    <w:rsid w:val="00BA5BB8"/>
    <w:rsid w:val="00BC7D00"/>
    <w:rsid w:val="00BD4EE0"/>
    <w:rsid w:val="00BE1D0C"/>
    <w:rsid w:val="00BE28FC"/>
    <w:rsid w:val="00BE304B"/>
    <w:rsid w:val="00BE3526"/>
    <w:rsid w:val="00BE70AA"/>
    <w:rsid w:val="00BF2D44"/>
    <w:rsid w:val="00BF4704"/>
    <w:rsid w:val="00C02CFB"/>
    <w:rsid w:val="00C13C61"/>
    <w:rsid w:val="00C14DFC"/>
    <w:rsid w:val="00C179E6"/>
    <w:rsid w:val="00C2241C"/>
    <w:rsid w:val="00C22ED5"/>
    <w:rsid w:val="00C24175"/>
    <w:rsid w:val="00C24F8D"/>
    <w:rsid w:val="00C25F26"/>
    <w:rsid w:val="00C2792D"/>
    <w:rsid w:val="00C36799"/>
    <w:rsid w:val="00C400A5"/>
    <w:rsid w:val="00C47F83"/>
    <w:rsid w:val="00C52397"/>
    <w:rsid w:val="00C54BAB"/>
    <w:rsid w:val="00C56B42"/>
    <w:rsid w:val="00C637F1"/>
    <w:rsid w:val="00C676A4"/>
    <w:rsid w:val="00C713C4"/>
    <w:rsid w:val="00C734C0"/>
    <w:rsid w:val="00C7498D"/>
    <w:rsid w:val="00C7597A"/>
    <w:rsid w:val="00C77024"/>
    <w:rsid w:val="00C855FC"/>
    <w:rsid w:val="00C9434B"/>
    <w:rsid w:val="00C94645"/>
    <w:rsid w:val="00CA4B03"/>
    <w:rsid w:val="00CA6BD2"/>
    <w:rsid w:val="00CB0F91"/>
    <w:rsid w:val="00CB3B7D"/>
    <w:rsid w:val="00CC3CF5"/>
    <w:rsid w:val="00CC3F60"/>
    <w:rsid w:val="00CC5090"/>
    <w:rsid w:val="00CD3614"/>
    <w:rsid w:val="00CD7B30"/>
    <w:rsid w:val="00CE2553"/>
    <w:rsid w:val="00CE57A0"/>
    <w:rsid w:val="00CE665B"/>
    <w:rsid w:val="00CF062F"/>
    <w:rsid w:val="00CF0DC4"/>
    <w:rsid w:val="00D00E69"/>
    <w:rsid w:val="00D05128"/>
    <w:rsid w:val="00D12272"/>
    <w:rsid w:val="00D221BD"/>
    <w:rsid w:val="00D24B2F"/>
    <w:rsid w:val="00D266C8"/>
    <w:rsid w:val="00D35512"/>
    <w:rsid w:val="00D41984"/>
    <w:rsid w:val="00D646AF"/>
    <w:rsid w:val="00D87B77"/>
    <w:rsid w:val="00D94541"/>
    <w:rsid w:val="00D97B62"/>
    <w:rsid w:val="00D97EF2"/>
    <w:rsid w:val="00DA3B76"/>
    <w:rsid w:val="00DA43BB"/>
    <w:rsid w:val="00DA724D"/>
    <w:rsid w:val="00DA736C"/>
    <w:rsid w:val="00DB289F"/>
    <w:rsid w:val="00DC013B"/>
    <w:rsid w:val="00DC14E4"/>
    <w:rsid w:val="00DC7601"/>
    <w:rsid w:val="00DD1F11"/>
    <w:rsid w:val="00DD2940"/>
    <w:rsid w:val="00DD5F57"/>
    <w:rsid w:val="00DD604E"/>
    <w:rsid w:val="00DE5A8F"/>
    <w:rsid w:val="00DF086F"/>
    <w:rsid w:val="00DF0B87"/>
    <w:rsid w:val="00DF56B2"/>
    <w:rsid w:val="00DF59B3"/>
    <w:rsid w:val="00E00F0E"/>
    <w:rsid w:val="00E038DA"/>
    <w:rsid w:val="00E07EFB"/>
    <w:rsid w:val="00E10497"/>
    <w:rsid w:val="00E113F5"/>
    <w:rsid w:val="00E240B7"/>
    <w:rsid w:val="00E303E1"/>
    <w:rsid w:val="00E34946"/>
    <w:rsid w:val="00E4266E"/>
    <w:rsid w:val="00E623A6"/>
    <w:rsid w:val="00E64620"/>
    <w:rsid w:val="00E72A44"/>
    <w:rsid w:val="00E81C03"/>
    <w:rsid w:val="00E84479"/>
    <w:rsid w:val="00E91797"/>
    <w:rsid w:val="00E9508A"/>
    <w:rsid w:val="00E95B12"/>
    <w:rsid w:val="00E95B3D"/>
    <w:rsid w:val="00E97E9D"/>
    <w:rsid w:val="00EA1137"/>
    <w:rsid w:val="00EA1C9A"/>
    <w:rsid w:val="00EA4CA8"/>
    <w:rsid w:val="00EA67E4"/>
    <w:rsid w:val="00EA7FCE"/>
    <w:rsid w:val="00EB04F6"/>
    <w:rsid w:val="00EC4BBE"/>
    <w:rsid w:val="00ED2452"/>
    <w:rsid w:val="00ED5040"/>
    <w:rsid w:val="00ED5C3F"/>
    <w:rsid w:val="00ED7664"/>
    <w:rsid w:val="00EE088C"/>
    <w:rsid w:val="00EE45F6"/>
    <w:rsid w:val="00EE6240"/>
    <w:rsid w:val="00EE6E45"/>
    <w:rsid w:val="00EF0817"/>
    <w:rsid w:val="00EF0859"/>
    <w:rsid w:val="00EF7358"/>
    <w:rsid w:val="00F00D83"/>
    <w:rsid w:val="00F040E3"/>
    <w:rsid w:val="00F063D7"/>
    <w:rsid w:val="00F15EC9"/>
    <w:rsid w:val="00F32B43"/>
    <w:rsid w:val="00F34D6C"/>
    <w:rsid w:val="00F35BE5"/>
    <w:rsid w:val="00F372EB"/>
    <w:rsid w:val="00F378E8"/>
    <w:rsid w:val="00F40DC9"/>
    <w:rsid w:val="00F4738D"/>
    <w:rsid w:val="00F4766C"/>
    <w:rsid w:val="00F61796"/>
    <w:rsid w:val="00F61E26"/>
    <w:rsid w:val="00F662D8"/>
    <w:rsid w:val="00F67537"/>
    <w:rsid w:val="00F73A80"/>
    <w:rsid w:val="00F77204"/>
    <w:rsid w:val="00F773D8"/>
    <w:rsid w:val="00F80B95"/>
    <w:rsid w:val="00F824D2"/>
    <w:rsid w:val="00F8415E"/>
    <w:rsid w:val="00F85346"/>
    <w:rsid w:val="00F90947"/>
    <w:rsid w:val="00F9485D"/>
    <w:rsid w:val="00F94894"/>
    <w:rsid w:val="00F97F3B"/>
    <w:rsid w:val="00FA5F7D"/>
    <w:rsid w:val="00FB019B"/>
    <w:rsid w:val="00FB49B7"/>
    <w:rsid w:val="00FB62F5"/>
    <w:rsid w:val="00FC1CA3"/>
    <w:rsid w:val="00FC46EE"/>
    <w:rsid w:val="00FC64F3"/>
    <w:rsid w:val="00FC6CE1"/>
    <w:rsid w:val="00FD2F13"/>
    <w:rsid w:val="00FD4485"/>
    <w:rsid w:val="00FD7B35"/>
    <w:rsid w:val="00FE3C29"/>
    <w:rsid w:val="00FE5F40"/>
    <w:rsid w:val="01E96614"/>
    <w:rsid w:val="01EC0334"/>
    <w:rsid w:val="02353A89"/>
    <w:rsid w:val="023B0973"/>
    <w:rsid w:val="0273010D"/>
    <w:rsid w:val="029736B4"/>
    <w:rsid w:val="02A429BD"/>
    <w:rsid w:val="02B250DA"/>
    <w:rsid w:val="02E856E7"/>
    <w:rsid w:val="03092820"/>
    <w:rsid w:val="03343D40"/>
    <w:rsid w:val="03546191"/>
    <w:rsid w:val="03667C72"/>
    <w:rsid w:val="03CB38D0"/>
    <w:rsid w:val="03E868D9"/>
    <w:rsid w:val="04245B63"/>
    <w:rsid w:val="04247911"/>
    <w:rsid w:val="043F299D"/>
    <w:rsid w:val="04517714"/>
    <w:rsid w:val="04657F2A"/>
    <w:rsid w:val="04663F08"/>
    <w:rsid w:val="049A1A1A"/>
    <w:rsid w:val="04C74740"/>
    <w:rsid w:val="055E32F7"/>
    <w:rsid w:val="05760640"/>
    <w:rsid w:val="05C25634"/>
    <w:rsid w:val="05FC5058"/>
    <w:rsid w:val="060519C4"/>
    <w:rsid w:val="060774EA"/>
    <w:rsid w:val="0636392C"/>
    <w:rsid w:val="06451DC1"/>
    <w:rsid w:val="06695AAF"/>
    <w:rsid w:val="0687687D"/>
    <w:rsid w:val="069074E0"/>
    <w:rsid w:val="070C4B75"/>
    <w:rsid w:val="071E2D3E"/>
    <w:rsid w:val="07702E6D"/>
    <w:rsid w:val="077A3CEC"/>
    <w:rsid w:val="079C0106"/>
    <w:rsid w:val="07A1571D"/>
    <w:rsid w:val="07A50D69"/>
    <w:rsid w:val="07E06245"/>
    <w:rsid w:val="085C6797"/>
    <w:rsid w:val="086C1887"/>
    <w:rsid w:val="08770167"/>
    <w:rsid w:val="089B6610"/>
    <w:rsid w:val="09664528"/>
    <w:rsid w:val="09786095"/>
    <w:rsid w:val="09D75366"/>
    <w:rsid w:val="0A436A63"/>
    <w:rsid w:val="0A4E393A"/>
    <w:rsid w:val="0A9E5F43"/>
    <w:rsid w:val="0ABD0ABF"/>
    <w:rsid w:val="0AC36753"/>
    <w:rsid w:val="0AD007F3"/>
    <w:rsid w:val="0B6902FF"/>
    <w:rsid w:val="0B8F6A85"/>
    <w:rsid w:val="0B9C2483"/>
    <w:rsid w:val="0BB023D2"/>
    <w:rsid w:val="0BB06FED"/>
    <w:rsid w:val="0BBC0081"/>
    <w:rsid w:val="0BD95485"/>
    <w:rsid w:val="0C5F5F48"/>
    <w:rsid w:val="0C886EAB"/>
    <w:rsid w:val="0CEB1914"/>
    <w:rsid w:val="0D1D75F3"/>
    <w:rsid w:val="0D2941EA"/>
    <w:rsid w:val="0D474670"/>
    <w:rsid w:val="0D570D57"/>
    <w:rsid w:val="0D6C2329"/>
    <w:rsid w:val="0D913B3D"/>
    <w:rsid w:val="0DDA3736"/>
    <w:rsid w:val="0DF93BBD"/>
    <w:rsid w:val="0DFA7935"/>
    <w:rsid w:val="0E122ED0"/>
    <w:rsid w:val="0E172295"/>
    <w:rsid w:val="0E230C39"/>
    <w:rsid w:val="0E4137B5"/>
    <w:rsid w:val="0F1669F0"/>
    <w:rsid w:val="0F1C5AC5"/>
    <w:rsid w:val="0F7A0D2D"/>
    <w:rsid w:val="0F8E2A2A"/>
    <w:rsid w:val="0F9A4F2B"/>
    <w:rsid w:val="0FA67D74"/>
    <w:rsid w:val="10085F0D"/>
    <w:rsid w:val="10093E5F"/>
    <w:rsid w:val="102B0279"/>
    <w:rsid w:val="110D797F"/>
    <w:rsid w:val="114A0BD3"/>
    <w:rsid w:val="116D7A8F"/>
    <w:rsid w:val="11E93F48"/>
    <w:rsid w:val="11FD79F3"/>
    <w:rsid w:val="12045226"/>
    <w:rsid w:val="1211524D"/>
    <w:rsid w:val="127777A6"/>
    <w:rsid w:val="127E0B34"/>
    <w:rsid w:val="12D6271E"/>
    <w:rsid w:val="132E255A"/>
    <w:rsid w:val="133236CD"/>
    <w:rsid w:val="13FF3EF7"/>
    <w:rsid w:val="14223741"/>
    <w:rsid w:val="148E0DD7"/>
    <w:rsid w:val="14900FF3"/>
    <w:rsid w:val="14A10B0A"/>
    <w:rsid w:val="14B22D17"/>
    <w:rsid w:val="14C52A4A"/>
    <w:rsid w:val="14F7697C"/>
    <w:rsid w:val="15396F94"/>
    <w:rsid w:val="15CC1BB7"/>
    <w:rsid w:val="16077093"/>
    <w:rsid w:val="161517B0"/>
    <w:rsid w:val="163A7468"/>
    <w:rsid w:val="16663DB9"/>
    <w:rsid w:val="16D03928"/>
    <w:rsid w:val="16DE1BA1"/>
    <w:rsid w:val="17255A22"/>
    <w:rsid w:val="17857095"/>
    <w:rsid w:val="17BE7C25"/>
    <w:rsid w:val="17E56F60"/>
    <w:rsid w:val="17F832F1"/>
    <w:rsid w:val="18273A1C"/>
    <w:rsid w:val="186E164B"/>
    <w:rsid w:val="186E444E"/>
    <w:rsid w:val="18C43019"/>
    <w:rsid w:val="18D314AE"/>
    <w:rsid w:val="18DC0363"/>
    <w:rsid w:val="18E13BCB"/>
    <w:rsid w:val="18E92A80"/>
    <w:rsid w:val="19121FD6"/>
    <w:rsid w:val="191E4E1F"/>
    <w:rsid w:val="192817FA"/>
    <w:rsid w:val="19377C8F"/>
    <w:rsid w:val="19793E03"/>
    <w:rsid w:val="19B80DD0"/>
    <w:rsid w:val="19BB08C0"/>
    <w:rsid w:val="19C239FC"/>
    <w:rsid w:val="1A073B05"/>
    <w:rsid w:val="1A6E1EA5"/>
    <w:rsid w:val="1A750A6F"/>
    <w:rsid w:val="1A98475D"/>
    <w:rsid w:val="1AAD645B"/>
    <w:rsid w:val="1AC13CB4"/>
    <w:rsid w:val="1ADE7026"/>
    <w:rsid w:val="1AF2149C"/>
    <w:rsid w:val="1B040045"/>
    <w:rsid w:val="1B2B737F"/>
    <w:rsid w:val="1BA84E74"/>
    <w:rsid w:val="1C0D045B"/>
    <w:rsid w:val="1C962F1E"/>
    <w:rsid w:val="1CC25AC1"/>
    <w:rsid w:val="1CE04199"/>
    <w:rsid w:val="1D52461F"/>
    <w:rsid w:val="1E030FA5"/>
    <w:rsid w:val="1E3E73CA"/>
    <w:rsid w:val="1E5E5810"/>
    <w:rsid w:val="1E831280"/>
    <w:rsid w:val="1E854FF8"/>
    <w:rsid w:val="1EA26D96"/>
    <w:rsid w:val="1EC57AEB"/>
    <w:rsid w:val="1EEC1623"/>
    <w:rsid w:val="1F212F73"/>
    <w:rsid w:val="1F4442B4"/>
    <w:rsid w:val="1F8C7C9F"/>
    <w:rsid w:val="20124FB2"/>
    <w:rsid w:val="20AE591A"/>
    <w:rsid w:val="20E56222"/>
    <w:rsid w:val="21052421"/>
    <w:rsid w:val="21690C01"/>
    <w:rsid w:val="21B53E47"/>
    <w:rsid w:val="21C557FA"/>
    <w:rsid w:val="220821C8"/>
    <w:rsid w:val="224A0A33"/>
    <w:rsid w:val="229121BE"/>
    <w:rsid w:val="22AA1480"/>
    <w:rsid w:val="22BB36DF"/>
    <w:rsid w:val="22F64717"/>
    <w:rsid w:val="23A45F21"/>
    <w:rsid w:val="23AB3753"/>
    <w:rsid w:val="23B4085A"/>
    <w:rsid w:val="23B56380"/>
    <w:rsid w:val="23C40371"/>
    <w:rsid w:val="23CD191B"/>
    <w:rsid w:val="24066BDB"/>
    <w:rsid w:val="242552B4"/>
    <w:rsid w:val="243B4AD7"/>
    <w:rsid w:val="244B2840"/>
    <w:rsid w:val="24AA7567"/>
    <w:rsid w:val="24FE78B3"/>
    <w:rsid w:val="25201F1F"/>
    <w:rsid w:val="25257535"/>
    <w:rsid w:val="253B4663"/>
    <w:rsid w:val="25754F44"/>
    <w:rsid w:val="25A0096A"/>
    <w:rsid w:val="26121868"/>
    <w:rsid w:val="26143832"/>
    <w:rsid w:val="261A696E"/>
    <w:rsid w:val="26461FDD"/>
    <w:rsid w:val="266B71CA"/>
    <w:rsid w:val="270A253F"/>
    <w:rsid w:val="270C62B7"/>
    <w:rsid w:val="270D629D"/>
    <w:rsid w:val="273870AC"/>
    <w:rsid w:val="27427F2B"/>
    <w:rsid w:val="277F2F2D"/>
    <w:rsid w:val="27D36DD5"/>
    <w:rsid w:val="27DB3EDB"/>
    <w:rsid w:val="27E2526A"/>
    <w:rsid w:val="27F51441"/>
    <w:rsid w:val="280B47C0"/>
    <w:rsid w:val="281178FD"/>
    <w:rsid w:val="283C0E1E"/>
    <w:rsid w:val="283F090E"/>
    <w:rsid w:val="2852419D"/>
    <w:rsid w:val="28A15125"/>
    <w:rsid w:val="28E41C2D"/>
    <w:rsid w:val="28ED3902"/>
    <w:rsid w:val="290137CD"/>
    <w:rsid w:val="295E4DC4"/>
    <w:rsid w:val="297A4149"/>
    <w:rsid w:val="29BB1260"/>
    <w:rsid w:val="29C966E1"/>
    <w:rsid w:val="29D67050"/>
    <w:rsid w:val="29EF3C6E"/>
    <w:rsid w:val="29FB0865"/>
    <w:rsid w:val="2A554419"/>
    <w:rsid w:val="2A693A20"/>
    <w:rsid w:val="2AAF1D7B"/>
    <w:rsid w:val="2AE46E13"/>
    <w:rsid w:val="2B141BDE"/>
    <w:rsid w:val="2B275DB5"/>
    <w:rsid w:val="2B365FF8"/>
    <w:rsid w:val="2B577D1D"/>
    <w:rsid w:val="2B5B15BB"/>
    <w:rsid w:val="2BBC401C"/>
    <w:rsid w:val="2BD9251A"/>
    <w:rsid w:val="2BE9306B"/>
    <w:rsid w:val="2C0E2ED8"/>
    <w:rsid w:val="2C183950"/>
    <w:rsid w:val="2C4B5AD3"/>
    <w:rsid w:val="2C5D5807"/>
    <w:rsid w:val="2C7D37B3"/>
    <w:rsid w:val="2C8E776E"/>
    <w:rsid w:val="2CB82A3D"/>
    <w:rsid w:val="2CDE6947"/>
    <w:rsid w:val="2D55028C"/>
    <w:rsid w:val="2D804EC8"/>
    <w:rsid w:val="2DB80F46"/>
    <w:rsid w:val="2DEC0BF0"/>
    <w:rsid w:val="2DF33D2D"/>
    <w:rsid w:val="2E082C92"/>
    <w:rsid w:val="2E093550"/>
    <w:rsid w:val="2E0C1292"/>
    <w:rsid w:val="2E314855"/>
    <w:rsid w:val="2E8452CD"/>
    <w:rsid w:val="2E977C38"/>
    <w:rsid w:val="2EEB70FA"/>
    <w:rsid w:val="2EF04710"/>
    <w:rsid w:val="2F6A2714"/>
    <w:rsid w:val="2F6F69E2"/>
    <w:rsid w:val="2F8D01B1"/>
    <w:rsid w:val="2FBB4D1E"/>
    <w:rsid w:val="3034062C"/>
    <w:rsid w:val="305F38FB"/>
    <w:rsid w:val="3074392A"/>
    <w:rsid w:val="30847806"/>
    <w:rsid w:val="3086532C"/>
    <w:rsid w:val="308B2942"/>
    <w:rsid w:val="30B874AF"/>
    <w:rsid w:val="30D3093C"/>
    <w:rsid w:val="30D51EBD"/>
    <w:rsid w:val="30E42053"/>
    <w:rsid w:val="31342FDA"/>
    <w:rsid w:val="316A69FC"/>
    <w:rsid w:val="31853E5D"/>
    <w:rsid w:val="31C3435E"/>
    <w:rsid w:val="31F369F1"/>
    <w:rsid w:val="321150C9"/>
    <w:rsid w:val="328C0BF4"/>
    <w:rsid w:val="32A93554"/>
    <w:rsid w:val="32C24615"/>
    <w:rsid w:val="32E26A66"/>
    <w:rsid w:val="32E427DE"/>
    <w:rsid w:val="3317670F"/>
    <w:rsid w:val="33291F9F"/>
    <w:rsid w:val="332C56FA"/>
    <w:rsid w:val="33A1247D"/>
    <w:rsid w:val="33F97BC3"/>
    <w:rsid w:val="34761214"/>
    <w:rsid w:val="347D07F4"/>
    <w:rsid w:val="34897199"/>
    <w:rsid w:val="34B63D06"/>
    <w:rsid w:val="34CC52D7"/>
    <w:rsid w:val="34DD1293"/>
    <w:rsid w:val="351F3659"/>
    <w:rsid w:val="35494B7A"/>
    <w:rsid w:val="354B26A0"/>
    <w:rsid w:val="354E7802"/>
    <w:rsid w:val="356A1FBE"/>
    <w:rsid w:val="358E2EF1"/>
    <w:rsid w:val="359F479A"/>
    <w:rsid w:val="35CF507F"/>
    <w:rsid w:val="35D46B3A"/>
    <w:rsid w:val="35DE52C2"/>
    <w:rsid w:val="35E6686D"/>
    <w:rsid w:val="36211653"/>
    <w:rsid w:val="36EF52AD"/>
    <w:rsid w:val="36F64284"/>
    <w:rsid w:val="37030298"/>
    <w:rsid w:val="37215DAE"/>
    <w:rsid w:val="37411FAD"/>
    <w:rsid w:val="37923FA8"/>
    <w:rsid w:val="37985945"/>
    <w:rsid w:val="37A34A15"/>
    <w:rsid w:val="37CA01F4"/>
    <w:rsid w:val="37F30863"/>
    <w:rsid w:val="380B25BB"/>
    <w:rsid w:val="38394A3C"/>
    <w:rsid w:val="38481119"/>
    <w:rsid w:val="384A6C3F"/>
    <w:rsid w:val="38557DDA"/>
    <w:rsid w:val="38883C0B"/>
    <w:rsid w:val="389820A0"/>
    <w:rsid w:val="38E726E0"/>
    <w:rsid w:val="39002FB3"/>
    <w:rsid w:val="3911775D"/>
    <w:rsid w:val="397523E2"/>
    <w:rsid w:val="39AB195F"/>
    <w:rsid w:val="39B32F0A"/>
    <w:rsid w:val="39C944DB"/>
    <w:rsid w:val="39DC7D6B"/>
    <w:rsid w:val="39F552D0"/>
    <w:rsid w:val="3A1721D1"/>
    <w:rsid w:val="3A2A31CC"/>
    <w:rsid w:val="3A563FC1"/>
    <w:rsid w:val="3A63223A"/>
    <w:rsid w:val="3A744447"/>
    <w:rsid w:val="3B497B2D"/>
    <w:rsid w:val="3B64626A"/>
    <w:rsid w:val="3B8E1539"/>
    <w:rsid w:val="3BA66882"/>
    <w:rsid w:val="3BF21AC7"/>
    <w:rsid w:val="3C666012"/>
    <w:rsid w:val="3C9A5CBB"/>
    <w:rsid w:val="3CC72F54"/>
    <w:rsid w:val="3CDA770E"/>
    <w:rsid w:val="3D516CC2"/>
    <w:rsid w:val="3D5E4F3B"/>
    <w:rsid w:val="3DAD49D1"/>
    <w:rsid w:val="3DDF42CD"/>
    <w:rsid w:val="3DEE2762"/>
    <w:rsid w:val="3DFD6502"/>
    <w:rsid w:val="3E1D0952"/>
    <w:rsid w:val="3E333E30"/>
    <w:rsid w:val="3E4651BA"/>
    <w:rsid w:val="3E4D56DB"/>
    <w:rsid w:val="3E642A25"/>
    <w:rsid w:val="3E726EF0"/>
    <w:rsid w:val="3E992042"/>
    <w:rsid w:val="3ECE27B7"/>
    <w:rsid w:val="3ED17DA2"/>
    <w:rsid w:val="3EE020AB"/>
    <w:rsid w:val="3EE576C2"/>
    <w:rsid w:val="3F8B5C9A"/>
    <w:rsid w:val="3F93536F"/>
    <w:rsid w:val="3FC419CD"/>
    <w:rsid w:val="3FE200A5"/>
    <w:rsid w:val="400E2C48"/>
    <w:rsid w:val="40104C12"/>
    <w:rsid w:val="406C4FAB"/>
    <w:rsid w:val="406E1939"/>
    <w:rsid w:val="40953369"/>
    <w:rsid w:val="40980764"/>
    <w:rsid w:val="409C0254"/>
    <w:rsid w:val="40B04E66"/>
    <w:rsid w:val="41004C87"/>
    <w:rsid w:val="4151103E"/>
    <w:rsid w:val="415E19AD"/>
    <w:rsid w:val="4162149D"/>
    <w:rsid w:val="41982E70"/>
    <w:rsid w:val="419E6301"/>
    <w:rsid w:val="41A970CC"/>
    <w:rsid w:val="42332043"/>
    <w:rsid w:val="42431100"/>
    <w:rsid w:val="429513FF"/>
    <w:rsid w:val="42975177"/>
    <w:rsid w:val="432664FB"/>
    <w:rsid w:val="43601A0D"/>
    <w:rsid w:val="438020AF"/>
    <w:rsid w:val="4391606A"/>
    <w:rsid w:val="44000AFA"/>
    <w:rsid w:val="44044A8E"/>
    <w:rsid w:val="44056110"/>
    <w:rsid w:val="443F7874"/>
    <w:rsid w:val="447D65EE"/>
    <w:rsid w:val="449A71A0"/>
    <w:rsid w:val="44D206E8"/>
    <w:rsid w:val="44D426B2"/>
    <w:rsid w:val="44E471C9"/>
    <w:rsid w:val="45062140"/>
    <w:rsid w:val="45140D01"/>
    <w:rsid w:val="45586C0F"/>
    <w:rsid w:val="45684898"/>
    <w:rsid w:val="456D0411"/>
    <w:rsid w:val="4597723C"/>
    <w:rsid w:val="45B55914"/>
    <w:rsid w:val="45C06792"/>
    <w:rsid w:val="45DB2D29"/>
    <w:rsid w:val="45E05087"/>
    <w:rsid w:val="45E83F3B"/>
    <w:rsid w:val="45FD1795"/>
    <w:rsid w:val="468A0B4E"/>
    <w:rsid w:val="46B8390E"/>
    <w:rsid w:val="47174AD8"/>
    <w:rsid w:val="47213FAC"/>
    <w:rsid w:val="475573AE"/>
    <w:rsid w:val="47C54534"/>
    <w:rsid w:val="47D93B3C"/>
    <w:rsid w:val="48435459"/>
    <w:rsid w:val="484E27AE"/>
    <w:rsid w:val="489932CB"/>
    <w:rsid w:val="48F30C2D"/>
    <w:rsid w:val="48FD385A"/>
    <w:rsid w:val="491237A9"/>
    <w:rsid w:val="491C63D6"/>
    <w:rsid w:val="493D634C"/>
    <w:rsid w:val="49467D05"/>
    <w:rsid w:val="49B52386"/>
    <w:rsid w:val="4A0155CC"/>
    <w:rsid w:val="4A2246C7"/>
    <w:rsid w:val="4A3D2AA8"/>
    <w:rsid w:val="4A69389D"/>
    <w:rsid w:val="4B1C090F"/>
    <w:rsid w:val="4B9F32EE"/>
    <w:rsid w:val="4C235A13"/>
    <w:rsid w:val="4C5145E8"/>
    <w:rsid w:val="4C7D2D84"/>
    <w:rsid w:val="4D1B0752"/>
    <w:rsid w:val="4D1B4BF6"/>
    <w:rsid w:val="4D31011B"/>
    <w:rsid w:val="4D9329DF"/>
    <w:rsid w:val="4DC25072"/>
    <w:rsid w:val="4E165AE9"/>
    <w:rsid w:val="4E233D62"/>
    <w:rsid w:val="4E3441C2"/>
    <w:rsid w:val="4E5C1022"/>
    <w:rsid w:val="4E7520E4"/>
    <w:rsid w:val="4E872543"/>
    <w:rsid w:val="4EB15812"/>
    <w:rsid w:val="4F226273"/>
    <w:rsid w:val="4F440434"/>
    <w:rsid w:val="4F876573"/>
    <w:rsid w:val="50847114"/>
    <w:rsid w:val="508A631B"/>
    <w:rsid w:val="50970A38"/>
    <w:rsid w:val="50AF324F"/>
    <w:rsid w:val="50D61560"/>
    <w:rsid w:val="50E31813"/>
    <w:rsid w:val="5119144D"/>
    <w:rsid w:val="51600E2A"/>
    <w:rsid w:val="516A1CA8"/>
    <w:rsid w:val="51750D79"/>
    <w:rsid w:val="517F39A6"/>
    <w:rsid w:val="51917235"/>
    <w:rsid w:val="51B01DB1"/>
    <w:rsid w:val="51FD2C04"/>
    <w:rsid w:val="522E2CD6"/>
    <w:rsid w:val="52442D16"/>
    <w:rsid w:val="524D7600"/>
    <w:rsid w:val="524F15CA"/>
    <w:rsid w:val="52972F71"/>
    <w:rsid w:val="52C0120C"/>
    <w:rsid w:val="52EA30A1"/>
    <w:rsid w:val="530F0D59"/>
    <w:rsid w:val="532742F5"/>
    <w:rsid w:val="538057B3"/>
    <w:rsid w:val="53835884"/>
    <w:rsid w:val="548D0188"/>
    <w:rsid w:val="54D9517B"/>
    <w:rsid w:val="54FC355F"/>
    <w:rsid w:val="552D3719"/>
    <w:rsid w:val="559519EA"/>
    <w:rsid w:val="55983288"/>
    <w:rsid w:val="55987094"/>
    <w:rsid w:val="55A71588"/>
    <w:rsid w:val="55E53FF3"/>
    <w:rsid w:val="55F304BE"/>
    <w:rsid w:val="56C5634F"/>
    <w:rsid w:val="56CE4A87"/>
    <w:rsid w:val="56DB78D0"/>
    <w:rsid w:val="570C5CDB"/>
    <w:rsid w:val="571C1C97"/>
    <w:rsid w:val="573C40E7"/>
    <w:rsid w:val="574C257C"/>
    <w:rsid w:val="57770C7B"/>
    <w:rsid w:val="57A31A70"/>
    <w:rsid w:val="57E722A5"/>
    <w:rsid w:val="580E5A83"/>
    <w:rsid w:val="58150BC0"/>
    <w:rsid w:val="581D1822"/>
    <w:rsid w:val="587014A9"/>
    <w:rsid w:val="58727DC0"/>
    <w:rsid w:val="58AD704A"/>
    <w:rsid w:val="58ED0793"/>
    <w:rsid w:val="58EF1FCA"/>
    <w:rsid w:val="59060509"/>
    <w:rsid w:val="59097FF9"/>
    <w:rsid w:val="592D624A"/>
    <w:rsid w:val="592F10E3"/>
    <w:rsid w:val="5939492F"/>
    <w:rsid w:val="594F1EAF"/>
    <w:rsid w:val="597162CA"/>
    <w:rsid w:val="59831B59"/>
    <w:rsid w:val="59914276"/>
    <w:rsid w:val="59A106D5"/>
    <w:rsid w:val="5A1629CD"/>
    <w:rsid w:val="5A20384C"/>
    <w:rsid w:val="5A581238"/>
    <w:rsid w:val="5AAE0E58"/>
    <w:rsid w:val="5AC8016B"/>
    <w:rsid w:val="5AD563E4"/>
    <w:rsid w:val="5AE42ACB"/>
    <w:rsid w:val="5B33135D"/>
    <w:rsid w:val="5B413A7A"/>
    <w:rsid w:val="5B7025B1"/>
    <w:rsid w:val="5C7F2AAC"/>
    <w:rsid w:val="5C841E70"/>
    <w:rsid w:val="5CE16EEF"/>
    <w:rsid w:val="5CEC42F9"/>
    <w:rsid w:val="5D8D2FA6"/>
    <w:rsid w:val="5DC664B8"/>
    <w:rsid w:val="5E242181"/>
    <w:rsid w:val="5E8819C0"/>
    <w:rsid w:val="5EA16AF5"/>
    <w:rsid w:val="5EA7453C"/>
    <w:rsid w:val="5EC56770"/>
    <w:rsid w:val="5EC62C14"/>
    <w:rsid w:val="5F105C3D"/>
    <w:rsid w:val="5F855B5E"/>
    <w:rsid w:val="600420AA"/>
    <w:rsid w:val="60065292"/>
    <w:rsid w:val="60101458"/>
    <w:rsid w:val="60617CA6"/>
    <w:rsid w:val="60732927"/>
    <w:rsid w:val="60A70823"/>
    <w:rsid w:val="60B30F76"/>
    <w:rsid w:val="61137C66"/>
    <w:rsid w:val="61DA5A55"/>
    <w:rsid w:val="62037CDB"/>
    <w:rsid w:val="62614A02"/>
    <w:rsid w:val="626544F2"/>
    <w:rsid w:val="62A3501A"/>
    <w:rsid w:val="6324614D"/>
    <w:rsid w:val="63754C08"/>
    <w:rsid w:val="63FA3360"/>
    <w:rsid w:val="64591E34"/>
    <w:rsid w:val="64607667"/>
    <w:rsid w:val="64BD5616"/>
    <w:rsid w:val="64CE784E"/>
    <w:rsid w:val="64DD4813"/>
    <w:rsid w:val="64FB2EEB"/>
    <w:rsid w:val="65053D6A"/>
    <w:rsid w:val="65546448"/>
    <w:rsid w:val="655C6080"/>
    <w:rsid w:val="65764C68"/>
    <w:rsid w:val="657C0A44"/>
    <w:rsid w:val="65C77271"/>
    <w:rsid w:val="660E46E0"/>
    <w:rsid w:val="664D7777"/>
    <w:rsid w:val="66631650"/>
    <w:rsid w:val="668C4743"/>
    <w:rsid w:val="66A3383B"/>
    <w:rsid w:val="66B617C0"/>
    <w:rsid w:val="66D439F4"/>
    <w:rsid w:val="66DE0D17"/>
    <w:rsid w:val="67B850C4"/>
    <w:rsid w:val="684921C0"/>
    <w:rsid w:val="689E4B34"/>
    <w:rsid w:val="693B7D5A"/>
    <w:rsid w:val="694A2693"/>
    <w:rsid w:val="695232F6"/>
    <w:rsid w:val="69C9180A"/>
    <w:rsid w:val="69C93A26"/>
    <w:rsid w:val="6A260A0B"/>
    <w:rsid w:val="6A681023"/>
    <w:rsid w:val="6ACA583A"/>
    <w:rsid w:val="6ACD0E86"/>
    <w:rsid w:val="6AED32D6"/>
    <w:rsid w:val="6AEF572F"/>
    <w:rsid w:val="6AF1726A"/>
    <w:rsid w:val="6B301415"/>
    <w:rsid w:val="6B340F05"/>
    <w:rsid w:val="6B621F16"/>
    <w:rsid w:val="6B8C6F93"/>
    <w:rsid w:val="6BA3608B"/>
    <w:rsid w:val="6BCE135A"/>
    <w:rsid w:val="6BEE37AA"/>
    <w:rsid w:val="6BF6265F"/>
    <w:rsid w:val="6C0F54CE"/>
    <w:rsid w:val="6C3739DD"/>
    <w:rsid w:val="6C450EF0"/>
    <w:rsid w:val="6D1C5D3C"/>
    <w:rsid w:val="6D3821DE"/>
    <w:rsid w:val="6D60206C"/>
    <w:rsid w:val="6DDD5884"/>
    <w:rsid w:val="6DDD64D6"/>
    <w:rsid w:val="6DF64B98"/>
    <w:rsid w:val="6E9B6E93"/>
    <w:rsid w:val="6ED722D3"/>
    <w:rsid w:val="6EEB2223"/>
    <w:rsid w:val="6EF54E4F"/>
    <w:rsid w:val="6F0357BE"/>
    <w:rsid w:val="6F343BCA"/>
    <w:rsid w:val="6F443499"/>
    <w:rsid w:val="6F4C261C"/>
    <w:rsid w:val="6F5867BA"/>
    <w:rsid w:val="6F6F075E"/>
    <w:rsid w:val="6F82440D"/>
    <w:rsid w:val="6F8E69F3"/>
    <w:rsid w:val="6FC75452"/>
    <w:rsid w:val="6FF173C5"/>
    <w:rsid w:val="6FF2313D"/>
    <w:rsid w:val="700E441B"/>
    <w:rsid w:val="702F4391"/>
    <w:rsid w:val="705B0CE2"/>
    <w:rsid w:val="70860455"/>
    <w:rsid w:val="709366CE"/>
    <w:rsid w:val="70C920F0"/>
    <w:rsid w:val="70FB773A"/>
    <w:rsid w:val="71031AA6"/>
    <w:rsid w:val="71063344"/>
    <w:rsid w:val="712F4B14"/>
    <w:rsid w:val="717E737E"/>
    <w:rsid w:val="719E357C"/>
    <w:rsid w:val="71C4401D"/>
    <w:rsid w:val="71FB33B3"/>
    <w:rsid w:val="725D3437"/>
    <w:rsid w:val="72600832"/>
    <w:rsid w:val="726522EC"/>
    <w:rsid w:val="72B86B76"/>
    <w:rsid w:val="72CB03A1"/>
    <w:rsid w:val="72E651DB"/>
    <w:rsid w:val="72ED47BB"/>
    <w:rsid w:val="72F01BB6"/>
    <w:rsid w:val="734E4B2E"/>
    <w:rsid w:val="735F0AE9"/>
    <w:rsid w:val="73A429A0"/>
    <w:rsid w:val="74684956"/>
    <w:rsid w:val="746A3BEA"/>
    <w:rsid w:val="747F58E7"/>
    <w:rsid w:val="749D5D6D"/>
    <w:rsid w:val="74DF0134"/>
    <w:rsid w:val="75045EC5"/>
    <w:rsid w:val="750F0D46"/>
    <w:rsid w:val="751C1388"/>
    <w:rsid w:val="752124FA"/>
    <w:rsid w:val="7521699E"/>
    <w:rsid w:val="75357D54"/>
    <w:rsid w:val="7553467E"/>
    <w:rsid w:val="7557416E"/>
    <w:rsid w:val="755E374E"/>
    <w:rsid w:val="75607BDF"/>
    <w:rsid w:val="758A4D69"/>
    <w:rsid w:val="75912825"/>
    <w:rsid w:val="759E1D9D"/>
    <w:rsid w:val="75D409D6"/>
    <w:rsid w:val="75EA3234"/>
    <w:rsid w:val="75EF25F8"/>
    <w:rsid w:val="761262E7"/>
    <w:rsid w:val="76AA29C3"/>
    <w:rsid w:val="76C75323"/>
    <w:rsid w:val="76D41260"/>
    <w:rsid w:val="772938E8"/>
    <w:rsid w:val="77444BC6"/>
    <w:rsid w:val="77A17922"/>
    <w:rsid w:val="77EF50EB"/>
    <w:rsid w:val="786848E4"/>
    <w:rsid w:val="78F543CA"/>
    <w:rsid w:val="79110AD8"/>
    <w:rsid w:val="79202AC9"/>
    <w:rsid w:val="792627D5"/>
    <w:rsid w:val="79621333"/>
    <w:rsid w:val="79621558"/>
    <w:rsid w:val="79884F9C"/>
    <w:rsid w:val="79943AD6"/>
    <w:rsid w:val="7A6D61E2"/>
    <w:rsid w:val="7ADB6ED4"/>
    <w:rsid w:val="7AE55D78"/>
    <w:rsid w:val="7B5119B2"/>
    <w:rsid w:val="7B5F5B2A"/>
    <w:rsid w:val="7B735A7A"/>
    <w:rsid w:val="7B9854E0"/>
    <w:rsid w:val="7BAE6AB2"/>
    <w:rsid w:val="7BE14791"/>
    <w:rsid w:val="7BFD5343"/>
    <w:rsid w:val="7C0E38A4"/>
    <w:rsid w:val="7C266648"/>
    <w:rsid w:val="7C2E374F"/>
    <w:rsid w:val="7C464F3C"/>
    <w:rsid w:val="7C7C44BA"/>
    <w:rsid w:val="7C9E13D9"/>
    <w:rsid w:val="7CB32435"/>
    <w:rsid w:val="7D0E1806"/>
    <w:rsid w:val="7DC4436B"/>
    <w:rsid w:val="7DF6029C"/>
    <w:rsid w:val="7E2D1F10"/>
    <w:rsid w:val="7E386B07"/>
    <w:rsid w:val="7E611BB9"/>
    <w:rsid w:val="7E7C2DD5"/>
    <w:rsid w:val="7E7E6C0F"/>
    <w:rsid w:val="7E8776D8"/>
    <w:rsid w:val="7EF944E8"/>
    <w:rsid w:val="7F1135E0"/>
    <w:rsid w:val="7F33135A"/>
    <w:rsid w:val="7F3A0649"/>
    <w:rsid w:val="7F5F1051"/>
    <w:rsid w:val="7F7D2A23"/>
    <w:rsid w:val="7FAE52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qFormat="1" w:unhideWhenUsed="0" w:uiPriority="0" w:semiHidden="0"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5"/>
    <w:unhideWhenUsed/>
    <w:qFormat/>
    <w:uiPriority w:val="0"/>
    <w:pPr>
      <w:jc w:val="left"/>
    </w:pPr>
  </w:style>
  <w:style w:type="paragraph" w:styleId="3">
    <w:name w:val="Body Text Indent"/>
    <w:basedOn w:val="1"/>
    <w:link w:val="16"/>
    <w:qFormat/>
    <w:uiPriority w:val="0"/>
    <w:pPr>
      <w:ind w:firstLine="570"/>
    </w:pPr>
    <w:rPr>
      <w:rFonts w:ascii="Times New Roman" w:hAnsi="Times New Roman"/>
      <w:kern w:val="0"/>
      <w:sz w:val="28"/>
      <w:szCs w:val="24"/>
    </w:rPr>
  </w:style>
  <w:style w:type="paragraph" w:styleId="4">
    <w:name w:val="Balloon Text"/>
    <w:basedOn w:val="1"/>
    <w:link w:val="17"/>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index 7"/>
    <w:basedOn w:val="1"/>
    <w:next w:val="1"/>
    <w:qFormat/>
    <w:uiPriority w:val="0"/>
    <w:pPr>
      <w:ind w:left="1470" w:hanging="210"/>
      <w:jc w:val="left"/>
    </w:pPr>
    <w:rPr>
      <w:sz w:val="20"/>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qFormat/>
    <w:uiPriority w:val="22"/>
    <w:rPr>
      <w:b/>
      <w:bCs/>
    </w:rPr>
  </w:style>
  <w:style w:type="character" w:styleId="13">
    <w:name w:val="Hyperlink"/>
    <w:unhideWhenUsed/>
    <w:qFormat/>
    <w:uiPriority w:val="99"/>
    <w:rPr>
      <w:color w:val="2A2A2A"/>
      <w:u w:val="none"/>
    </w:rPr>
  </w:style>
  <w:style w:type="character" w:styleId="14">
    <w:name w:val="annotation reference"/>
    <w:unhideWhenUsed/>
    <w:qFormat/>
    <w:uiPriority w:val="99"/>
    <w:rPr>
      <w:sz w:val="21"/>
      <w:szCs w:val="21"/>
    </w:rPr>
  </w:style>
  <w:style w:type="character" w:customStyle="1" w:styleId="15">
    <w:name w:val="批注文字 字符"/>
    <w:link w:val="2"/>
    <w:qFormat/>
    <w:uiPriority w:val="0"/>
    <w:rPr>
      <w:kern w:val="2"/>
      <w:sz w:val="21"/>
      <w:szCs w:val="22"/>
    </w:rPr>
  </w:style>
  <w:style w:type="character" w:customStyle="1" w:styleId="16">
    <w:name w:val="正文文本缩进 字符"/>
    <w:link w:val="3"/>
    <w:qFormat/>
    <w:uiPriority w:val="0"/>
    <w:rPr>
      <w:rFonts w:ascii="Times New Roman" w:hAnsi="Times New Roman" w:eastAsia="宋体" w:cs="Times New Roman"/>
      <w:sz w:val="28"/>
      <w:szCs w:val="24"/>
    </w:rPr>
  </w:style>
  <w:style w:type="character" w:customStyle="1" w:styleId="17">
    <w:name w:val="批注框文本 字符"/>
    <w:link w:val="4"/>
    <w:semiHidden/>
    <w:qFormat/>
    <w:uiPriority w:val="99"/>
    <w:rPr>
      <w:kern w:val="2"/>
      <w:sz w:val="18"/>
      <w:szCs w:val="18"/>
    </w:rPr>
  </w:style>
  <w:style w:type="character" w:customStyle="1" w:styleId="18">
    <w:name w:val="页脚 字符1"/>
    <w:link w:val="5"/>
    <w:qFormat/>
    <w:uiPriority w:val="99"/>
    <w:rPr>
      <w:sz w:val="18"/>
      <w:szCs w:val="18"/>
    </w:rPr>
  </w:style>
  <w:style w:type="character" w:customStyle="1" w:styleId="19">
    <w:name w:val="页眉 字符"/>
    <w:link w:val="6"/>
    <w:qFormat/>
    <w:uiPriority w:val="99"/>
    <w:rPr>
      <w:sz w:val="18"/>
      <w:szCs w:val="18"/>
    </w:rPr>
  </w:style>
  <w:style w:type="character" w:customStyle="1" w:styleId="20">
    <w:name w:val="fontstyle01"/>
    <w:qFormat/>
    <w:uiPriority w:val="0"/>
    <w:rPr>
      <w:rFonts w:hint="eastAsia" w:ascii="宋体" w:hAnsi="宋体" w:eastAsia="宋体"/>
      <w:color w:val="231F20"/>
      <w:sz w:val="20"/>
      <w:szCs w:val="20"/>
    </w:rPr>
  </w:style>
  <w:style w:type="character" w:customStyle="1" w:styleId="21">
    <w:name w:val="fontstyle11"/>
    <w:qFormat/>
    <w:uiPriority w:val="0"/>
    <w:rPr>
      <w:rFonts w:hint="default" w:ascii="DY1+ZHRApv-1" w:hAnsi="DY1+ZHRApv-1"/>
      <w:color w:val="231F20"/>
      <w:sz w:val="20"/>
      <w:szCs w:val="20"/>
    </w:rPr>
  </w:style>
  <w:style w:type="paragraph" w:customStyle="1" w:styleId="22">
    <w:name w:val="列出段落1"/>
    <w:basedOn w:val="1"/>
    <w:qFormat/>
    <w:uiPriority w:val="0"/>
    <w:pPr>
      <w:ind w:firstLine="420" w:firstLineChars="200"/>
    </w:pPr>
  </w:style>
  <w:style w:type="paragraph" w:styleId="23">
    <w:name w:val="List Paragraph"/>
    <w:basedOn w:val="1"/>
    <w:qFormat/>
    <w:uiPriority w:val="34"/>
    <w:pPr>
      <w:ind w:firstLine="420" w:firstLineChars="200"/>
    </w:pPr>
  </w:style>
  <w:style w:type="character" w:customStyle="1" w:styleId="24">
    <w:name w:val="段 Char"/>
    <w:link w:val="25"/>
    <w:qFormat/>
    <w:uiPriority w:val="0"/>
    <w:rPr>
      <w:rFonts w:ascii="宋体" w:hAnsi="Times New Roman"/>
      <w:kern w:val="2"/>
      <w:sz w:val="21"/>
      <w:szCs w:val="22"/>
      <w:lang w:val="en-US" w:eastAsia="zh-CN" w:bidi="ar-SA"/>
    </w:rPr>
  </w:style>
  <w:style w:type="paragraph" w:customStyle="1" w:styleId="25">
    <w:name w:val="段"/>
    <w:link w:val="24"/>
    <w:qFormat/>
    <w:uiPriority w:val="0"/>
    <w:pPr>
      <w:autoSpaceDE w:val="0"/>
      <w:autoSpaceDN w:val="0"/>
      <w:ind w:firstLine="200" w:firstLineChars="200"/>
      <w:jc w:val="both"/>
    </w:pPr>
    <w:rPr>
      <w:rFonts w:ascii="宋体" w:hAnsi="Times New Roman" w:eastAsia="宋体" w:cs="Calibri"/>
      <w:kern w:val="2"/>
      <w:sz w:val="21"/>
      <w:szCs w:val="22"/>
      <w:lang w:val="en-US" w:eastAsia="zh-CN" w:bidi="ar-SA"/>
    </w:rPr>
  </w:style>
  <w:style w:type="character" w:customStyle="1" w:styleId="26">
    <w:name w:val="正文文本缩进 Char1"/>
    <w:basedOn w:val="11"/>
    <w:semiHidden/>
    <w:qFormat/>
    <w:uiPriority w:val="99"/>
  </w:style>
  <w:style w:type="paragraph" w:customStyle="1" w:styleId="27">
    <w:name w:val="正文表标题"/>
    <w:next w:val="25"/>
    <w:qFormat/>
    <w:uiPriority w:val="0"/>
    <w:pPr>
      <w:numPr>
        <w:ilvl w:val="0"/>
        <w:numId w:val="1"/>
      </w:numPr>
      <w:tabs>
        <w:tab w:val="left" w:pos="360"/>
      </w:tabs>
      <w:spacing w:beforeLines="50" w:afterLines="50"/>
      <w:ind w:left="3969"/>
      <w:jc w:val="center"/>
    </w:pPr>
    <w:rPr>
      <w:rFonts w:ascii="黑体" w:hAnsi="Times New Roman" w:eastAsia="黑体" w:cs="Calibri"/>
      <w:sz w:val="21"/>
      <w:lang w:val="en-US" w:eastAsia="zh-CN" w:bidi="ar-SA"/>
    </w:rPr>
  </w:style>
  <w:style w:type="paragraph" w:customStyle="1" w:styleId="28">
    <w:name w:val="正文图标题"/>
    <w:next w:val="25"/>
    <w:qFormat/>
    <w:uiPriority w:val="0"/>
    <w:pPr>
      <w:numPr>
        <w:ilvl w:val="0"/>
        <w:numId w:val="2"/>
      </w:numPr>
      <w:tabs>
        <w:tab w:val="left" w:pos="360"/>
      </w:tabs>
      <w:spacing w:beforeLines="50" w:afterLines="50"/>
      <w:jc w:val="center"/>
    </w:pPr>
    <w:rPr>
      <w:rFonts w:ascii="黑体" w:hAnsi="Times New Roman" w:eastAsia="黑体" w:cs="Calibri"/>
      <w:sz w:val="21"/>
      <w:lang w:val="en-US" w:eastAsia="zh-CN" w:bidi="ar-SA"/>
    </w:rPr>
  </w:style>
  <w:style w:type="paragraph" w:customStyle="1" w:styleId="29">
    <w:name w:val="注×：（正文）"/>
    <w:qFormat/>
    <w:uiPriority w:val="0"/>
    <w:pPr>
      <w:numPr>
        <w:ilvl w:val="0"/>
        <w:numId w:val="3"/>
      </w:numPr>
      <w:jc w:val="both"/>
    </w:pPr>
    <w:rPr>
      <w:rFonts w:ascii="宋体" w:hAnsi="Times New Roman" w:eastAsia="宋体" w:cs="Calibri"/>
      <w:sz w:val="18"/>
      <w:szCs w:val="18"/>
      <w:lang w:val="en-US" w:eastAsia="zh-CN" w:bidi="ar-SA"/>
    </w:rPr>
  </w:style>
  <w:style w:type="paragraph" w:customStyle="1" w:styleId="30">
    <w:name w:val="附录公式编号制表符"/>
    <w:basedOn w:val="1"/>
    <w:next w:val="25"/>
    <w:qFormat/>
    <w:uiPriority w:val="0"/>
    <w:pPr>
      <w:widowControl/>
      <w:tabs>
        <w:tab w:val="center" w:pos="4201"/>
        <w:tab w:val="right" w:leader="dot" w:pos="9298"/>
      </w:tabs>
      <w:autoSpaceDE w:val="0"/>
      <w:autoSpaceDN w:val="0"/>
    </w:pPr>
    <w:rPr>
      <w:rFonts w:ascii="宋体" w:hAnsi="Times New Roman"/>
      <w:kern w:val="0"/>
      <w:szCs w:val="20"/>
    </w:rPr>
  </w:style>
  <w:style w:type="paragraph" w:customStyle="1" w:styleId="31">
    <w:name w:val="Default"/>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paragraph" w:customStyle="1" w:styleId="32">
    <w:name w:val="注："/>
    <w:next w:val="25"/>
    <w:qFormat/>
    <w:uiPriority w:val="0"/>
    <w:pPr>
      <w:widowControl w:val="0"/>
      <w:numPr>
        <w:ilvl w:val="0"/>
        <w:numId w:val="4"/>
      </w:numPr>
      <w:autoSpaceDE w:val="0"/>
      <w:autoSpaceDN w:val="0"/>
      <w:ind w:left="726"/>
      <w:jc w:val="both"/>
    </w:pPr>
    <w:rPr>
      <w:rFonts w:ascii="宋体" w:hAnsi="Times New Roman" w:eastAsia="宋体" w:cs="Calibri"/>
      <w:sz w:val="18"/>
      <w:szCs w:val="18"/>
      <w:lang w:val="en-US" w:eastAsia="zh-CN" w:bidi="ar-SA"/>
    </w:rPr>
  </w:style>
  <w:style w:type="paragraph" w:customStyle="1" w:styleId="33">
    <w:name w:val="注：（正文）"/>
    <w:basedOn w:val="32"/>
    <w:next w:val="25"/>
    <w:qFormat/>
    <w:uiPriority w:val="0"/>
  </w:style>
  <w:style w:type="paragraph" w:customStyle="1" w:styleId="34">
    <w:name w:val="一级条标题"/>
    <w:next w:val="25"/>
    <w:qFormat/>
    <w:uiPriority w:val="0"/>
    <w:pPr>
      <w:numPr>
        <w:ilvl w:val="1"/>
        <w:numId w:val="5"/>
      </w:numPr>
      <w:spacing w:beforeLines="50" w:afterLines="50"/>
      <w:ind w:left="284"/>
      <w:outlineLvl w:val="2"/>
    </w:pPr>
    <w:rPr>
      <w:rFonts w:ascii="黑体" w:hAnsi="Times New Roman" w:eastAsia="黑体" w:cs="Calibri"/>
      <w:sz w:val="21"/>
      <w:szCs w:val="21"/>
      <w:lang w:val="en-US" w:eastAsia="zh-CN" w:bidi="ar-SA"/>
    </w:rPr>
  </w:style>
  <w:style w:type="paragraph" w:customStyle="1" w:styleId="35">
    <w:name w:val="章标题"/>
    <w:next w:val="25"/>
    <w:qFormat/>
    <w:uiPriority w:val="0"/>
    <w:pPr>
      <w:numPr>
        <w:ilvl w:val="0"/>
        <w:numId w:val="5"/>
      </w:numPr>
      <w:spacing w:beforeLines="100" w:afterLines="100"/>
      <w:jc w:val="both"/>
      <w:outlineLvl w:val="1"/>
    </w:pPr>
    <w:rPr>
      <w:rFonts w:ascii="黑体" w:hAnsi="Times New Roman" w:eastAsia="黑体" w:cs="Calibri"/>
      <w:sz w:val="21"/>
      <w:lang w:val="en-US" w:eastAsia="zh-CN" w:bidi="ar-SA"/>
    </w:rPr>
  </w:style>
  <w:style w:type="paragraph" w:customStyle="1" w:styleId="36">
    <w:name w:val="二级条标题"/>
    <w:basedOn w:val="34"/>
    <w:next w:val="25"/>
    <w:qFormat/>
    <w:uiPriority w:val="0"/>
    <w:pPr>
      <w:numPr>
        <w:ilvl w:val="2"/>
      </w:numPr>
      <w:spacing w:before="50" w:after="50"/>
      <w:outlineLvl w:val="3"/>
    </w:pPr>
  </w:style>
  <w:style w:type="paragraph" w:customStyle="1" w:styleId="37">
    <w:name w:val="三级条标题"/>
    <w:basedOn w:val="36"/>
    <w:next w:val="25"/>
    <w:qFormat/>
    <w:uiPriority w:val="0"/>
    <w:pPr>
      <w:numPr>
        <w:ilvl w:val="3"/>
      </w:numPr>
      <w:ind w:left="0"/>
      <w:outlineLvl w:val="4"/>
    </w:pPr>
  </w:style>
  <w:style w:type="paragraph" w:customStyle="1" w:styleId="38">
    <w:name w:val="四级条标题"/>
    <w:basedOn w:val="37"/>
    <w:next w:val="25"/>
    <w:qFormat/>
    <w:uiPriority w:val="0"/>
    <w:pPr>
      <w:numPr>
        <w:ilvl w:val="4"/>
      </w:numPr>
      <w:outlineLvl w:val="5"/>
    </w:pPr>
  </w:style>
  <w:style w:type="paragraph" w:customStyle="1" w:styleId="39">
    <w:name w:val="五级条标题"/>
    <w:basedOn w:val="38"/>
    <w:next w:val="25"/>
    <w:qFormat/>
    <w:uiPriority w:val="0"/>
    <w:pPr>
      <w:numPr>
        <w:ilvl w:val="5"/>
      </w:numPr>
      <w:outlineLvl w:val="6"/>
    </w:pPr>
  </w:style>
  <w:style w:type="character" w:customStyle="1" w:styleId="40">
    <w:name w:val="页脚 字符"/>
    <w:qFormat/>
    <w:uiPriority w:val="99"/>
  </w:style>
  <w:style w:type="paragraph" w:customStyle="1" w:styleId="41">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2">
    <w:name w:val="标准文件_一级项"/>
    <w:qFormat/>
    <w:uiPriority w:val="0"/>
    <w:pPr>
      <w:numPr>
        <w:ilvl w:val="0"/>
        <w:numId w:val="6"/>
      </w:numPr>
      <w:tabs>
        <w:tab w:val="left" w:pos="851"/>
        <w:tab w:val="clear" w:pos="710"/>
      </w:tabs>
      <w:ind w:left="851"/>
    </w:pPr>
    <w:rPr>
      <w:rFonts w:ascii="宋体" w:hAnsi="Times New Roman" w:eastAsia="宋体" w:cs="Times New Roman"/>
      <w:sz w:val="21"/>
      <w:lang w:val="en-US" w:eastAsia="zh-CN" w:bidi="ar-SA"/>
    </w:rPr>
  </w:style>
  <w:style w:type="character" w:customStyle="1" w:styleId="43">
    <w:name w:val="标准文件_段 Char"/>
    <w:basedOn w:val="11"/>
    <w:qFormat/>
    <w:uiPriority w:val="0"/>
    <w:rPr>
      <w:rFonts w:hint="eastAsia" w:ascii="宋体" w:hAnsi="宋体" w:eastAsia="宋体" w:cs="宋体"/>
      <w:sz w:val="21"/>
    </w:rPr>
  </w:style>
  <w:style w:type="paragraph" w:customStyle="1" w:styleId="44">
    <w:name w:val="标准文件_附录标识"/>
    <w:next w:val="41"/>
    <w:qFormat/>
    <w:uiPriority w:val="0"/>
    <w:pPr>
      <w:numPr>
        <w:ilvl w:val="0"/>
        <w:numId w:val="7"/>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45">
    <w:name w:val="标准文件_附录图标题"/>
    <w:next w:val="41"/>
    <w:qFormat/>
    <w:uiPriority w:val="0"/>
    <w:pPr>
      <w:numPr>
        <w:ilvl w:val="1"/>
        <w:numId w:val="8"/>
      </w:numPr>
      <w:adjustRightInd w:val="0"/>
      <w:snapToGrid w:val="0"/>
      <w:spacing w:before="50" w:beforeLines="50" w:after="50" w:afterLines="50"/>
      <w:ind w:left="0"/>
      <w:jc w:val="center"/>
    </w:pPr>
    <w:rPr>
      <w:rFonts w:ascii="黑体" w:hAnsi="Times New Roman" w:eastAsia="黑体" w:cs="Times New Roman"/>
      <w:sz w:val="21"/>
      <w:lang w:val="en-US" w:eastAsia="zh-CN" w:bidi="ar-SA"/>
    </w:rPr>
  </w:style>
  <w:style w:type="paragraph" w:customStyle="1" w:styleId="46">
    <w:name w:val="标准文件_表标题"/>
    <w:next w:val="47"/>
    <w:qFormat/>
    <w:uiPriority w:val="0"/>
    <w:pPr>
      <w:numPr>
        <w:ilvl w:val="0"/>
        <w:numId w:val="1"/>
      </w:numPr>
      <w:tabs>
        <w:tab w:val="left" w:pos="0"/>
      </w:tabs>
      <w:spacing w:before="50" w:beforeLines="50" w:after="50" w:afterLines="50"/>
      <w:jc w:val="center"/>
    </w:pPr>
    <w:rPr>
      <w:rFonts w:ascii="黑体" w:hAnsi="黑体" w:eastAsia="黑体" w:cs="Times New Roman"/>
      <w:sz w:val="21"/>
      <w:lang w:val="en-US" w:eastAsia="zh-CN" w:bidi="ar-SA"/>
    </w:rPr>
  </w:style>
  <w:style w:type="paragraph" w:customStyle="1" w:styleId="47">
    <w:name w:val="标准文件_图标题"/>
    <w:qFormat/>
    <w:uiPriority w:val="0"/>
    <w:pPr>
      <w:autoSpaceDE w:val="0"/>
      <w:autoSpaceDN w:val="0"/>
      <w:bidi w:val="0"/>
      <w:adjustRightInd w:val="0"/>
      <w:snapToGrid w:val="0"/>
      <w:spacing w:before="50" w:beforeLines="50" w:after="50" w:afterLines="50"/>
      <w:ind w:firstLine="0" w:firstLineChars="0"/>
      <w:jc w:val="center"/>
    </w:pPr>
    <w:rPr>
      <w:rFonts w:ascii="宋体" w:hAnsi="宋体" w:eastAsia="黑体" w:cs="Times New Roman"/>
      <w:sz w:val="21"/>
      <w:lang w:val="en-US" w:eastAsia="zh-CN" w:bidi="ar-SA"/>
    </w:rPr>
  </w:style>
  <w:style w:type="paragraph" w:customStyle="1" w:styleId="48">
    <w:name w:val="标准文件_表格"/>
    <w:basedOn w:val="47"/>
    <w:qFormat/>
    <w:uiPriority w:val="0"/>
    <w:pPr>
      <w:ind w:firstLine="0" w:firstLineChars="0"/>
      <w:jc w:val="center"/>
    </w:pPr>
    <w:rPr>
      <w:sz w:val="18"/>
    </w:rPr>
  </w:style>
  <w:style w:type="paragraph" w:customStyle="1" w:styleId="49">
    <w:name w:val="标准文件_正文图标题"/>
    <w:next w:val="41"/>
    <w:qFormat/>
    <w:uiPriority w:val="0"/>
    <w:pPr>
      <w:numPr>
        <w:ilvl w:val="0"/>
        <w:numId w:val="2"/>
      </w:numPr>
      <w:spacing w:before="50" w:beforeLines="50" w:after="50" w:afterLines="50"/>
      <w:jc w:val="center"/>
    </w:pPr>
    <w:rPr>
      <w:rFonts w:ascii="黑体" w:hAnsi="Times New Roman" w:eastAsia="黑体" w:cs="Times New Roman"/>
      <w:sz w:val="21"/>
      <w:lang w:val="en-US" w:eastAsia="zh-CN" w:bidi="ar-SA"/>
    </w:rPr>
  </w:style>
  <w:style w:type="paragraph" w:customStyle="1" w:styleId="50">
    <w:name w:val="一级标题"/>
    <w:basedOn w:val="51"/>
    <w:qFormat/>
    <w:uiPriority w:val="0"/>
    <w:rPr>
      <w:rFonts w:eastAsia="宋体"/>
      <w:b/>
    </w:rPr>
  </w:style>
  <w:style w:type="paragraph" w:customStyle="1" w:styleId="51">
    <w:name w:val="报告标题一级"/>
    <w:basedOn w:val="1"/>
    <w:qFormat/>
    <w:uiPriority w:val="0"/>
    <w:rPr>
      <w:rFonts w:eastAsia="黑体" w:cs="Times New Roman"/>
      <w:szCs w:val="21"/>
    </w:rPr>
  </w:style>
  <w:style w:type="paragraph" w:customStyle="1" w:styleId="52">
    <w:name w:val="二级标题"/>
    <w:basedOn w:val="1"/>
    <w:qFormat/>
    <w:uiPriority w:val="0"/>
    <w:rPr>
      <w:b/>
      <w:bCs/>
      <w:szCs w:val="24"/>
    </w:rPr>
  </w:style>
  <w:style w:type="paragraph" w:customStyle="1" w:styleId="53">
    <w:name w:val="三级标题"/>
    <w:basedOn w:val="1"/>
    <w:qFormat/>
    <w:uiPriority w:val="0"/>
    <w:rPr>
      <w:b/>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6.jpeg"/><Relationship Id="rId12" Type="http://schemas.openxmlformats.org/officeDocument/2006/relationships/chart" Target="charts/chart3.xml"/><Relationship Id="rId11" Type="http://schemas.openxmlformats.org/officeDocument/2006/relationships/image" Target="media/image5.jpeg"/><Relationship Id="rId10" Type="http://schemas.openxmlformats.org/officeDocument/2006/relationships/image" Target="media/image4.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F:\&#31185;&#30740;\&#21253;&#23553;&#29575;&#26041;&#27861;&#23398;&#39564;&#35777;\&#38463;&#38665;&#32032;&#33026;&#36136;&#20307;\dox-2026081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F:\&#31185;&#30740;\&#21253;&#23553;&#29575;&#26041;&#27861;&#23398;&#39564;&#35777;\&#38463;&#38665;&#32032;&#33026;&#36136;&#20307;\dox-20260810.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GET\Downloads\2026081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marker"/>
        <c:varyColors val="0"/>
        <c:ser>
          <c:idx val="0"/>
          <c:order val="0"/>
          <c:spPr>
            <a:ln w="28575" cap="rnd" cmpd="sng" algn="ctr">
              <a:noFill/>
              <a:prstDash val="solid"/>
              <a:round/>
            </a:ln>
            <a:effectLst/>
          </c:spPr>
          <c:marker>
            <c:symbol val="circle"/>
            <c:size val="5"/>
            <c:spPr>
              <a:solidFill>
                <a:srgbClr val="4F81BD"/>
              </a:solidFill>
              <a:ln w="9525">
                <a:solidFill>
                  <a:srgbClr val="4F81BD"/>
                </a:solidFill>
              </a:ln>
              <a:effectLst/>
            </c:spPr>
          </c:marker>
          <c:dLbls>
            <c:delete val="1"/>
          </c:dLbls>
          <c:trendline>
            <c:spPr>
              <a:ln w="19050" cap="rnd">
                <a:solidFill>
                  <a:srgbClr val="4F81BD"/>
                </a:solidFill>
                <a:prstDash val="sysDot"/>
              </a:ln>
              <a:effectLst/>
            </c:spPr>
            <c:trendlineType val="linear"/>
            <c:dispRSqr val="1"/>
            <c:dispEq val="1"/>
            <c:trendlineLbl>
              <c:layout/>
              <c:numFmt formatCode="General" sourceLinked="0"/>
              <c:spPr>
                <a:noFill/>
                <a:ln>
                  <a:noFill/>
                </a:ln>
                <a:effectLst/>
              </c:spPr>
              <c:txPr>
                <a:bodyPr rot="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trendlineLbl>
          </c:trendline>
          <c:xVal>
            <c:numRef>
              <c:f>'[dox-20260810.xlsx]Sheet1'!$B$3:$B$8</c:f>
              <c:numCache>
                <c:formatCode>General</c:formatCode>
                <c:ptCount val="6"/>
                <c:pt idx="0">
                  <c:v>40</c:v>
                </c:pt>
                <c:pt idx="1">
                  <c:v>20</c:v>
                </c:pt>
                <c:pt idx="2">
                  <c:v>10</c:v>
                </c:pt>
                <c:pt idx="3">
                  <c:v>5</c:v>
                </c:pt>
                <c:pt idx="4">
                  <c:v>2.5</c:v>
                </c:pt>
                <c:pt idx="5">
                  <c:v>1.5</c:v>
                </c:pt>
              </c:numCache>
            </c:numRef>
          </c:xVal>
          <c:yVal>
            <c:numRef>
              <c:f>'[dox-20260810.xlsx]Sheet1'!$C$3:$C$8</c:f>
              <c:numCache>
                <c:formatCode>General</c:formatCode>
                <c:ptCount val="6"/>
                <c:pt idx="0">
                  <c:v>0.7776</c:v>
                </c:pt>
                <c:pt idx="1">
                  <c:v>0.4</c:v>
                </c:pt>
                <c:pt idx="2">
                  <c:v>0.2041</c:v>
                </c:pt>
                <c:pt idx="3">
                  <c:v>0.1033</c:v>
                </c:pt>
                <c:pt idx="4">
                  <c:v>0.0521</c:v>
                </c:pt>
                <c:pt idx="5">
                  <c:v>0.0288</c:v>
                </c:pt>
              </c:numCache>
            </c:numRef>
          </c:yVal>
          <c:smooth val="0"/>
        </c:ser>
        <c:dLbls>
          <c:showLegendKey val="0"/>
          <c:showVal val="0"/>
          <c:showCatName val="0"/>
          <c:showSerName val="0"/>
          <c:showPercent val="0"/>
          <c:showBubbleSize val="0"/>
        </c:dLbls>
        <c:axId val="40535552"/>
        <c:axId val="40534016"/>
      </c:scatterChart>
      <c:valAx>
        <c:axId val="40535552"/>
        <c:scaling>
          <c:orientation val="minMax"/>
        </c:scaling>
        <c:delete val="0"/>
        <c:axPos val="b"/>
        <c:majorGridlines>
          <c:spPr>
            <a:ln w="9525" cap="flat" cmpd="sng" algn="ctr">
              <a:solidFill>
                <a:srgbClr val="E6E6E6">
                  <a:lumMod val="90200"/>
                </a:srgbClr>
              </a:solidFill>
              <a:round/>
            </a:ln>
            <a:effectLst/>
          </c:spPr>
        </c:majorGridlines>
        <c:numFmt formatCode="General" sourceLinked="1"/>
        <c:majorTickMark val="out"/>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40534016"/>
        <c:crosses val="autoZero"/>
        <c:crossBetween val="midCat"/>
      </c:valAx>
      <c:valAx>
        <c:axId val="40534016"/>
        <c:scaling>
          <c:orientation val="minMax"/>
        </c:scaling>
        <c:delete val="0"/>
        <c:axPos val="l"/>
        <c:majorGridlines>
          <c:spPr>
            <a:ln w="9525" cap="flat" cmpd="sng" algn="ctr">
              <a:solidFill>
                <a:srgbClr val="E6E6E6">
                  <a:lumMod val="90200"/>
                </a:srgbClr>
              </a:solidFill>
              <a:round/>
            </a:ln>
            <a:effectLst/>
          </c:spPr>
        </c:majorGridlines>
        <c:numFmt formatCode="General" sourceLinked="1"/>
        <c:majorTickMark val="out"/>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40535552"/>
        <c:crosses val="autoZero"/>
        <c:crossBetween val="midCat"/>
      </c:valAx>
      <c:spPr>
        <a:noFill/>
        <a:ln w="9525" cap="flat" cmpd="sng" algn="ctr">
          <a:solidFill>
            <a:srgbClr val="D9D9D9">
              <a:lumMod val="15000"/>
              <a:lumOff val="85000"/>
            </a:srgbClr>
          </a:solidFill>
          <a:round/>
        </a:ln>
        <a:effectLst/>
      </c:spPr>
    </c:plotArea>
    <c:plotVisOnly val="1"/>
    <c:dispBlanksAs val="gap"/>
    <c:showDLblsOverMax val="0"/>
    <c:extLst>
      <c:ext uri="{0b15fc19-7d7d-44ad-8c2d-2c3a37ce22c3}">
        <chartProps xmlns="https://web.wps.cn/et/2018/main" chartId="{47456e5c-c52c-457d-8528-a6b88b346d74}"/>
      </c:ext>
    </c:extLst>
  </c:chart>
  <c:spPr>
    <a:solidFill>
      <a:srgbClr val="FFFFFF"/>
    </a:solidFill>
    <a:ln w="9525" cap="flat" cmpd="sng" algn="ctr">
      <a:solidFill>
        <a:srgbClr val="D9D9D9">
          <a:lumMod val="15000"/>
          <a:lumOff val="85000"/>
        </a:srgb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848140495867769"/>
          <c:y val="0.0711673699015471"/>
          <c:w val="0.877307162534435"/>
          <c:h val="0.802081575246132"/>
        </c:manualLayout>
      </c:layout>
      <c:scatterChart>
        <c:scatterStyle val="marker"/>
        <c:varyColors val="0"/>
        <c:ser>
          <c:idx val="0"/>
          <c:order val="0"/>
          <c:spPr>
            <a:ln w="19050" cap="rnd">
              <a:noFill/>
              <a:round/>
            </a:ln>
            <a:effectLst/>
          </c:spPr>
          <c:marker>
            <c:symbol val="circle"/>
            <c:size val="5"/>
            <c:spPr>
              <a:solidFill>
                <a:srgbClr val="4F81BD"/>
              </a:solidFill>
              <a:ln w="9525">
                <a:solidFill>
                  <a:srgbClr val="4F81BD"/>
                </a:solidFill>
              </a:ln>
              <a:effectLst/>
            </c:spPr>
          </c:marker>
          <c:dLbls>
            <c:delete val="1"/>
          </c:dLbls>
          <c:trendline>
            <c:spPr>
              <a:ln w="19050" cap="rnd">
                <a:solidFill>
                  <a:srgbClr val="4F81BD"/>
                </a:solidFill>
                <a:prstDash val="sysDot"/>
              </a:ln>
              <a:effectLst/>
            </c:spPr>
            <c:trendlineType val="linear"/>
            <c:dispRSqr val="1"/>
            <c:dispEq val="1"/>
            <c:trendlineLbl>
              <c:layout>
                <c:manualLayout>
                  <c:x val="-0.0126315789473684"/>
                  <c:y val="0.301388888888889"/>
                </c:manualLayout>
              </c:layout>
              <c:spPr>
                <a:noFill/>
                <a:ln>
                  <a:noFill/>
                </a:ln>
                <a:effectLst/>
              </c:spPr>
              <c:txPr>
                <a:bodyPr rot="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trendlineLbl>
          </c:trendline>
          <c:xVal>
            <c:numRef>
              <c:f>'[dox-20260810.xlsx]Sheet1'!$B$3:$B$8</c:f>
              <c:numCache>
                <c:formatCode>General</c:formatCode>
                <c:ptCount val="6"/>
                <c:pt idx="0">
                  <c:v>40</c:v>
                </c:pt>
                <c:pt idx="1">
                  <c:v>20</c:v>
                </c:pt>
                <c:pt idx="2">
                  <c:v>10</c:v>
                </c:pt>
                <c:pt idx="3">
                  <c:v>5</c:v>
                </c:pt>
                <c:pt idx="4">
                  <c:v>2.5</c:v>
                </c:pt>
                <c:pt idx="5">
                  <c:v>1.5</c:v>
                </c:pt>
              </c:numCache>
            </c:numRef>
          </c:xVal>
          <c:yVal>
            <c:numRef>
              <c:f>'[dox-20260810.xlsx]Sheet1'!$D$3:$D$8</c:f>
              <c:numCache>
                <c:formatCode>General</c:formatCode>
                <c:ptCount val="6"/>
                <c:pt idx="0">
                  <c:v>0.7475</c:v>
                </c:pt>
                <c:pt idx="1">
                  <c:v>0.382</c:v>
                </c:pt>
                <c:pt idx="2">
                  <c:v>0.194</c:v>
                </c:pt>
                <c:pt idx="3">
                  <c:v>0.0978</c:v>
                </c:pt>
                <c:pt idx="4">
                  <c:v>0.058</c:v>
                </c:pt>
                <c:pt idx="5">
                  <c:v>0.0418</c:v>
                </c:pt>
              </c:numCache>
            </c:numRef>
          </c:yVal>
          <c:smooth val="0"/>
        </c:ser>
        <c:dLbls>
          <c:showLegendKey val="0"/>
          <c:showVal val="0"/>
          <c:showCatName val="0"/>
          <c:showSerName val="0"/>
          <c:showPercent val="0"/>
          <c:showBubbleSize val="0"/>
        </c:dLbls>
        <c:axId val="202709242"/>
        <c:axId val="239078557"/>
      </c:scatterChart>
      <c:valAx>
        <c:axId val="202709242"/>
        <c:scaling>
          <c:orientation val="minMax"/>
        </c:scaling>
        <c:delete val="0"/>
        <c:axPos val="b"/>
        <c:majorGridlines>
          <c:spPr>
            <a:ln w="9525" cap="flat" cmpd="sng" algn="ctr">
              <a:solidFill>
                <a:srgbClr val="E6E6E6">
                  <a:lumMod val="90200"/>
                </a:srgbClr>
              </a:solidFill>
              <a:round/>
            </a:ln>
            <a:effectLst/>
          </c:spPr>
        </c:majorGridlines>
        <c:numFmt formatCode="General" sourceLinked="1"/>
        <c:majorTickMark val="none"/>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239078557"/>
        <c:crosses val="autoZero"/>
        <c:crossBetween val="midCat"/>
      </c:valAx>
      <c:valAx>
        <c:axId val="239078557"/>
        <c:scaling>
          <c:orientation val="minMax"/>
        </c:scaling>
        <c:delete val="0"/>
        <c:axPos val="l"/>
        <c:majorGridlines>
          <c:spPr>
            <a:ln w="9525" cap="flat" cmpd="sng" algn="ctr">
              <a:solidFill>
                <a:srgbClr val="E6E6E6">
                  <a:lumMod val="90200"/>
                </a:srgbClr>
              </a:solidFill>
              <a:round/>
            </a:ln>
            <a:effectLst/>
          </c:spPr>
        </c:majorGridlines>
        <c:numFmt formatCode="General" sourceLinked="1"/>
        <c:majorTickMark val="none"/>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202709242"/>
        <c:crosses val="autoZero"/>
        <c:crossBetween val="midCat"/>
      </c:valAx>
      <c:spPr>
        <a:noFill/>
        <a:ln w="9525" cap="flat" cmpd="sng" algn="ctr">
          <a:solidFill>
            <a:srgbClr val="D9D9D9">
              <a:lumMod val="15000"/>
              <a:lumOff val="85000"/>
            </a:srgbClr>
          </a:solidFill>
          <a:round/>
        </a:ln>
        <a:effectLst/>
      </c:spPr>
    </c:plotArea>
    <c:plotVisOnly val="1"/>
    <c:dispBlanksAs val="gap"/>
    <c:showDLblsOverMax val="0"/>
    <c:extLst>
      <c:ext uri="{0b15fc19-7d7d-44ad-8c2d-2c3a37ce22c3}">
        <chartProps xmlns="https://web.wps.cn/et/2018/main" chartId="{c4e5c153-3147-43f9-a450-831262801a5f}"/>
      </c:ext>
    </c:extLst>
  </c:chart>
  <c:spPr>
    <a:solidFill>
      <a:srgbClr val="FFFFFF"/>
    </a:solidFill>
    <a:ln w="9525" cap="flat" cmpd="sng" algn="ctr">
      <a:solidFill>
        <a:srgbClr val="D9D9D9">
          <a:lumMod val="15000"/>
          <a:lumOff val="85000"/>
        </a:srgb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rgbClr val="404040">
                  <a:lumMod val="75000"/>
                  <a:lumOff val="25000"/>
                </a:srgbClr>
              </a:solidFill>
              <a:latin typeface="+mn-lt"/>
              <a:ea typeface="+mn-ea"/>
              <a:cs typeface="+mn-cs"/>
            </a:defRPr>
          </a:pPr>
        </a:p>
      </c:txPr>
    </c:title>
    <c:autoTitleDeleted val="0"/>
    <c:plotArea>
      <c:layout/>
      <c:scatterChart>
        <c:scatterStyle val="marker"/>
        <c:varyColors val="0"/>
        <c:ser>
          <c:idx val="0"/>
          <c:order val="0"/>
          <c:spPr>
            <a:ln w="19050" cap="rnd">
              <a:noFill/>
              <a:round/>
            </a:ln>
            <a:effectLst/>
          </c:spPr>
          <c:marker>
            <c:symbol val="circle"/>
            <c:size val="5"/>
            <c:spPr>
              <a:solidFill>
                <a:srgbClr val="4F81BD"/>
              </a:solidFill>
              <a:ln w="9525">
                <a:solidFill>
                  <a:srgbClr val="4F81BD"/>
                </a:solidFill>
              </a:ln>
              <a:effectLst/>
            </c:spPr>
          </c:marker>
          <c:dLbls>
            <c:delete val="1"/>
          </c:dLbls>
          <c:trendline>
            <c:spPr>
              <a:ln w="19050" cap="rnd">
                <a:solidFill>
                  <a:srgbClr val="4F81BD"/>
                </a:solidFill>
                <a:prstDash val="sysDot"/>
              </a:ln>
              <a:effectLst/>
            </c:spPr>
            <c:trendlineType val="linear"/>
            <c:dispRSqr val="1"/>
            <c:dispEq val="1"/>
            <c:trendlineLbl>
              <c:layout>
                <c:manualLayout>
                  <c:x val="-0.222455955824349"/>
                  <c:y val="0.00555555555555557"/>
                </c:manualLayout>
              </c:layout>
              <c:numFmt formatCode="#,##0.0000_);[Red]\(#,##0.0000\)" sourceLinked="0"/>
              <c:spPr>
                <a:noFill/>
                <a:ln>
                  <a:noFill/>
                </a:ln>
                <a:effectLst/>
              </c:spPr>
              <c:txPr>
                <a:bodyPr rot="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trendlineLbl>
          </c:trendline>
          <c:xVal>
            <c:numRef>
              <c:f>[20260813.xlsx]Sheet1!$B$16:$B$21</c:f>
              <c:numCache>
                <c:formatCode>General</c:formatCode>
                <c:ptCount val="6"/>
                <c:pt idx="0">
                  <c:v>4</c:v>
                </c:pt>
                <c:pt idx="1">
                  <c:v>8</c:v>
                </c:pt>
                <c:pt idx="2">
                  <c:v>12</c:v>
                </c:pt>
                <c:pt idx="3">
                  <c:v>16</c:v>
                </c:pt>
                <c:pt idx="4">
                  <c:v>20</c:v>
                </c:pt>
                <c:pt idx="5">
                  <c:v>24</c:v>
                </c:pt>
              </c:numCache>
            </c:numRef>
          </c:xVal>
          <c:yVal>
            <c:numRef>
              <c:f>[20260813.xlsx]Sheet1!$C$16:$C$21</c:f>
              <c:numCache>
                <c:formatCode>General</c:formatCode>
                <c:ptCount val="6"/>
                <c:pt idx="0">
                  <c:v>0.156</c:v>
                </c:pt>
                <c:pt idx="1">
                  <c:v>0.295</c:v>
                </c:pt>
                <c:pt idx="2">
                  <c:v>0.428</c:v>
                </c:pt>
                <c:pt idx="3">
                  <c:v>0.556</c:v>
                </c:pt>
                <c:pt idx="4">
                  <c:v>0.675</c:v>
                </c:pt>
                <c:pt idx="5">
                  <c:v>0.795</c:v>
                </c:pt>
              </c:numCache>
            </c:numRef>
          </c:yVal>
          <c:smooth val="0"/>
        </c:ser>
        <c:dLbls>
          <c:showLegendKey val="0"/>
          <c:showVal val="0"/>
          <c:showCatName val="0"/>
          <c:showSerName val="0"/>
          <c:showPercent val="0"/>
          <c:showBubbleSize val="0"/>
        </c:dLbls>
        <c:axId val="690196395"/>
        <c:axId val="800608455"/>
      </c:scatterChart>
      <c:valAx>
        <c:axId val="690196395"/>
        <c:scaling>
          <c:orientation val="minMax"/>
        </c:scaling>
        <c:delete val="0"/>
        <c:axPos val="b"/>
        <c:majorGridlines>
          <c:spPr>
            <a:ln w="9525" cap="flat" cmpd="sng" algn="ctr">
              <a:solidFill>
                <a:srgbClr val="E6E6E6">
                  <a:lumMod val="90200"/>
                </a:srgbClr>
              </a:solidFill>
              <a:round/>
            </a:ln>
            <a:effectLst/>
          </c:spPr>
        </c:majorGridlines>
        <c:numFmt formatCode="General" sourceLinked="1"/>
        <c:majorTickMark val="none"/>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800608455"/>
        <c:crosses val="autoZero"/>
        <c:crossBetween val="midCat"/>
      </c:valAx>
      <c:valAx>
        <c:axId val="800608455"/>
        <c:scaling>
          <c:orientation val="minMax"/>
        </c:scaling>
        <c:delete val="0"/>
        <c:axPos val="l"/>
        <c:majorGridlines>
          <c:spPr>
            <a:ln w="9525" cap="flat" cmpd="sng" algn="ctr">
              <a:solidFill>
                <a:srgbClr val="E6E6E6">
                  <a:lumMod val="90200"/>
                </a:srgbClr>
              </a:solidFill>
              <a:round/>
            </a:ln>
            <a:effectLst/>
          </c:spPr>
        </c:majorGridlines>
        <c:numFmt formatCode="General" sourceLinked="1"/>
        <c:majorTickMark val="none"/>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690196395"/>
        <c:crosses val="autoZero"/>
        <c:crossBetween val="midCat"/>
      </c:valAx>
      <c:spPr>
        <a:noFill/>
        <a:ln w="9525" cap="flat" cmpd="sng" algn="ctr">
          <a:solidFill>
            <a:srgbClr val="D9D9D9">
              <a:lumMod val="15000"/>
              <a:lumOff val="85000"/>
            </a:srgbClr>
          </a:solidFill>
          <a:round/>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extLst>
      <c:ext uri="{0b15fc19-7d7d-44ad-8c2d-2c3a37ce22c3}">
        <chartProps xmlns="https://web.wps.cn/et/2018/main" chartId="{e8b37574-638a-4541-86db-fdd7e586254a}"/>
      </c:ext>
    </c:extLst>
  </c:chart>
  <c:spPr>
    <a:solidFill>
      <a:srgbClr val="FFFFFF"/>
    </a:solidFill>
    <a:ln w="9525" cap="flat" cmpd="sng" algn="ctr">
      <a:solidFill>
        <a:srgbClr val="D9D9D9">
          <a:lumMod val="15000"/>
          <a:lumOff val="85000"/>
        </a:srgb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acrossLinear" id="2">
  <a:srgbClr val="4F81BD"/>
  <a:srgbClr val="C0504D"/>
  <a:srgbClr val="9BBB59"/>
  <a:srgbClr val="8064A2"/>
  <a:srgbClr val="4BACC6"/>
  <a:srgbClr val="F79646"/>
</cs:colorStyle>
</file>

<file path=word/charts/colors2.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172">
  <cs:axisTitle>
    <cs:lnRef idx="0"/>
    <cs:fillRef idx="0"/>
    <cs:effectRef idx="0"/>
    <cs:fontRef idx="minor">
      <a:srgbClr val="595959">
        <a:lumMod val="65000"/>
        <a:lumOff val="35000"/>
      </a:srgbClr>
    </cs:fontRef>
    <cs:defRPr sz="1000" kern="1200"/>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a:srgbClr val="404040">
        <a:lumMod val="75000"/>
        <a:lumOff val="25000"/>
      </a:srgbClr>
    </cs:fontRef>
    <cs:defRPr sz="1000" kern="1200"/>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rgbClr val="000000"/>
    </cs:fontRef>
    <cs:spPr>
      <a:ln w="19050" cap="rnd">
        <a:noFill/>
        <a:round/>
      </a:ln>
      <a:effectLst/>
    </cs:spPr>
  </cs:dataPoint>
  <cs:dataPoint3D>
    <cs:lnRef idx="0"/>
    <cs:fillRef idx="1">
      <cs:styleClr val="auto"/>
    </cs:fillRef>
    <cs:effectRef idx="0"/>
    <cs:fontRef idx="minor">
      <a:srgbClr val="000000"/>
    </cs:fontRef>
  </cs:dataPoint3D>
  <cs:dataPointLine>
    <cs:lnRef idx="0">
      <cs:styleClr val="auto"/>
    </cs:lnRef>
    <cs:fillRef idx="1"/>
    <cs:effectRef idx="0"/>
    <cs:fontRef idx="minor">
      <a:srgbClr val="000000"/>
    </cs:fontRef>
    <cs:spPr>
      <a:ln w="19050" cap="rnd">
        <a:solidFill>
          <a:srgbClr val="FFFFFF"/>
        </a:solidFill>
        <a:round/>
      </a:ln>
    </cs:spPr>
  </cs:dataPointLine>
  <cs:dataPointMarker>
    <cs:lnRef idx="0">
      <cs:styleClr val="auto"/>
    </cs:lnRef>
    <cs:fillRef idx="1">
      <cs:styleClr val="auto"/>
    </cs:fillRef>
    <cs:effectRef idx="0"/>
    <cs:fontRef idx="minor">
      <a:srgbClr val="000000"/>
    </cs:fontRef>
    <cs:spPr>
      <a:ln w="9525">
        <a:solidFill>
          <a:srgbClr val="FFFFFF"/>
        </a:solidFill>
      </a:ln>
      <a:effectLst/>
    </cs:spPr>
  </cs:dataPointMarker>
  <cs:dataPointMarkerLayout symbol="circle" size="5"/>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404040">
          <a:lumMod val="75000"/>
          <a:lumOff val="25000"/>
        </a:srgbClr>
      </a:solidFill>
      <a:ln w="9525" cap="flat" cmpd="sng" algn="ctr">
        <a:solidFill>
          <a:srgbClr val="595959">
            <a:lumMod val="65000"/>
            <a:lumOff val="35000"/>
          </a:srgbClr>
        </a:solidFill>
        <a:round/>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E6E6E6">
            <a:lumMod val="902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808080">
            <a:lumMod val="50000"/>
            <a:lumOff val="50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spPr>
      <a:ln w="9525" cap="flat" cmpd="sng" algn="ctr">
        <a:solidFill>
          <a:srgbClr val="D9D9D9">
            <a:lumMod val="15000"/>
            <a:lumOff val="85000"/>
          </a:srgbClr>
        </a:solidFill>
        <a:round/>
      </a:ln>
    </cs:spPr>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404040">
        <a:lumMod val="75000"/>
        <a:lumOff val="25000"/>
      </a:srgbClr>
    </cs:fontRef>
    <cs:defRPr sz="1400" b="1" kern="1200" baseline="0"/>
  </cs:title>
  <cs:trendline>
    <cs:lnRef idx="0">
      <cs:styleClr val="auto"/>
    </cs:lnRef>
    <cs:fillRef idx="0"/>
    <cs:effectRef idx="0"/>
    <cs:fontRef idx="minor">
      <a:srgbClr val="000000"/>
    </cs:fontRef>
    <cs:spPr>
      <a:ln w="19050" cap="rnd">
        <a:solidFill>
          <a:srgbClr val="FFFFFF"/>
        </a:solidFill>
        <a:prstDash val="sysDot"/>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cap="flat" cmpd="sng" algn="ctr">
        <a:solidFill>
          <a:srgbClr val="595959">
            <a:lumMod val="65000"/>
            <a:lumOff val="35000"/>
          </a:srgbClr>
        </a:solidFill>
        <a:round/>
      </a:ln>
    </cs:spPr>
  </cs:upBar>
  <cs:value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valueAxis>
  <cs:wall>
    <cs:lnRef idx="0"/>
    <cs:fillRef idx="0"/>
    <cs:effectRef idx="0"/>
    <cs:fontRef idx="minor">
      <a:srgbClr val="000000"/>
    </cs:fontRef>
    <cs:spPr>
      <a:noFill/>
      <a:ln>
        <a:noFill/>
      </a:ln>
    </cs:spPr>
  </cs:wall>
</cs:chartStyle>
</file>

<file path=word/charts/style2.xml><?xml version="1.0" encoding="utf-8"?>
<cs:chartStyle xmlns:cs="http://schemas.microsoft.com/office/drawing/2012/chartStyle" xmlns:a="http://schemas.openxmlformats.org/drawingml/2006/main" id="10172">
  <cs:axisTitle>
    <cs:lnRef idx="0"/>
    <cs:fillRef idx="0"/>
    <cs:effectRef idx="0"/>
    <cs:fontRef idx="minor">
      <a:srgbClr val="595959">
        <a:lumMod val="65000"/>
        <a:lumOff val="35000"/>
      </a:srgbClr>
    </cs:fontRef>
    <cs:defRPr sz="1000" kern="1200"/>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a:srgbClr val="404040">
        <a:lumMod val="75000"/>
        <a:lumOff val="25000"/>
      </a:srgbClr>
    </cs:fontRef>
    <cs:defRPr sz="1000" kern="1200"/>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rgbClr val="000000"/>
    </cs:fontRef>
    <cs:spPr>
      <a:ln w="19050" cap="rnd">
        <a:noFill/>
        <a:round/>
      </a:ln>
      <a:effectLst/>
    </cs:spPr>
  </cs:dataPoint>
  <cs:dataPoint3D>
    <cs:lnRef idx="0"/>
    <cs:fillRef idx="1">
      <cs:styleClr val="auto"/>
    </cs:fillRef>
    <cs:effectRef idx="0"/>
    <cs:fontRef idx="minor">
      <a:srgbClr val="000000"/>
    </cs:fontRef>
  </cs:dataPoint3D>
  <cs:dataPointLine>
    <cs:lnRef idx="0">
      <cs:styleClr val="auto"/>
    </cs:lnRef>
    <cs:fillRef idx="1"/>
    <cs:effectRef idx="0"/>
    <cs:fontRef idx="minor">
      <a:srgbClr val="000000"/>
    </cs:fontRef>
    <cs:spPr>
      <a:ln w="19050" cap="rnd">
        <a:solidFill>
          <a:srgbClr val="FFFFFF"/>
        </a:solidFill>
        <a:round/>
      </a:ln>
    </cs:spPr>
  </cs:dataPointLine>
  <cs:dataPointMarker>
    <cs:lnRef idx="0">
      <cs:styleClr val="auto"/>
    </cs:lnRef>
    <cs:fillRef idx="1">
      <cs:styleClr val="auto"/>
    </cs:fillRef>
    <cs:effectRef idx="0"/>
    <cs:fontRef idx="minor">
      <a:srgbClr val="000000"/>
    </cs:fontRef>
    <cs:spPr>
      <a:ln w="9525">
        <a:solidFill>
          <a:srgbClr val="FFFFFF"/>
        </a:solidFill>
      </a:ln>
      <a:effectLst/>
    </cs:spPr>
  </cs:dataPointMarker>
  <cs:dataPointMarkerLayout symbol="circle" size="5"/>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404040">
          <a:lumMod val="75000"/>
          <a:lumOff val="25000"/>
        </a:srgbClr>
      </a:solidFill>
      <a:ln w="9525" cap="flat" cmpd="sng" algn="ctr">
        <a:solidFill>
          <a:srgbClr val="595959">
            <a:lumMod val="65000"/>
            <a:lumOff val="35000"/>
          </a:srgbClr>
        </a:solidFill>
        <a:round/>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E6E6E6">
            <a:lumMod val="902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808080">
            <a:lumMod val="50000"/>
            <a:lumOff val="50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spPr>
      <a:ln w="9525" cap="flat" cmpd="sng" algn="ctr">
        <a:solidFill>
          <a:srgbClr val="D9D9D9">
            <a:lumMod val="15000"/>
            <a:lumOff val="85000"/>
          </a:srgbClr>
        </a:solidFill>
        <a:round/>
      </a:ln>
    </cs:spPr>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404040">
        <a:lumMod val="75000"/>
        <a:lumOff val="25000"/>
      </a:srgbClr>
    </cs:fontRef>
    <cs:defRPr sz="1400" b="1" kern="1200" baseline="0"/>
  </cs:title>
  <cs:trendline>
    <cs:lnRef idx="0">
      <cs:styleClr val="auto"/>
    </cs:lnRef>
    <cs:fillRef idx="0"/>
    <cs:effectRef idx="0"/>
    <cs:fontRef idx="minor">
      <a:srgbClr val="000000"/>
    </cs:fontRef>
    <cs:spPr>
      <a:ln w="19050" cap="rnd">
        <a:solidFill>
          <a:srgbClr val="FFFFFF"/>
        </a:solidFill>
        <a:prstDash val="sysDot"/>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cap="flat" cmpd="sng" algn="ctr">
        <a:solidFill>
          <a:srgbClr val="595959">
            <a:lumMod val="65000"/>
            <a:lumOff val="35000"/>
          </a:srgbClr>
        </a:solidFill>
        <a:round/>
      </a:ln>
    </cs:spPr>
  </cs:upBar>
  <cs:value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valueAxis>
  <cs:wall>
    <cs:lnRef idx="0"/>
    <cs:fillRef idx="0"/>
    <cs:effectRef idx="0"/>
    <cs:fontRef idx="minor">
      <a:srgbClr val="000000"/>
    </cs:fontRef>
    <cs:spPr>
      <a:noFill/>
      <a:ln>
        <a:noFill/>
      </a:ln>
    </cs:spPr>
  </cs:wall>
</cs:chartStyle>
</file>

<file path=word/charts/style3.xml><?xml version="1.0" encoding="utf-8"?>
<cs:chartStyle xmlns:cs="http://schemas.microsoft.com/office/drawing/2012/chartStyle" xmlns:a="http://schemas.openxmlformats.org/drawingml/2006/main" id="10172">
  <cs:axisTitle>
    <cs:lnRef idx="0"/>
    <cs:fillRef idx="0"/>
    <cs:effectRef idx="0"/>
    <cs:fontRef idx="minor">
      <a:srgbClr val="595959">
        <a:lumMod val="65000"/>
        <a:lumOff val="35000"/>
      </a:srgbClr>
    </cs:fontRef>
    <cs:defRPr sz="1000" kern="1200"/>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a:srgbClr val="404040">
        <a:lumMod val="75000"/>
        <a:lumOff val="25000"/>
      </a:srgbClr>
    </cs:fontRef>
    <cs:defRPr sz="1000" kern="1200"/>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rgbClr val="000000"/>
    </cs:fontRef>
    <cs:spPr>
      <a:ln w="19050" cap="rnd">
        <a:noFill/>
        <a:round/>
      </a:ln>
      <a:effectLst/>
    </cs:spPr>
  </cs:dataPoint>
  <cs:dataPoint3D>
    <cs:lnRef idx="0"/>
    <cs:fillRef idx="1">
      <cs:styleClr val="auto"/>
    </cs:fillRef>
    <cs:effectRef idx="0"/>
    <cs:fontRef idx="minor">
      <a:srgbClr val="000000"/>
    </cs:fontRef>
  </cs:dataPoint3D>
  <cs:dataPointLine>
    <cs:lnRef idx="0">
      <cs:styleClr val="auto"/>
    </cs:lnRef>
    <cs:fillRef idx="1"/>
    <cs:effectRef idx="0"/>
    <cs:fontRef idx="minor">
      <a:srgbClr val="000000"/>
    </cs:fontRef>
    <cs:spPr>
      <a:ln w="19050" cap="rnd">
        <a:solidFill>
          <a:srgbClr val="FFFFFF"/>
        </a:solidFill>
        <a:round/>
      </a:ln>
    </cs:spPr>
  </cs:dataPointLine>
  <cs:dataPointMarker>
    <cs:lnRef idx="0">
      <cs:styleClr val="auto"/>
    </cs:lnRef>
    <cs:fillRef idx="1">
      <cs:styleClr val="auto"/>
    </cs:fillRef>
    <cs:effectRef idx="0"/>
    <cs:fontRef idx="minor">
      <a:srgbClr val="000000"/>
    </cs:fontRef>
    <cs:spPr>
      <a:ln w="9525">
        <a:solidFill>
          <a:srgbClr val="FFFFFF"/>
        </a:solidFill>
      </a:ln>
      <a:effectLst/>
    </cs:spPr>
  </cs:dataPointMarker>
  <cs:dataPointMarkerLayout symbol="circle" size="5"/>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404040">
          <a:lumMod val="75000"/>
          <a:lumOff val="25000"/>
        </a:srgbClr>
      </a:solidFill>
      <a:ln w="9525" cap="flat" cmpd="sng" algn="ctr">
        <a:solidFill>
          <a:srgbClr val="595959">
            <a:lumMod val="65000"/>
            <a:lumOff val="35000"/>
          </a:srgbClr>
        </a:solidFill>
        <a:round/>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E6E6E6">
            <a:lumMod val="902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808080">
            <a:lumMod val="50000"/>
            <a:lumOff val="50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spPr>
      <a:ln w="9525" cap="flat" cmpd="sng" algn="ctr">
        <a:solidFill>
          <a:srgbClr val="D9D9D9">
            <a:lumMod val="15000"/>
            <a:lumOff val="85000"/>
          </a:srgbClr>
        </a:solidFill>
        <a:round/>
      </a:ln>
    </cs:spPr>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404040">
        <a:lumMod val="75000"/>
        <a:lumOff val="25000"/>
      </a:srgbClr>
    </cs:fontRef>
    <cs:defRPr sz="1400" b="1" kern="1200" baseline="0"/>
  </cs:title>
  <cs:trendline>
    <cs:lnRef idx="0">
      <cs:styleClr val="auto"/>
    </cs:lnRef>
    <cs:fillRef idx="0"/>
    <cs:effectRef idx="0"/>
    <cs:fontRef idx="minor">
      <a:srgbClr val="000000"/>
    </cs:fontRef>
    <cs:spPr>
      <a:ln w="19050" cap="rnd">
        <a:solidFill>
          <a:srgbClr val="FFFFFF"/>
        </a:solidFill>
        <a:prstDash val="sysDot"/>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cap="flat" cmpd="sng" algn="ctr">
        <a:solidFill>
          <a:srgbClr val="595959">
            <a:lumMod val="65000"/>
            <a:lumOff val="35000"/>
          </a:srgbClr>
        </a:solidFill>
        <a:round/>
      </a:ln>
    </cs:spPr>
  </cs:upBar>
  <cs:value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valueAxis>
  <cs:wall>
    <cs:lnRef idx="0"/>
    <cs:fillRef idx="0"/>
    <cs:effectRef idx="0"/>
    <cs:fontRef idx="minor">
      <a:srgbClr val="000000"/>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25</Pages>
  <Words>3404</Words>
  <Characters>4147</Characters>
  <Lines>116</Lines>
  <Paragraphs>32</Paragraphs>
  <TotalTime>7</TotalTime>
  <ScaleCrop>false</ScaleCrop>
  <LinksUpToDate>false</LinksUpToDate>
  <CharactersWithSpaces>4250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2021-04-20T03:07:00Z</dcterms:created>
  <dc:creator>张瑞芳</dc:creator>
  <cp:lastModifiedBy>Julian</cp:lastModifiedBy>
  <dcterms:modified xsi:type="dcterms:W3CDTF">2026-10-16T02:55:43Z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137D8D1280C243F381B86815BFD5DEC1_13</vt:lpwstr>
  </property>
  <property fmtid="{D5CDD505-2E9C-101B-9397-08002B2CF9AE}" pid="4" name="KSOTemplateDocerSaveRecord">
    <vt:lpwstr>eyJoZGlkIjoiOGI4NjI5OTBmMDM1ODFlMDkzNDFlZTFiMWNhZWU5ZTMiLCJ1c2VySWQiOiIzMDk3NTI4ODEifQ==</vt:lpwstr>
  </property>
</Properties>
</file>