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4F985D">
      <w:pPr>
        <w:pStyle w:val="134"/>
        <w:framePr w:wrap="around" w:hAnchor="page" w:x="1351" w:y="14071"/>
      </w:pPr>
      <w:bookmarkStart w:id="0" w:name="FY"/>
      <w:r>
        <w:rPr>
          <w:sz w:val="30"/>
          <w:szCs w:val="30"/>
        </w:rPr>
        <w:fldChar w:fldCharType="begin">
          <w:ffData>
            <w:name w:val="FY"/>
            <w:enabled/>
            <w:calcOnExit w:val="0"/>
            <w:textInput>
              <w:default w:val="XXXX"/>
              <w:maxLength w:val="4"/>
            </w:textInput>
          </w:ffData>
        </w:fldChar>
      </w:r>
      <w:r>
        <w:rPr>
          <w:sz w:val="30"/>
          <w:szCs w:val="30"/>
        </w:rPr>
        <w:instrText xml:space="preserve"> FORMTEXT </w:instrText>
      </w:r>
      <w:r>
        <w:rPr>
          <w:sz w:val="30"/>
          <w:szCs w:val="30"/>
        </w:rPr>
        <w:fldChar w:fldCharType="separate"/>
      </w:r>
      <w:r>
        <w:rPr>
          <w:sz w:val="30"/>
          <w:szCs w:val="30"/>
        </w:rPr>
        <w:t>XXXX</w:t>
      </w:r>
      <w:r>
        <w:rPr>
          <w:sz w:val="30"/>
          <w:szCs w:val="30"/>
        </w:rPr>
        <w:fldChar w:fldCharType="end"/>
      </w:r>
      <w:bookmarkEnd w:id="0"/>
      <w:r>
        <w:rPr>
          <w:sz w:val="30"/>
          <w:szCs w:val="30"/>
        </w:rPr>
        <w:t xml:space="preserve"> - </w:t>
      </w:r>
      <w:r>
        <w:rPr>
          <w:sz w:val="30"/>
          <w:szCs w:val="30"/>
        </w:rPr>
        <w:fldChar w:fldCharType="begin">
          <w:ffData>
            <w:name w:val="FM"/>
            <w:enabled/>
            <w:calcOnExit w:val="0"/>
            <w:textInput>
              <w:default w:val="XX"/>
              <w:maxLength w:val="2"/>
            </w:textInput>
          </w:ffData>
        </w:fldChar>
      </w:r>
      <w:r>
        <w:rPr>
          <w:sz w:val="30"/>
          <w:szCs w:val="30"/>
        </w:rPr>
        <w:instrText xml:space="preserve"> FORMTEXT </w:instrText>
      </w:r>
      <w:r>
        <w:rPr>
          <w:sz w:val="30"/>
          <w:szCs w:val="30"/>
        </w:rPr>
        <w:fldChar w:fldCharType="separate"/>
      </w:r>
      <w:r>
        <w:rPr>
          <w:sz w:val="30"/>
          <w:szCs w:val="30"/>
        </w:rPr>
        <w:t>XX</w:t>
      </w:r>
      <w:r>
        <w:rPr>
          <w:sz w:val="30"/>
          <w:szCs w:val="30"/>
        </w:rPr>
        <w:fldChar w:fldCharType="end"/>
      </w:r>
      <w:r>
        <w:rPr>
          <w:sz w:val="30"/>
          <w:szCs w:val="30"/>
        </w:rPr>
        <w:t xml:space="preserve"> - </w:t>
      </w:r>
      <w:bookmarkStart w:id="1" w:name="FD"/>
      <w:r>
        <w:rPr>
          <w:sz w:val="30"/>
          <w:szCs w:val="30"/>
        </w:rPr>
        <w:fldChar w:fldCharType="begin">
          <w:ffData>
            <w:name w:val="FD"/>
            <w:enabled/>
            <w:calcOnExit w:val="0"/>
            <w:textInput>
              <w:default w:val="XX"/>
              <w:maxLength w:val="2"/>
            </w:textInput>
          </w:ffData>
        </w:fldChar>
      </w:r>
      <w:r>
        <w:rPr>
          <w:sz w:val="30"/>
          <w:szCs w:val="30"/>
        </w:rPr>
        <w:instrText xml:space="preserve"> FORMTEXT </w:instrText>
      </w:r>
      <w:r>
        <w:rPr>
          <w:sz w:val="30"/>
          <w:szCs w:val="30"/>
        </w:rPr>
        <w:fldChar w:fldCharType="separate"/>
      </w:r>
      <w:r>
        <w:rPr>
          <w:sz w:val="30"/>
          <w:szCs w:val="30"/>
        </w:rPr>
        <w:t>XX</w:t>
      </w:r>
      <w:r>
        <w:rPr>
          <w:sz w:val="30"/>
          <w:szCs w:val="30"/>
        </w:rPr>
        <w:fldChar w:fldCharType="end"/>
      </w:r>
      <w:bookmarkEnd w:id="1"/>
      <w:r>
        <w:rPr>
          <w:sz w:val="30"/>
          <w:szCs w:val="30"/>
        </w:rPr>
        <w:t>发布</w:t>
      </w:r>
      <w:r>
        <mc:AlternateContent>
          <mc:Choice Requires="wps">
            <w:drawing>
              <wp:anchor distT="0" distB="0" distL="114300" distR="114300" simplePos="0" relativeHeight="251659264" behindDoc="0" locked="1" layoutInCell="1" allowOverlap="1">
                <wp:simplePos x="0" y="0"/>
                <wp:positionH relativeFrom="column">
                  <wp:posOffset>-635</wp:posOffset>
                </wp:positionH>
                <wp:positionV relativeFrom="page">
                  <wp:posOffset>9251950</wp:posOffset>
                </wp:positionV>
                <wp:extent cx="6120130" cy="0"/>
                <wp:effectExtent l="8890" t="12700" r="5080" b="6350"/>
                <wp:wrapNone/>
                <wp:docPr id="43" name="Line 10"/>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Line 10" o:spid="_x0000_s1026" o:spt="20" style="position:absolute;left:0pt;margin-left:-0.05pt;margin-top:728.5pt;height:0pt;width:481.9pt;mso-position-vertical-relative:page;z-index:251659264;mso-width-relative:page;mso-height-relative:page;" filled="f" stroked="t" coordsize="21600,21600" o:gfxdata="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CWHazzWAAAACwEAAA8AAAAAAAAAAQAgAAAAIgAAAGRycy9k&#10;b3ducmV2LnhtbFBLAQIUABQAAAAIAIdO4kDewLGAywEAAKEDAAAOAAAAAAAAAAEAIAAAACUBAABk&#10;cnMvZTJvRG9jLnhtbFBLBQYAAAAABgAGAFkBAABiBQAAAAA=&#10;">
                <v:fill on="f" focussize="0,0"/>
                <v:stroke color="#000000" joinstyle="round"/>
                <v:imagedata o:title=""/>
                <o:lock v:ext="edit" aspectratio="f"/>
                <w10:anchorlock/>
              </v:line>
            </w:pict>
          </mc:Fallback>
        </mc:AlternateContent>
      </w:r>
    </w:p>
    <w:p w14:paraId="0D950E11">
      <w:pPr>
        <w:pStyle w:val="135"/>
        <w:framePr w:wrap="around" w:hAnchor="page" w:x="6931" w:y="13981"/>
        <w:rPr>
          <w:sz w:val="30"/>
          <w:szCs w:val="30"/>
        </w:rPr>
      </w:pPr>
      <w:bookmarkStart w:id="2" w:name="SY"/>
      <w:r>
        <w:rPr>
          <w:sz w:val="30"/>
          <w:szCs w:val="30"/>
        </w:rPr>
        <w:fldChar w:fldCharType="begin">
          <w:ffData>
            <w:name w:val="SY"/>
            <w:enabled/>
            <w:calcOnExit w:val="0"/>
            <w:textInput>
              <w:default w:val="XXXX"/>
              <w:maxLength w:val="4"/>
            </w:textInput>
          </w:ffData>
        </w:fldChar>
      </w:r>
      <w:r>
        <w:rPr>
          <w:sz w:val="30"/>
          <w:szCs w:val="30"/>
        </w:rPr>
        <w:instrText xml:space="preserve"> FORMTEXT </w:instrText>
      </w:r>
      <w:r>
        <w:rPr>
          <w:sz w:val="30"/>
          <w:szCs w:val="30"/>
        </w:rPr>
        <w:fldChar w:fldCharType="separate"/>
      </w:r>
      <w:r>
        <w:rPr>
          <w:sz w:val="30"/>
          <w:szCs w:val="30"/>
        </w:rPr>
        <w:t>XXXX</w:t>
      </w:r>
      <w:r>
        <w:rPr>
          <w:sz w:val="30"/>
          <w:szCs w:val="30"/>
        </w:rPr>
        <w:fldChar w:fldCharType="end"/>
      </w:r>
      <w:bookmarkEnd w:id="2"/>
      <w:r>
        <w:rPr>
          <w:sz w:val="30"/>
          <w:szCs w:val="30"/>
        </w:rPr>
        <w:t xml:space="preserve"> - </w:t>
      </w:r>
      <w:bookmarkStart w:id="3" w:name="SM"/>
      <w:r>
        <w:rPr>
          <w:sz w:val="30"/>
          <w:szCs w:val="30"/>
        </w:rPr>
        <w:fldChar w:fldCharType="begin">
          <w:ffData>
            <w:name w:val="SM"/>
            <w:enabled/>
            <w:calcOnExit w:val="0"/>
            <w:textInput>
              <w:default w:val="XX"/>
              <w:maxLength w:val="2"/>
            </w:textInput>
          </w:ffData>
        </w:fldChar>
      </w:r>
      <w:r>
        <w:rPr>
          <w:sz w:val="30"/>
          <w:szCs w:val="30"/>
        </w:rPr>
        <w:instrText xml:space="preserve"> FORMTEXT </w:instrText>
      </w:r>
      <w:r>
        <w:rPr>
          <w:sz w:val="30"/>
          <w:szCs w:val="30"/>
        </w:rPr>
        <w:fldChar w:fldCharType="separate"/>
      </w:r>
      <w:r>
        <w:rPr>
          <w:sz w:val="30"/>
          <w:szCs w:val="30"/>
        </w:rPr>
        <w:t>XX</w:t>
      </w:r>
      <w:r>
        <w:rPr>
          <w:sz w:val="30"/>
          <w:szCs w:val="30"/>
        </w:rPr>
        <w:fldChar w:fldCharType="end"/>
      </w:r>
      <w:bookmarkEnd w:id="3"/>
      <w:r>
        <w:rPr>
          <w:sz w:val="30"/>
          <w:szCs w:val="30"/>
        </w:rPr>
        <w:t xml:space="preserve"> - </w:t>
      </w:r>
      <w:bookmarkStart w:id="4" w:name="SD"/>
      <w:r>
        <w:rPr>
          <w:sz w:val="30"/>
          <w:szCs w:val="30"/>
        </w:rPr>
        <w:fldChar w:fldCharType="begin">
          <w:ffData>
            <w:name w:val="SD"/>
            <w:enabled/>
            <w:calcOnExit w:val="0"/>
            <w:textInput>
              <w:default w:val="XX"/>
              <w:maxLength w:val="2"/>
            </w:textInput>
          </w:ffData>
        </w:fldChar>
      </w:r>
      <w:r>
        <w:rPr>
          <w:sz w:val="30"/>
          <w:szCs w:val="30"/>
        </w:rPr>
        <w:instrText xml:space="preserve"> FORMTEXT </w:instrText>
      </w:r>
      <w:r>
        <w:rPr>
          <w:sz w:val="30"/>
          <w:szCs w:val="30"/>
        </w:rPr>
        <w:fldChar w:fldCharType="separate"/>
      </w:r>
      <w:r>
        <w:rPr>
          <w:sz w:val="30"/>
          <w:szCs w:val="30"/>
        </w:rPr>
        <w:t>XX</w:t>
      </w:r>
      <w:r>
        <w:rPr>
          <w:sz w:val="30"/>
          <w:szCs w:val="30"/>
        </w:rPr>
        <w:fldChar w:fldCharType="end"/>
      </w:r>
      <w:bookmarkEnd w:id="4"/>
      <w:r>
        <w:rPr>
          <w:sz w:val="30"/>
          <w:szCs w:val="30"/>
        </w:rPr>
        <w:t>实施</w:t>
      </w:r>
    </w:p>
    <w:p w14:paraId="2A495355">
      <w:pPr>
        <w:pStyle w:val="115"/>
        <w:framePr w:wrap="around"/>
        <w:rPr>
          <w:rFonts w:ascii="Times New Roman"/>
        </w:rPr>
      </w:pPr>
      <w:r>
        <w:rPr>
          <w:rFonts w:hint="eastAsia" w:asciiTheme="majorEastAsia" w:hAnsiTheme="majorEastAsia" w:eastAsiaTheme="majorEastAsia"/>
          <w:sz w:val="30"/>
          <w:szCs w:val="30"/>
        </w:rPr>
        <w:t>中国生物材料学会</w:t>
      </w:r>
      <w:r>
        <w:rPr>
          <w:rFonts w:hint="eastAsia" w:asciiTheme="majorEastAsia" w:hAnsiTheme="majorEastAsia" w:eastAsiaTheme="majorEastAsia"/>
          <w:sz w:val="30"/>
          <w:szCs w:val="30"/>
          <w:lang w:val="en-US" w:eastAsia="zh-CN"/>
        </w:rPr>
        <w:t xml:space="preserve">   </w:t>
      </w:r>
      <w:r>
        <w:rPr>
          <w:rStyle w:val="77"/>
          <w:rFonts w:ascii="Times New Roman"/>
          <w:sz w:val="30"/>
          <w:szCs w:val="30"/>
        </w:rPr>
        <w:t>发布</w:t>
      </w:r>
    </w:p>
    <w:p w14:paraId="73D72551">
      <w:pPr>
        <w:pStyle w:val="83"/>
        <w:framePr w:wrap="around"/>
        <w:spacing w:before="156" w:after="156" w:line="240" w:lineRule="auto"/>
        <w:rPr>
          <w:rFonts w:ascii="黑体"/>
          <w:sz w:val="52"/>
          <w:szCs w:val="20"/>
        </w:rPr>
      </w:pPr>
      <w:bookmarkStart w:id="5" w:name="OLE_LINK23"/>
      <w:bookmarkStart w:id="6" w:name="YZBS"/>
      <w:r>
        <w:rPr>
          <w:rFonts w:hint="eastAsia" w:ascii="黑体"/>
          <w:sz w:val="48"/>
          <w:szCs w:val="18"/>
        </w:rPr>
        <w:t>递送用纳米载体材料包封率表征 超滤法</w:t>
      </w:r>
    </w:p>
    <w:bookmarkEnd w:id="5"/>
    <w:p w14:paraId="1FBF9022">
      <w:pPr>
        <w:pStyle w:val="83"/>
        <w:framePr w:wrap="around"/>
        <w:spacing w:before="156" w:after="156"/>
        <w:rPr>
          <w:sz w:val="36"/>
          <w:szCs w:val="36"/>
        </w:rPr>
      </w:pPr>
      <w:r>
        <w:rPr>
          <w:rFonts w:hint="eastAsia"/>
          <w:sz w:val="36"/>
          <w:szCs w:val="36"/>
        </w:rPr>
        <w:t xml:space="preserve">Characterization of encapsulation efficiency of nanomaterial carriers for delivery  </w:t>
      </w:r>
      <w:bookmarkStart w:id="96" w:name="_GoBack"/>
      <w:bookmarkEnd w:id="96"/>
      <w:r>
        <w:rPr>
          <w:rFonts w:hint="eastAsia"/>
          <w:sz w:val="36"/>
          <w:szCs w:val="36"/>
        </w:rPr>
        <w:t>Centrifugal ultrafiltration method</w:t>
      </w:r>
    </w:p>
    <w:bookmarkEnd w:id="6"/>
    <w:tbl>
      <w:tblPr>
        <w:tblStyle w:val="34"/>
        <w:tblW w:w="98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5"/>
      </w:tblGrid>
      <w:tr w14:paraId="649C2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855" w:type="dxa"/>
            <w:tcBorders>
              <w:top w:val="nil"/>
              <w:left w:val="nil"/>
              <w:bottom w:val="nil"/>
              <w:right w:val="nil"/>
            </w:tcBorders>
            <w:shd w:val="clear" w:color="auto" w:fill="auto"/>
          </w:tcPr>
          <w:p w14:paraId="13093DFF">
            <w:pPr>
              <w:pStyle w:val="83"/>
              <w:keepNext w:val="0"/>
              <w:keepLines w:val="0"/>
              <w:framePr w:wrap="around"/>
              <w:suppressLineNumbers w:val="0"/>
              <w:spacing w:before="156" w:beforeAutospacing="0" w:after="156" w:afterAutospacing="0"/>
              <w:ind w:left="0" w:right="0"/>
              <w:jc w:val="center"/>
              <w:rPr>
                <w:rFonts w:hint="default"/>
                <w:lang w:val="en-US"/>
              </w:rPr>
            </w:pPr>
            <w:r>
              <w:rPr>
                <w:rFonts w:hint="default"/>
              </w:rPr>
              <mc:AlternateContent>
                <mc:Choice Requires="wps">
                  <w:drawing>
                    <wp:anchor distT="0" distB="0" distL="114300" distR="114300" simplePos="0" relativeHeight="251661312" behindDoc="1" locked="1" layoutInCell="1" allowOverlap="1">
                      <wp:simplePos x="0" y="0"/>
                      <wp:positionH relativeFrom="column">
                        <wp:posOffset>2200910</wp:posOffset>
                      </wp:positionH>
                      <wp:positionV relativeFrom="paragraph">
                        <wp:posOffset>573405</wp:posOffset>
                      </wp:positionV>
                      <wp:extent cx="1905000" cy="254000"/>
                      <wp:effectExtent l="635" t="1905" r="0" b="1270"/>
                      <wp:wrapNone/>
                      <wp:docPr id="45" name="RQ"/>
                      <wp:cNvGraphicFramePr/>
                      <a:graphic xmlns:a="http://schemas.openxmlformats.org/drawingml/2006/main">
                        <a:graphicData uri="http://schemas.microsoft.com/office/word/2010/wordprocessingShape">
                          <wps:wsp>
                            <wps:cNvSpPr>
                              <a:spLocks noChangeArrowheads="1"/>
                            </wps:cNvSpPr>
                            <wps:spPr bwMode="auto">
                              <a:xfrm>
                                <a:off x="0" y="0"/>
                                <a:ext cx="1905000" cy="2540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RQ" o:spid="_x0000_s1026" o:spt="1" style="position:absolute;left:0pt;margin-left:173.3pt;margin-top:45.15pt;height:20pt;width:150pt;z-index:-251655168;mso-width-relative:page;mso-height-relative:page;" fillcolor="#FFFFFF" filled="t" stroked="f" coordsize="21600,21600" o:gfxdata="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YmuktUAAAAKAQAADwAAAAAAAAABACAAAAAiAAAA&#10;ZHJzL2Rvd25yZXYueG1sUEsBAhQAFAAAAAgAh07iQOlIXzMKAgAAIQQAAA4AAAAAAAAAAQAgAAAA&#10;JAEAAGRycy9lMm9Eb2MueG1sUEsFBgAAAAAGAAYAWQEAAKAFAAAAAA==&#10;">
                      <v:fill on="t" focussize="0,0"/>
                      <v:stroke on="f"/>
                      <v:imagedata o:title=""/>
                      <o:lock v:ext="edit" aspectratio="f"/>
                      <w10:anchorlock/>
                    </v:rect>
                  </w:pict>
                </mc:Fallback>
              </mc:AlternateContent>
            </w:r>
            <w:r>
              <w:rPr>
                <w:rFonts w:hint="eastAsia"/>
                <w:lang w:eastAsia="zh-CN"/>
              </w:rPr>
              <w:t>（</w:t>
            </w:r>
            <w:r>
              <w:rPr>
                <w:rFonts w:hint="eastAsia"/>
                <w:lang w:val="en-US" w:eastAsia="zh-CN"/>
              </w:rPr>
              <w:t>征求意见稿）</w:t>
            </w:r>
          </w:p>
        </w:tc>
      </w:tr>
      <w:tr w14:paraId="12C34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shd w:val="clear" w:color="auto" w:fill="auto"/>
          </w:tcPr>
          <w:p w14:paraId="561F8878">
            <w:pPr>
              <w:pStyle w:val="86"/>
              <w:keepNext w:val="0"/>
              <w:keepLines w:val="0"/>
              <w:framePr w:wrap="around"/>
              <w:suppressLineNumbers w:val="0"/>
              <w:spacing w:before="312" w:beforeAutospacing="0" w:after="312" w:afterAutospacing="0"/>
              <w:ind w:left="0" w:right="0"/>
              <w:rPr>
                <w:rFonts w:hint="default" w:ascii="Times New Roman"/>
              </w:rPr>
            </w:pPr>
            <w:r>
              <w:rPr>
                <w:rFonts w:hint="eastAsia" w:ascii="Times New Roman"/>
              </w:rPr>
              <w:t>在提交反馈意见时，请将您知道的相关专利连同支持性文件一并附上</w:t>
            </w:r>
          </w:p>
        </w:tc>
      </w:tr>
      <w:tr w14:paraId="627D3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shd w:val="clear" w:color="auto" w:fill="auto"/>
          </w:tcPr>
          <w:p w14:paraId="30AE1F79">
            <w:pPr>
              <w:pStyle w:val="86"/>
              <w:keepNext w:val="0"/>
              <w:keepLines w:val="0"/>
              <w:framePr w:wrap="around"/>
              <w:suppressLineNumbers w:val="0"/>
              <w:spacing w:before="312" w:beforeAutospacing="0" w:after="312" w:afterAutospacing="0"/>
              <w:ind w:left="0" w:right="0"/>
              <w:rPr>
                <w:rFonts w:hint="eastAsia" w:ascii="Times New Roman"/>
              </w:rPr>
            </w:pPr>
          </w:p>
        </w:tc>
      </w:tr>
    </w:tbl>
    <w:tbl>
      <w:tblPr>
        <w:tblStyle w:val="35"/>
        <w:tblW w:w="98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36"/>
        <w:gridCol w:w="9319"/>
      </w:tblGrid>
      <w:tr w14:paraId="436E4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0DC864B5">
            <w:pPr>
              <w:pStyle w:val="19"/>
              <w:keepNext w:val="0"/>
              <w:keepLines w:val="0"/>
              <w:framePr w:wrap="notBeside" w:vAnchor="page" w:hAnchor="page" w:x="1372" w:y="568"/>
              <w:suppressLineNumbers w:val="0"/>
              <w:spacing w:before="40" w:beforeAutospacing="0" w:after="0" w:afterAutospacing="0" w:line="240" w:lineRule="auto"/>
              <w:ind w:left="0" w:right="0"/>
              <w:jc w:val="left"/>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ICS</w:t>
            </w:r>
          </w:p>
        </w:tc>
        <w:tc>
          <w:tcPr>
            <w:tcW w:w="8855" w:type="dxa"/>
          </w:tcPr>
          <w:p w14:paraId="5BCC3085">
            <w:pPr>
              <w:pStyle w:val="19"/>
              <w:keepNext w:val="0"/>
              <w:keepLines w:val="0"/>
              <w:framePr w:wrap="notBeside" w:vAnchor="page" w:hAnchor="page" w:x="1372" w:y="568"/>
              <w:suppressLineNumbers w:val="0"/>
              <w:spacing w:before="40" w:beforeAutospacing="0" w:after="0" w:afterAutospacing="0" w:line="240" w:lineRule="auto"/>
              <w:ind w:left="0" w:right="0"/>
              <w:jc w:val="left"/>
              <w:rPr>
                <w:rFonts w:hint="default" w:ascii="Times New Roman" w:hAnsi="Times New Roman" w:cs="Times New Roman" w:eastAsiaTheme="minorEastAsia"/>
                <w:color w:val="000000" w:themeColor="text1"/>
                <w:sz w:val="21"/>
                <w:szCs w:val="21"/>
                <w:lang w:val="en-US"/>
                <w14:textFill>
                  <w14:solidFill>
                    <w14:schemeClr w14:val="tx1"/>
                  </w14:solidFill>
                </w14:textFill>
              </w:rPr>
            </w:pPr>
            <w:r>
              <w:rPr>
                <w:rFonts w:hint="eastAsia" w:ascii="Times New Roman" w:hAnsi="Times New Roman" w:cs="Times New Roman" w:eastAsiaTheme="minorEastAsia"/>
                <w:color w:val="000000" w:themeColor="text1"/>
                <w:sz w:val="21"/>
                <w:szCs w:val="21"/>
                <w:lang w:val="en-US" w:eastAsia="zh-CN"/>
                <w14:textFill>
                  <w14:solidFill>
                    <w14:schemeClr w14:val="tx1"/>
                  </w14:solidFill>
                </w14:textFill>
              </w:rPr>
              <w:t>71.040.40</w:t>
            </w:r>
          </w:p>
        </w:tc>
      </w:tr>
      <w:tr w14:paraId="78916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783633A3">
            <w:pPr>
              <w:pStyle w:val="19"/>
              <w:keepNext w:val="0"/>
              <w:keepLines w:val="0"/>
              <w:framePr w:wrap="notBeside" w:vAnchor="page" w:hAnchor="page" w:x="1372" w:y="568"/>
              <w:suppressLineNumbers w:val="0"/>
              <w:spacing w:before="40" w:beforeAutospacing="0" w:after="0" w:afterAutospacing="0" w:line="240" w:lineRule="auto"/>
              <w:ind w:left="0" w:right="0"/>
              <w:jc w:val="left"/>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CCS</w:t>
            </w:r>
          </w:p>
        </w:tc>
        <w:tc>
          <w:tcPr>
            <w:tcW w:w="8855" w:type="dxa"/>
          </w:tcPr>
          <w:p w14:paraId="2DBA71FD">
            <w:pPr>
              <w:pStyle w:val="19"/>
              <w:keepNext w:val="0"/>
              <w:keepLines w:val="0"/>
              <w:framePr w:wrap="notBeside" w:vAnchor="page" w:hAnchor="page" w:x="1372" w:y="568"/>
              <w:suppressLineNumbers w:val="0"/>
              <w:spacing w:before="40" w:beforeAutospacing="0" w:after="0" w:afterAutospacing="0" w:line="240" w:lineRule="auto"/>
              <w:ind w:left="0" w:right="0"/>
              <w:jc w:val="left"/>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eastAsia" w:ascii="Times New Roman" w:hAnsi="Times New Roman" w:cs="Times New Roman" w:eastAsiaTheme="minorEastAsia"/>
                <w:color w:val="000000" w:themeColor="text1"/>
                <w:sz w:val="21"/>
                <w:szCs w:val="21"/>
                <w:lang w:val="en-US" w:eastAsia="zh-CN"/>
                <w14:textFill>
                  <w14:solidFill>
                    <w14:schemeClr w14:val="tx1"/>
                  </w14:solidFill>
                </w14:textFill>
              </w:rPr>
              <w:t>C 10</w:t>
            </w:r>
          </w:p>
        </w:tc>
      </w:tr>
    </w:tbl>
    <w:tbl>
      <w:tblPr>
        <w:tblStyle w:val="35"/>
        <w:tblpPr w:leftFromText="180" w:rightFromText="180" w:vertAnchor="text" w:horzAnchor="margin" w:tblpX="2683" w:tblpY="57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661"/>
      </w:tblGrid>
      <w:tr w14:paraId="7470C0B0">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61" w:type="dxa"/>
          </w:tcPr>
          <w:p w14:paraId="79069FB8">
            <w:pPr>
              <w:pStyle w:val="70"/>
              <w:keepNext w:val="0"/>
              <w:keepLines w:val="0"/>
              <w:framePr w:w="0" w:hRule="auto" w:hSpace="0" w:vSpace="0" w:wrap="auto" w:vAnchor="margin" w:hAnchor="text" w:xAlign="left" w:yAlign="inline"/>
              <w:widowControl/>
              <w:suppressLineNumbers w:val="0"/>
              <w:spacing w:before="0" w:beforeAutospacing="0" w:after="0" w:afterAutospacing="0"/>
              <w:ind w:left="0" w:right="0"/>
              <w:rPr>
                <w:rFonts w:hint="eastAsia" w:ascii="宋体" w:hAnsi="宋体"/>
                <w:color w:val="000000" w:themeColor="text1"/>
                <w:sz w:val="28"/>
                <w:szCs w:val="28"/>
                <w14:textFill>
                  <w14:solidFill>
                    <w14:schemeClr w14:val="tx1"/>
                  </w14:solidFill>
                </w14:textFill>
              </w:rPr>
            </w:pPr>
            <w:r>
              <w:rPr>
                <w:rFonts w:hint="default"/>
                <w:color w:val="000000" w:themeColor="text1"/>
                <w14:textFill>
                  <w14:solidFill>
                    <w14:schemeClr w14:val="tx1"/>
                  </w14:solidFill>
                </w14:textFill>
              </w:rPr>
              <w:t>T</w:t>
            </w:r>
            <w:r>
              <w:rPr>
                <w:rFonts w:hint="eastAsia"/>
                <w:color w:val="000000" w:themeColor="text1"/>
                <w14:textFill>
                  <w14:solidFill>
                    <w14:schemeClr w14:val="tx1"/>
                  </w14:solidFill>
                </w14:textFill>
              </w:rPr>
              <w:t>/</w:t>
            </w:r>
            <w:r>
              <w:rPr>
                <w:rFonts w:hint="default"/>
                <w:color w:val="000000" w:themeColor="text1"/>
                <w14:textFill>
                  <w14:solidFill>
                    <w14:schemeClr w14:val="tx1"/>
                  </w14:solidFill>
                </w14:textFill>
              </w:rPr>
              <w:t>CSBM</w:t>
            </w:r>
          </w:p>
        </w:tc>
      </w:tr>
    </w:tbl>
    <w:p w14:paraId="29E988D3">
      <w:pPr>
        <w:pStyle w:val="71"/>
        <w:framePr w:wrap="around" w:x="1305" w:y="2269"/>
        <w:rPr>
          <w:rFonts w:hint="eastAsia" w:ascii="黑体" w:hAnsi="黑体" w:eastAsia="黑体"/>
          <w:b w:val="0"/>
          <w:bCs w:val="0"/>
          <w:color w:val="000000" w:themeColor="text1"/>
          <w:w w:val="100"/>
          <w:sz w:val="48"/>
          <w:szCs w:val="48"/>
          <w14:textFill>
            <w14:solidFill>
              <w14:schemeClr w14:val="tx1"/>
            </w14:solidFill>
          </w14:textFill>
        </w:rPr>
      </w:pPr>
      <w:r>
        <w:rPr>
          <w:rFonts w:hint="eastAsia" w:ascii="黑体" w:hAnsi="黑体" w:eastAsia="黑体"/>
          <w:b w:val="0"/>
          <w:bCs w:val="0"/>
          <w:color w:val="000000" w:themeColor="text1"/>
          <w:w w:val="100"/>
          <w:sz w:val="48"/>
          <w:szCs w:val="48"/>
          <w14:textFill>
            <w14:solidFill>
              <w14:schemeClr w14:val="tx1"/>
            </w14:solidFill>
          </w14:textFill>
        </w:rPr>
        <w:t>团体标准</w:t>
      </w:r>
    </w:p>
    <w:p w14:paraId="63D0F47E">
      <w:pPr>
        <w:pStyle w:val="161"/>
        <w:rPr>
          <w:rFonts w:hint="default" w:hAnsi="黑体" w:eastAsia="黑体"/>
          <w:color w:val="000000" w:themeColor="text1"/>
          <w:lang w:val="en-US" w:eastAsia="zh-CN"/>
          <w14:textFill>
            <w14:solidFill>
              <w14:schemeClr w14:val="tx1"/>
            </w14:solidFill>
          </w14:textFill>
        </w:rPr>
      </w:pPr>
      <w:r>
        <w:rPr>
          <w:rFonts w:hAnsi="黑体"/>
          <w:color w:val="000000" w:themeColor="text1"/>
          <w14:textFill>
            <w14:solidFill>
              <w14:schemeClr w14:val="tx1"/>
            </w14:solidFill>
          </w14:textFill>
        </w:rPr>
        <w:t xml:space="preserve">T/CSBM </w:t>
      </w:r>
      <w:r>
        <w:rPr>
          <w:rFonts w:hint="eastAsia" w:hAnsi="黑体"/>
          <w:color w:val="000000" w:themeColor="text1"/>
          <w:lang w:val="en-US" w:eastAsia="zh-CN"/>
          <w14:textFill>
            <w14:solidFill>
              <w14:schemeClr w14:val="tx1"/>
            </w14:solidFill>
          </w14:textFill>
        </w:rPr>
        <w:t>XXXX</w:t>
      </w:r>
      <w:r>
        <w:rPr>
          <w:rFonts w:hAnsi="黑体"/>
          <w:color w:val="000000" w:themeColor="text1"/>
          <w14:textFill>
            <w14:solidFill>
              <w14:schemeClr w14:val="tx1"/>
            </w14:solidFill>
          </w14:textFill>
        </w:rPr>
        <w:t>—</w:t>
      </w:r>
      <w:r>
        <w:rPr>
          <w:rFonts w:hint="eastAsia" w:hAnsi="黑体"/>
          <w:color w:val="000000" w:themeColor="text1"/>
          <w:lang w:val="en-US" w:eastAsia="zh-CN"/>
          <w14:textFill>
            <w14:solidFill>
              <w14:schemeClr w14:val="tx1"/>
            </w14:solidFill>
          </w14:textFill>
        </w:rPr>
        <w:t>XXXX</w:t>
      </w:r>
    </w:p>
    <w:p w14:paraId="13A1AD04">
      <w:pPr>
        <w:pStyle w:val="162"/>
        <w:rPr>
          <w:rFonts w:hint="eastAsia" w:hAnsi="黑体"/>
          <w:color w:val="000000" w:themeColor="text1"/>
          <w14:textFill>
            <w14:solidFill>
              <w14:schemeClr w14:val="tx1"/>
            </w14:solidFill>
          </w14:textFill>
        </w:rPr>
      </w:pPr>
      <w:r>
        <w:rPr>
          <w:rFonts w:hAnsi="黑体"/>
          <w:color w:val="000000" w:themeColor="text1"/>
          <w14:textFill>
            <w14:solidFill>
              <w14:schemeClr w14:val="tx1"/>
            </w14:solidFill>
          </w14:textFill>
        </w:rPr>
        <w:fldChar w:fldCharType="begin">
          <w:ffData>
            <w:name w:val="OSTD_CODE"/>
            <w:enabled/>
            <w:calcOnExit w:val="0"/>
            <w:textInput/>
          </w:ffData>
        </w:fldChar>
      </w:r>
      <w:bookmarkStart w:id="7" w:name="OSTD_CODE"/>
      <w:r>
        <w:rPr>
          <w:rFonts w:hAnsi="黑体"/>
          <w:color w:val="000000" w:themeColor="text1"/>
          <w14:textFill>
            <w14:solidFill>
              <w14:schemeClr w14:val="tx1"/>
            </w14:solidFill>
          </w14:textFill>
        </w:rPr>
        <w:instrText xml:space="preserve"> FORMTEXT </w:instrText>
      </w:r>
      <w:r>
        <w:rPr>
          <w:rFonts w:hAnsi="黑体"/>
          <w:color w:val="000000" w:themeColor="text1"/>
          <w14:textFill>
            <w14:solidFill>
              <w14:schemeClr w14:val="tx1"/>
            </w14:solidFill>
          </w14:textFill>
        </w:rPr>
        <w:fldChar w:fldCharType="separate"/>
      </w:r>
      <w:r>
        <w:rPr>
          <w:rFonts w:hAnsi="黑体"/>
          <w:color w:val="000000" w:themeColor="text1"/>
          <w14:textFill>
            <w14:solidFill>
              <w14:schemeClr w14:val="tx1"/>
            </w14:solidFill>
          </w14:textFill>
        </w:rPr>
        <w:t>     </w:t>
      </w:r>
      <w:r>
        <w:rPr>
          <w:rFonts w:hAnsi="黑体"/>
          <w:color w:val="000000" w:themeColor="text1"/>
          <w14:textFill>
            <w14:solidFill>
              <w14:schemeClr w14:val="tx1"/>
            </w14:solidFill>
          </w14:textFill>
        </w:rPr>
        <w:fldChar w:fldCharType="end"/>
      </w:r>
      <w:bookmarkEnd w:id="7"/>
    </w:p>
    <w:p w14:paraId="5A0E9D59">
      <w:pPr>
        <w:pStyle w:val="24"/>
        <w:rPr>
          <w:rFonts w:ascii="Times New Roman"/>
        </w:rPr>
        <w:sectPr>
          <w:footerReference r:id="rId3" w:type="even"/>
          <w:pgSz w:w="11906" w:h="16838"/>
          <w:pgMar w:top="567" w:right="1134" w:bottom="1134" w:left="1417" w:header="0" w:footer="0" w:gutter="0"/>
          <w:pgNumType w:start="1"/>
          <w:cols w:space="425" w:num="1"/>
          <w:docGrid w:type="lines" w:linePitch="312" w:charSpace="0"/>
        </w:sectPr>
      </w:pPr>
      <w:r>
        <w:rPr>
          <w:rFonts w:ascii="Times New Roman"/>
        </w:rP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2339975</wp:posOffset>
                </wp:positionV>
                <wp:extent cx="6120130" cy="0"/>
                <wp:effectExtent l="8890" t="6350" r="5080" b="12700"/>
                <wp:wrapNone/>
                <wp:docPr id="42" name="Line 11"/>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Line 11" o:spid="_x0000_s1026" o:spt="20" style="position:absolute;left:0pt;margin-left:-0.05pt;margin-top:184.25pt;height:0pt;width:481.9pt;z-index:251660288;mso-width-relative:page;mso-height-relative:page;" filled="f" stroked="t" coordsize="21600,21600" o:gfxdata="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QkHiX9cAAAAJAQAADwAAAAAAAAABACAAAAAiAAAAZHJzL2Rv&#10;d25yZXYueG1sUEsBAhQAFAAAAAgAh07iQFi0IyfJAQAAoQMAAA4AAAAAAAAAAQAgAAAAJgEAAGRy&#10;cy9lMm9Eb2MueG1sUEsFBgAAAAAGAAYAWQEAAGEFAAAAAA==&#10;">
                <v:fill on="f" focussize="0,0"/>
                <v:stroke color="#000000" joinstyle="round"/>
                <v:imagedata o:title=""/>
                <o:lock v:ext="edit" aspectratio="f"/>
              </v:line>
            </w:pict>
          </mc:Fallback>
        </mc:AlternateContent>
      </w:r>
    </w:p>
    <w:p w14:paraId="7DB74562">
      <w:pPr>
        <w:pStyle w:val="54"/>
        <w:rPr>
          <w:rFonts w:ascii="Times New Roman"/>
        </w:rPr>
      </w:pPr>
      <w:bookmarkStart w:id="8" w:name="_Toc354142462"/>
      <w:bookmarkStart w:id="9" w:name="_Toc338604798"/>
      <w:bookmarkStart w:id="10" w:name="_Toc342665737"/>
      <w:bookmarkStart w:id="11" w:name="_Toc354142627"/>
      <w:bookmarkStart w:id="12" w:name="_Toc354142267"/>
      <w:bookmarkStart w:id="13" w:name="_Toc342589523"/>
      <w:bookmarkStart w:id="14" w:name="_Toc358964227"/>
      <w:bookmarkStart w:id="15" w:name="_Toc338754584"/>
      <w:bookmarkStart w:id="16" w:name="_Toc340491278"/>
      <w:bookmarkStart w:id="17" w:name="_Toc374444820"/>
      <w:bookmarkStart w:id="18" w:name="_Toc338060633"/>
      <w:bookmarkStart w:id="19" w:name="_Toc338685857"/>
      <w:bookmarkStart w:id="20" w:name="_Toc398301037"/>
      <w:bookmarkStart w:id="21" w:name="_Toc343596936"/>
      <w:bookmarkStart w:id="22" w:name="_Toc338060690"/>
      <w:r>
        <w:rPr>
          <w:rFonts w:ascii="Times New Roman"/>
        </w:rPr>
        <w:t>目</w:t>
      </w:r>
      <w:bookmarkStart w:id="23" w:name="BKML"/>
      <w:r>
        <w:rPr>
          <w:rFonts w:ascii="Times New Roman"/>
        </w:rPr>
        <w:t>  次</w:t>
      </w:r>
      <w:bookmarkEnd w:id="23"/>
    </w:p>
    <w:p w14:paraId="4E9F34AD">
      <w:pPr>
        <w:pStyle w:val="20"/>
        <w:tabs>
          <w:tab w:val="right" w:leader="dot" w:pos="9355"/>
          <w:tab w:val="clear" w:pos="9241"/>
        </w:tabs>
      </w:pPr>
      <w:r>
        <w:rPr>
          <w:rFonts w:ascii="Times New Roman"/>
        </w:rPr>
        <w:fldChar w:fldCharType="begin"/>
      </w:r>
      <w:r>
        <w:rPr>
          <w:rFonts w:ascii="Times New Roman"/>
        </w:rPr>
        <w:instrText xml:space="preserve"> TOC \h \z \t "前言、引言标题,1,参考文献、索引标题,1,章标题,1,参考文献,1,附录标识,1" </w:instrText>
      </w:r>
      <w:r>
        <w:rPr>
          <w:rFonts w:ascii="Times New Roman"/>
        </w:rPr>
        <w:fldChar w:fldCharType="separate"/>
      </w:r>
      <w:r>
        <w:rPr>
          <w:rFonts w:ascii="Times New Roman"/>
        </w:rPr>
        <w:fldChar w:fldCharType="begin"/>
      </w:r>
      <w:r>
        <w:rPr>
          <w:rFonts w:ascii="Times New Roman"/>
        </w:rPr>
        <w:instrText xml:space="preserve"> HYPERLINK \l _Toc18447 </w:instrText>
      </w:r>
      <w:r>
        <w:rPr>
          <w:rFonts w:ascii="Times New Roman"/>
        </w:rPr>
        <w:fldChar w:fldCharType="separate"/>
      </w:r>
      <w:r>
        <w:rPr>
          <w:rFonts w:ascii="Times New Roman"/>
        </w:rPr>
        <w:t>前  言</w:t>
      </w:r>
      <w:r>
        <w:tab/>
      </w:r>
      <w:r>
        <w:fldChar w:fldCharType="begin"/>
      </w:r>
      <w:r>
        <w:instrText xml:space="preserve"> PAGEREF _Toc18447 \h </w:instrText>
      </w:r>
      <w:r>
        <w:fldChar w:fldCharType="separate"/>
      </w:r>
      <w:r>
        <w:t>II</w:t>
      </w:r>
      <w:r>
        <w:fldChar w:fldCharType="end"/>
      </w:r>
      <w:r>
        <w:rPr>
          <w:rFonts w:ascii="Times New Roman"/>
        </w:rPr>
        <w:fldChar w:fldCharType="end"/>
      </w:r>
    </w:p>
    <w:p w14:paraId="7C893F18">
      <w:pPr>
        <w:pStyle w:val="20"/>
        <w:tabs>
          <w:tab w:val="right" w:leader="dot" w:pos="9355"/>
          <w:tab w:val="clear" w:pos="9241"/>
        </w:tabs>
      </w:pPr>
      <w:r>
        <w:rPr>
          <w:rFonts w:ascii="Times New Roman"/>
          <w:kern w:val="2"/>
          <w:szCs w:val="21"/>
        </w:rPr>
        <w:fldChar w:fldCharType="begin"/>
      </w:r>
      <w:r>
        <w:rPr>
          <w:rFonts w:ascii="Times New Roman"/>
          <w:kern w:val="2"/>
          <w:szCs w:val="21"/>
        </w:rPr>
        <w:instrText xml:space="preserve"> HYPERLINK \l _Toc29179 </w:instrText>
      </w:r>
      <w:r>
        <w:rPr>
          <w:rFonts w:ascii="Times New Roman"/>
          <w:kern w:val="2"/>
          <w:szCs w:val="21"/>
        </w:rPr>
        <w:fldChar w:fldCharType="separate"/>
      </w:r>
      <w:r>
        <w:rPr>
          <w:rFonts w:hint="eastAsia"/>
        </w:rPr>
        <w:t>引   言</w:t>
      </w:r>
      <w:r>
        <w:tab/>
      </w:r>
      <w:r>
        <w:fldChar w:fldCharType="begin"/>
      </w:r>
      <w:r>
        <w:instrText xml:space="preserve"> PAGEREF _Toc29179 \h </w:instrText>
      </w:r>
      <w:r>
        <w:fldChar w:fldCharType="separate"/>
      </w:r>
      <w:r>
        <w:t>III</w:t>
      </w:r>
      <w:r>
        <w:fldChar w:fldCharType="end"/>
      </w:r>
      <w:r>
        <w:rPr>
          <w:rFonts w:ascii="Times New Roman"/>
          <w:kern w:val="2"/>
          <w:szCs w:val="21"/>
        </w:rPr>
        <w:fldChar w:fldCharType="end"/>
      </w:r>
    </w:p>
    <w:p w14:paraId="3DF0A001">
      <w:pPr>
        <w:pStyle w:val="20"/>
        <w:tabs>
          <w:tab w:val="right" w:leader="dot" w:pos="9355"/>
          <w:tab w:val="clear" w:pos="9241"/>
        </w:tabs>
      </w:pPr>
      <w:r>
        <w:rPr>
          <w:rFonts w:ascii="Times New Roman"/>
          <w:kern w:val="2"/>
          <w:szCs w:val="21"/>
        </w:rPr>
        <w:fldChar w:fldCharType="begin"/>
      </w:r>
      <w:r>
        <w:rPr>
          <w:rFonts w:ascii="Times New Roman"/>
          <w:kern w:val="2"/>
          <w:szCs w:val="21"/>
        </w:rPr>
        <w:instrText xml:space="preserve"> HYPERLINK \l _Toc7967 </w:instrText>
      </w:r>
      <w:r>
        <w:rPr>
          <w:rFonts w:ascii="Times New Roman"/>
          <w:kern w:val="2"/>
          <w:szCs w:val="21"/>
        </w:rPr>
        <w:fldChar w:fldCharType="separate"/>
      </w:r>
      <w:r>
        <w:rPr>
          <w:rFonts w:hint="eastAsia" w:ascii="黑体" w:hAnsi="Times New Roman" w:eastAsia="黑体"/>
          <w:i w:val="0"/>
          <w:szCs w:val="21"/>
        </w:rPr>
        <w:t xml:space="preserve">1 </w:t>
      </w:r>
      <w:r>
        <w:rPr>
          <w:rFonts w:ascii="Times New Roman"/>
        </w:rPr>
        <w:t>范围</w:t>
      </w:r>
      <w:r>
        <w:tab/>
      </w:r>
      <w:r>
        <w:fldChar w:fldCharType="begin"/>
      </w:r>
      <w:r>
        <w:instrText xml:space="preserve"> PAGEREF _Toc7967 \h </w:instrText>
      </w:r>
      <w:r>
        <w:fldChar w:fldCharType="separate"/>
      </w:r>
      <w:r>
        <w:t>1</w:t>
      </w:r>
      <w:r>
        <w:fldChar w:fldCharType="end"/>
      </w:r>
      <w:r>
        <w:rPr>
          <w:rFonts w:ascii="Times New Roman"/>
          <w:kern w:val="2"/>
          <w:szCs w:val="21"/>
        </w:rPr>
        <w:fldChar w:fldCharType="end"/>
      </w:r>
    </w:p>
    <w:p w14:paraId="4A786396">
      <w:pPr>
        <w:pStyle w:val="20"/>
        <w:tabs>
          <w:tab w:val="right" w:leader="dot" w:pos="9355"/>
          <w:tab w:val="clear" w:pos="9241"/>
        </w:tabs>
      </w:pPr>
      <w:r>
        <w:rPr>
          <w:rFonts w:ascii="Times New Roman"/>
          <w:kern w:val="2"/>
          <w:szCs w:val="21"/>
        </w:rPr>
        <w:fldChar w:fldCharType="begin"/>
      </w:r>
      <w:r>
        <w:rPr>
          <w:rFonts w:ascii="Times New Roman"/>
          <w:kern w:val="2"/>
          <w:szCs w:val="21"/>
        </w:rPr>
        <w:instrText xml:space="preserve"> HYPERLINK \l _Toc12074 </w:instrText>
      </w:r>
      <w:r>
        <w:rPr>
          <w:rFonts w:ascii="Times New Roman"/>
          <w:kern w:val="2"/>
          <w:szCs w:val="21"/>
        </w:rPr>
        <w:fldChar w:fldCharType="separate"/>
      </w:r>
      <w:r>
        <w:rPr>
          <w:rFonts w:hint="eastAsia" w:ascii="黑体" w:hAnsi="Times New Roman" w:eastAsia="黑体"/>
          <w:i w:val="0"/>
          <w:szCs w:val="21"/>
        </w:rPr>
        <w:t xml:space="preserve">2 </w:t>
      </w:r>
      <w:r>
        <w:rPr>
          <w:rFonts w:ascii="Times New Roman"/>
        </w:rPr>
        <w:t>规范性引用文件</w:t>
      </w:r>
      <w:r>
        <w:tab/>
      </w:r>
      <w:r>
        <w:fldChar w:fldCharType="begin"/>
      </w:r>
      <w:r>
        <w:instrText xml:space="preserve"> PAGEREF _Toc12074 \h </w:instrText>
      </w:r>
      <w:r>
        <w:fldChar w:fldCharType="separate"/>
      </w:r>
      <w:r>
        <w:t>1</w:t>
      </w:r>
      <w:r>
        <w:fldChar w:fldCharType="end"/>
      </w:r>
      <w:r>
        <w:rPr>
          <w:rFonts w:ascii="Times New Roman"/>
          <w:kern w:val="2"/>
          <w:szCs w:val="21"/>
        </w:rPr>
        <w:fldChar w:fldCharType="end"/>
      </w:r>
    </w:p>
    <w:p w14:paraId="0A40A236">
      <w:pPr>
        <w:pStyle w:val="20"/>
        <w:tabs>
          <w:tab w:val="right" w:leader="dot" w:pos="9355"/>
          <w:tab w:val="clear" w:pos="9241"/>
        </w:tabs>
      </w:pPr>
      <w:r>
        <w:rPr>
          <w:rFonts w:ascii="Times New Roman"/>
          <w:kern w:val="2"/>
          <w:szCs w:val="21"/>
        </w:rPr>
        <w:fldChar w:fldCharType="begin"/>
      </w:r>
      <w:r>
        <w:rPr>
          <w:rFonts w:ascii="Times New Roman"/>
          <w:kern w:val="2"/>
          <w:szCs w:val="21"/>
        </w:rPr>
        <w:instrText xml:space="preserve"> HYPERLINK \l _Toc12306 </w:instrText>
      </w:r>
      <w:r>
        <w:rPr>
          <w:rFonts w:ascii="Times New Roman"/>
          <w:kern w:val="2"/>
          <w:szCs w:val="21"/>
        </w:rPr>
        <w:fldChar w:fldCharType="separate"/>
      </w:r>
      <w:r>
        <w:rPr>
          <w:rFonts w:hint="eastAsia" w:ascii="黑体" w:hAnsi="Times New Roman" w:eastAsia="黑体"/>
          <w:i w:val="0"/>
          <w:szCs w:val="21"/>
        </w:rPr>
        <w:t xml:space="preserve">3 </w:t>
      </w:r>
      <w:r>
        <w:rPr>
          <w:rFonts w:ascii="Times New Roman"/>
        </w:rPr>
        <w:t>术语</w:t>
      </w:r>
      <w:r>
        <w:rPr>
          <w:rFonts w:hint="eastAsia" w:ascii="Times New Roman"/>
        </w:rPr>
        <w:t>和</w:t>
      </w:r>
      <w:r>
        <w:rPr>
          <w:rFonts w:ascii="Times New Roman"/>
        </w:rPr>
        <w:t>定义</w:t>
      </w:r>
      <w:r>
        <w:tab/>
      </w:r>
      <w:r>
        <w:fldChar w:fldCharType="begin"/>
      </w:r>
      <w:r>
        <w:instrText xml:space="preserve"> PAGEREF _Toc12306 \h </w:instrText>
      </w:r>
      <w:r>
        <w:fldChar w:fldCharType="separate"/>
      </w:r>
      <w:r>
        <w:t>1</w:t>
      </w:r>
      <w:r>
        <w:fldChar w:fldCharType="end"/>
      </w:r>
      <w:r>
        <w:rPr>
          <w:rFonts w:ascii="Times New Roman"/>
          <w:kern w:val="2"/>
          <w:szCs w:val="21"/>
        </w:rPr>
        <w:fldChar w:fldCharType="end"/>
      </w:r>
    </w:p>
    <w:p w14:paraId="29081A0A">
      <w:pPr>
        <w:pStyle w:val="20"/>
        <w:tabs>
          <w:tab w:val="right" w:leader="dot" w:pos="9355"/>
          <w:tab w:val="clear" w:pos="9241"/>
        </w:tabs>
      </w:pPr>
      <w:r>
        <w:rPr>
          <w:rFonts w:ascii="Times New Roman"/>
          <w:kern w:val="2"/>
          <w:szCs w:val="21"/>
        </w:rPr>
        <w:fldChar w:fldCharType="begin"/>
      </w:r>
      <w:r>
        <w:rPr>
          <w:rFonts w:ascii="Times New Roman"/>
          <w:kern w:val="2"/>
          <w:szCs w:val="21"/>
        </w:rPr>
        <w:instrText xml:space="preserve"> HYPERLINK \l _Toc29674 </w:instrText>
      </w:r>
      <w:r>
        <w:rPr>
          <w:rFonts w:ascii="Times New Roman"/>
          <w:kern w:val="2"/>
          <w:szCs w:val="21"/>
        </w:rPr>
        <w:fldChar w:fldCharType="separate"/>
      </w:r>
      <w:r>
        <w:rPr>
          <w:rFonts w:hint="eastAsia" w:ascii="黑体" w:hAnsi="Times New Roman" w:eastAsia="黑体"/>
          <w:i w:val="0"/>
          <w:szCs w:val="21"/>
        </w:rPr>
        <w:t xml:space="preserve">4 </w:t>
      </w:r>
      <w:r>
        <w:rPr>
          <w:rFonts w:hint="eastAsia" w:ascii="Times New Roman"/>
        </w:rPr>
        <w:t>原理</w:t>
      </w:r>
      <w:r>
        <w:tab/>
      </w:r>
      <w:r>
        <w:fldChar w:fldCharType="begin"/>
      </w:r>
      <w:r>
        <w:instrText xml:space="preserve"> PAGEREF _Toc29674 \h </w:instrText>
      </w:r>
      <w:r>
        <w:fldChar w:fldCharType="separate"/>
      </w:r>
      <w:r>
        <w:t>2</w:t>
      </w:r>
      <w:r>
        <w:fldChar w:fldCharType="end"/>
      </w:r>
      <w:r>
        <w:rPr>
          <w:rFonts w:ascii="Times New Roman"/>
          <w:kern w:val="2"/>
          <w:szCs w:val="21"/>
        </w:rPr>
        <w:fldChar w:fldCharType="end"/>
      </w:r>
    </w:p>
    <w:p w14:paraId="3A83B4BC">
      <w:pPr>
        <w:pStyle w:val="20"/>
        <w:tabs>
          <w:tab w:val="right" w:leader="dot" w:pos="9355"/>
          <w:tab w:val="clear" w:pos="9241"/>
        </w:tabs>
      </w:pPr>
      <w:r>
        <w:rPr>
          <w:rFonts w:ascii="Times New Roman"/>
          <w:kern w:val="2"/>
          <w:szCs w:val="21"/>
        </w:rPr>
        <w:fldChar w:fldCharType="begin"/>
      </w:r>
      <w:r>
        <w:rPr>
          <w:rFonts w:ascii="Times New Roman"/>
          <w:kern w:val="2"/>
          <w:szCs w:val="21"/>
        </w:rPr>
        <w:instrText xml:space="preserve"> HYPERLINK \l _Toc1955 </w:instrText>
      </w:r>
      <w:r>
        <w:rPr>
          <w:rFonts w:ascii="Times New Roman"/>
          <w:kern w:val="2"/>
          <w:szCs w:val="21"/>
        </w:rPr>
        <w:fldChar w:fldCharType="separate"/>
      </w:r>
      <w:r>
        <w:rPr>
          <w:rFonts w:hint="eastAsia" w:ascii="黑体" w:hAnsi="Times New Roman" w:eastAsia="黑体"/>
          <w:i w:val="0"/>
          <w:szCs w:val="21"/>
        </w:rPr>
        <w:t xml:space="preserve">5 </w:t>
      </w:r>
      <w:r>
        <w:rPr>
          <w:rFonts w:hint="eastAsia" w:ascii="Times New Roman"/>
        </w:rPr>
        <w:t>仪器和试剂</w:t>
      </w:r>
      <w:r>
        <w:tab/>
      </w:r>
      <w:r>
        <w:fldChar w:fldCharType="begin"/>
      </w:r>
      <w:r>
        <w:instrText xml:space="preserve"> PAGEREF _Toc1955 \h </w:instrText>
      </w:r>
      <w:r>
        <w:fldChar w:fldCharType="separate"/>
      </w:r>
      <w:r>
        <w:t>3</w:t>
      </w:r>
      <w:r>
        <w:fldChar w:fldCharType="end"/>
      </w:r>
      <w:r>
        <w:rPr>
          <w:rFonts w:ascii="Times New Roman"/>
          <w:kern w:val="2"/>
          <w:szCs w:val="21"/>
        </w:rPr>
        <w:fldChar w:fldCharType="end"/>
      </w:r>
    </w:p>
    <w:p w14:paraId="128E3176">
      <w:pPr>
        <w:pStyle w:val="20"/>
        <w:tabs>
          <w:tab w:val="right" w:leader="dot" w:pos="9355"/>
          <w:tab w:val="clear" w:pos="9241"/>
        </w:tabs>
      </w:pPr>
      <w:r>
        <w:rPr>
          <w:rFonts w:ascii="Times New Roman"/>
          <w:kern w:val="2"/>
          <w:szCs w:val="21"/>
        </w:rPr>
        <w:fldChar w:fldCharType="begin"/>
      </w:r>
      <w:r>
        <w:rPr>
          <w:rFonts w:ascii="Times New Roman"/>
          <w:kern w:val="2"/>
          <w:szCs w:val="21"/>
        </w:rPr>
        <w:instrText xml:space="preserve"> HYPERLINK \l _Toc21993 </w:instrText>
      </w:r>
      <w:r>
        <w:rPr>
          <w:rFonts w:ascii="Times New Roman"/>
          <w:kern w:val="2"/>
          <w:szCs w:val="21"/>
        </w:rPr>
        <w:fldChar w:fldCharType="separate"/>
      </w:r>
      <w:r>
        <w:rPr>
          <w:rFonts w:hint="eastAsia" w:ascii="黑体" w:hAnsi="Times New Roman" w:eastAsia="黑体"/>
          <w:i w:val="0"/>
          <w:szCs w:val="21"/>
        </w:rPr>
        <w:t xml:space="preserve">6 </w:t>
      </w:r>
      <w:r>
        <w:rPr>
          <w:rFonts w:hint="eastAsia" w:ascii="Times New Roman"/>
        </w:rPr>
        <w:t>测试步骤</w:t>
      </w:r>
      <w:r>
        <w:tab/>
      </w:r>
      <w:r>
        <w:fldChar w:fldCharType="begin"/>
      </w:r>
      <w:r>
        <w:instrText xml:space="preserve"> PAGEREF _Toc21993 \h </w:instrText>
      </w:r>
      <w:r>
        <w:fldChar w:fldCharType="separate"/>
      </w:r>
      <w:r>
        <w:t>4</w:t>
      </w:r>
      <w:r>
        <w:fldChar w:fldCharType="end"/>
      </w:r>
      <w:r>
        <w:rPr>
          <w:rFonts w:ascii="Times New Roman"/>
          <w:kern w:val="2"/>
          <w:szCs w:val="21"/>
        </w:rPr>
        <w:fldChar w:fldCharType="end"/>
      </w:r>
    </w:p>
    <w:p w14:paraId="47F9C948">
      <w:pPr>
        <w:pStyle w:val="20"/>
        <w:tabs>
          <w:tab w:val="right" w:leader="dot" w:pos="9355"/>
          <w:tab w:val="clear" w:pos="9241"/>
        </w:tabs>
      </w:pPr>
      <w:r>
        <w:rPr>
          <w:rFonts w:ascii="Times New Roman"/>
          <w:kern w:val="2"/>
          <w:szCs w:val="21"/>
        </w:rPr>
        <w:fldChar w:fldCharType="begin"/>
      </w:r>
      <w:r>
        <w:rPr>
          <w:rFonts w:ascii="Times New Roman"/>
          <w:kern w:val="2"/>
          <w:szCs w:val="21"/>
        </w:rPr>
        <w:instrText xml:space="preserve"> HYPERLINK \l _Toc6455 </w:instrText>
      </w:r>
      <w:r>
        <w:rPr>
          <w:rFonts w:ascii="Times New Roman"/>
          <w:kern w:val="2"/>
          <w:szCs w:val="21"/>
        </w:rPr>
        <w:fldChar w:fldCharType="separate"/>
      </w:r>
      <w:r>
        <w:rPr>
          <w:rFonts w:hint="eastAsia" w:ascii="黑体" w:hAnsi="Times New Roman" w:eastAsia="黑体"/>
          <w:i w:val="0"/>
          <w:szCs w:val="21"/>
        </w:rPr>
        <w:t xml:space="preserve">7 </w:t>
      </w:r>
      <w:r>
        <w:rPr>
          <w:rFonts w:hint="eastAsia" w:ascii="Times New Roman"/>
        </w:rPr>
        <w:t>数据分析及结果表达</w:t>
      </w:r>
      <w:r>
        <w:tab/>
      </w:r>
      <w:r>
        <w:fldChar w:fldCharType="begin"/>
      </w:r>
      <w:r>
        <w:instrText xml:space="preserve"> PAGEREF _Toc6455 \h </w:instrText>
      </w:r>
      <w:r>
        <w:fldChar w:fldCharType="separate"/>
      </w:r>
      <w:r>
        <w:t>4</w:t>
      </w:r>
      <w:r>
        <w:fldChar w:fldCharType="end"/>
      </w:r>
      <w:r>
        <w:rPr>
          <w:rFonts w:ascii="Times New Roman"/>
          <w:kern w:val="2"/>
          <w:szCs w:val="21"/>
        </w:rPr>
        <w:fldChar w:fldCharType="end"/>
      </w:r>
    </w:p>
    <w:p w14:paraId="6E5E9FA7">
      <w:pPr>
        <w:pStyle w:val="20"/>
        <w:tabs>
          <w:tab w:val="right" w:leader="dot" w:pos="9355"/>
          <w:tab w:val="clear" w:pos="9241"/>
        </w:tabs>
      </w:pPr>
      <w:r>
        <w:rPr>
          <w:rFonts w:ascii="Times New Roman"/>
          <w:kern w:val="2"/>
          <w:szCs w:val="21"/>
        </w:rPr>
        <w:fldChar w:fldCharType="begin"/>
      </w:r>
      <w:r>
        <w:rPr>
          <w:rFonts w:ascii="Times New Roman"/>
          <w:kern w:val="2"/>
          <w:szCs w:val="21"/>
        </w:rPr>
        <w:instrText xml:space="preserve"> HYPERLINK \l _Toc9629 </w:instrText>
      </w:r>
      <w:r>
        <w:rPr>
          <w:rFonts w:ascii="Times New Roman"/>
          <w:kern w:val="2"/>
          <w:szCs w:val="21"/>
        </w:rPr>
        <w:fldChar w:fldCharType="separate"/>
      </w:r>
      <w:r>
        <w:rPr>
          <w:rFonts w:hint="eastAsia" w:ascii="黑体" w:hAnsi="Times New Roman" w:eastAsia="黑体"/>
          <w:i w:val="0"/>
          <w:szCs w:val="21"/>
        </w:rPr>
        <w:t xml:space="preserve">8 </w:t>
      </w:r>
      <w:r>
        <w:rPr>
          <w:rFonts w:hint="eastAsia" w:ascii="Times New Roman"/>
        </w:rPr>
        <w:t>不确定度</w:t>
      </w:r>
      <w:r>
        <w:tab/>
      </w:r>
      <w:r>
        <w:fldChar w:fldCharType="begin"/>
      </w:r>
      <w:r>
        <w:instrText xml:space="preserve"> PAGEREF _Toc9629 \h </w:instrText>
      </w:r>
      <w:r>
        <w:fldChar w:fldCharType="separate"/>
      </w:r>
      <w:r>
        <w:t>4</w:t>
      </w:r>
      <w:r>
        <w:fldChar w:fldCharType="end"/>
      </w:r>
      <w:r>
        <w:rPr>
          <w:rFonts w:ascii="Times New Roman"/>
          <w:kern w:val="2"/>
          <w:szCs w:val="21"/>
        </w:rPr>
        <w:fldChar w:fldCharType="end"/>
      </w:r>
    </w:p>
    <w:p w14:paraId="1ECF756B">
      <w:pPr>
        <w:pStyle w:val="20"/>
        <w:tabs>
          <w:tab w:val="right" w:leader="dot" w:pos="9355"/>
          <w:tab w:val="clear" w:pos="9241"/>
        </w:tabs>
        <w:rPr>
          <w:rFonts w:ascii="Times New Roman"/>
          <w:kern w:val="2"/>
          <w:szCs w:val="21"/>
        </w:rPr>
      </w:pPr>
      <w:r>
        <w:rPr>
          <w:rFonts w:ascii="Times New Roman"/>
          <w:kern w:val="2"/>
          <w:szCs w:val="21"/>
        </w:rPr>
        <w:fldChar w:fldCharType="begin"/>
      </w:r>
      <w:r>
        <w:rPr>
          <w:rFonts w:ascii="Times New Roman"/>
          <w:kern w:val="2"/>
          <w:szCs w:val="21"/>
        </w:rPr>
        <w:instrText xml:space="preserve"> HYPERLINK \l _Toc7021 </w:instrText>
      </w:r>
      <w:r>
        <w:rPr>
          <w:rFonts w:ascii="Times New Roman"/>
          <w:kern w:val="2"/>
          <w:szCs w:val="21"/>
        </w:rPr>
        <w:fldChar w:fldCharType="separate"/>
      </w:r>
      <w:r>
        <w:rPr>
          <w:rFonts w:hint="eastAsia" w:ascii="黑体" w:hAnsi="Times New Roman" w:eastAsia="黑体"/>
          <w:i w:val="0"/>
          <w:szCs w:val="21"/>
        </w:rPr>
        <w:t xml:space="preserve">9 </w:t>
      </w:r>
      <w:r>
        <w:rPr>
          <w:rFonts w:hint="eastAsia" w:ascii="Times New Roman"/>
        </w:rPr>
        <w:t>测试报告</w:t>
      </w:r>
      <w:r>
        <w:tab/>
      </w:r>
      <w:r>
        <w:fldChar w:fldCharType="begin"/>
      </w:r>
      <w:r>
        <w:instrText xml:space="preserve"> PAGEREF _Toc7021 \h </w:instrText>
      </w:r>
      <w:r>
        <w:fldChar w:fldCharType="separate"/>
      </w:r>
      <w:r>
        <w:t>4</w:t>
      </w:r>
      <w:r>
        <w:fldChar w:fldCharType="end"/>
      </w:r>
      <w:r>
        <w:rPr>
          <w:rFonts w:ascii="Times New Roman"/>
          <w:kern w:val="2"/>
          <w:szCs w:val="21"/>
        </w:rPr>
        <w:fldChar w:fldCharType="end"/>
      </w:r>
    </w:p>
    <w:p w14:paraId="7C67E436">
      <w:pPr>
        <w:pStyle w:val="20"/>
        <w:tabs>
          <w:tab w:val="right" w:leader="dot" w:pos="9355"/>
          <w:tab w:val="clear" w:pos="9241"/>
        </w:tabs>
      </w:pPr>
      <w:r>
        <w:rPr>
          <w:rFonts w:ascii="Times New Roman"/>
          <w:kern w:val="2"/>
          <w:szCs w:val="21"/>
        </w:rPr>
        <w:fldChar w:fldCharType="begin"/>
      </w:r>
      <w:r>
        <w:rPr>
          <w:rFonts w:ascii="Times New Roman"/>
          <w:kern w:val="2"/>
          <w:szCs w:val="21"/>
        </w:rPr>
        <w:instrText xml:space="preserve"> HYPERLINK \l _Toc7021 </w:instrText>
      </w:r>
      <w:r>
        <w:rPr>
          <w:rFonts w:ascii="Times New Roman"/>
          <w:kern w:val="2"/>
          <w:szCs w:val="21"/>
        </w:rPr>
        <w:fldChar w:fldCharType="separate"/>
      </w:r>
      <w:r>
        <w:rPr>
          <w:rFonts w:hint="eastAsia" w:ascii="Times New Roman"/>
          <w:lang w:val="en-US" w:eastAsia="zh-CN"/>
        </w:rPr>
        <w:t>附录</w:t>
      </w:r>
      <w:r>
        <w:rPr>
          <w:rFonts w:hint="eastAsia" w:ascii="黑体" w:hAnsi="Times New Roman" w:eastAsia="黑体"/>
          <w:i w:val="0"/>
          <w:szCs w:val="21"/>
          <w:lang w:val="en-US" w:eastAsia="zh-CN"/>
        </w:rPr>
        <w:t>A</w:t>
      </w:r>
      <w:r>
        <w:rPr>
          <w:rStyle w:val="42"/>
          <w:rFonts w:hint="eastAsia"/>
        </w:rPr>
        <w:t>(资料性)</w:t>
      </w:r>
      <w:r>
        <w:tab/>
      </w:r>
      <w:r>
        <w:rPr>
          <w:rFonts w:hint="eastAsia"/>
          <w:lang w:val="en-US" w:eastAsia="zh-CN"/>
        </w:rPr>
        <w:t>6</w:t>
      </w:r>
      <w:r>
        <w:rPr>
          <w:rFonts w:ascii="Times New Roman"/>
          <w:kern w:val="2"/>
          <w:szCs w:val="21"/>
        </w:rPr>
        <w:fldChar w:fldCharType="end"/>
      </w:r>
    </w:p>
    <w:p w14:paraId="4D21B616">
      <w:pPr>
        <w:pStyle w:val="20"/>
        <w:tabs>
          <w:tab w:val="right" w:leader="dot" w:pos="9355"/>
          <w:tab w:val="clear" w:pos="9241"/>
        </w:tabs>
      </w:pPr>
      <w:r>
        <w:rPr>
          <w:rFonts w:ascii="Times New Roman"/>
          <w:kern w:val="2"/>
          <w:szCs w:val="21"/>
        </w:rPr>
        <w:fldChar w:fldCharType="begin"/>
      </w:r>
      <w:r>
        <w:rPr>
          <w:rFonts w:ascii="Times New Roman"/>
          <w:kern w:val="2"/>
          <w:szCs w:val="21"/>
        </w:rPr>
        <w:instrText xml:space="preserve"> HYPERLINK \l _Toc20257 </w:instrText>
      </w:r>
      <w:r>
        <w:rPr>
          <w:rFonts w:ascii="Times New Roman"/>
          <w:kern w:val="2"/>
          <w:szCs w:val="21"/>
        </w:rPr>
        <w:fldChar w:fldCharType="separate"/>
      </w:r>
      <w:r>
        <w:rPr>
          <w:rFonts w:hint="eastAsia"/>
        </w:rPr>
        <w:t>参</w:t>
      </w:r>
      <w:r>
        <w:rPr>
          <w:rFonts w:hAnsi="黑体"/>
        </w:rPr>
        <w:t> </w:t>
      </w:r>
      <w:r>
        <w:rPr>
          <w:rFonts w:hint="eastAsia"/>
        </w:rPr>
        <w:t>考</w:t>
      </w:r>
      <w:r>
        <w:rPr>
          <w:rFonts w:hAnsi="黑体"/>
        </w:rPr>
        <w:t> </w:t>
      </w:r>
      <w:r>
        <w:rPr>
          <w:rFonts w:hint="eastAsia"/>
        </w:rPr>
        <w:t>文</w:t>
      </w:r>
      <w:r>
        <w:rPr>
          <w:rFonts w:hAnsi="黑体"/>
        </w:rPr>
        <w:t> </w:t>
      </w:r>
      <w:r>
        <w:rPr>
          <w:rFonts w:hint="eastAsia"/>
        </w:rPr>
        <w:t>献</w:t>
      </w:r>
      <w:r>
        <w:tab/>
      </w:r>
      <w:r>
        <w:fldChar w:fldCharType="begin"/>
      </w:r>
      <w:r>
        <w:instrText xml:space="preserve"> PAGEREF _Toc20257 \h </w:instrText>
      </w:r>
      <w:r>
        <w:fldChar w:fldCharType="separate"/>
      </w:r>
      <w:r>
        <w:t>8</w:t>
      </w:r>
      <w:r>
        <w:fldChar w:fldCharType="end"/>
      </w:r>
      <w:r>
        <w:rPr>
          <w:rFonts w:ascii="Times New Roman"/>
          <w:kern w:val="2"/>
          <w:szCs w:val="21"/>
        </w:rPr>
        <w:fldChar w:fldCharType="end"/>
      </w:r>
    </w:p>
    <w:p w14:paraId="7A7D4BB3">
      <w:pPr>
        <w:pStyle w:val="24"/>
        <w:rPr>
          <w:rFonts w:ascii="Times New Roman"/>
        </w:rPr>
      </w:pPr>
      <w:r>
        <w:rPr>
          <w:rFonts w:ascii="Times New Roman"/>
          <w:kern w:val="2"/>
          <w:szCs w:val="21"/>
        </w:rPr>
        <w:fldChar w:fldCharType="end"/>
      </w:r>
    </w:p>
    <w:p w14:paraId="33CE00C6">
      <w:pPr>
        <w:pStyle w:val="116"/>
        <w:tabs>
          <w:tab w:val="center" w:pos="4677"/>
        </w:tabs>
        <w:rPr>
          <w:rFonts w:ascii="Times New Roman"/>
        </w:rPr>
      </w:pPr>
      <w:bookmarkStart w:id="24" w:name="_Toc428177671"/>
      <w:bookmarkStart w:id="25" w:name="_Toc18447"/>
      <w:r>
        <w:rPr>
          <w:rFonts w:ascii="Times New Roman"/>
        </w:rPr>
        <w:t>前</w:t>
      </w:r>
      <w:bookmarkStart w:id="26" w:name="BKQY"/>
      <w:r>
        <w:rPr>
          <w:rFonts w:ascii="Times New Roman"/>
        </w:rPr>
        <w:t>  言</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4"/>
      <w:bookmarkEnd w:id="25"/>
      <w:bookmarkEnd w:id="26"/>
    </w:p>
    <w:p w14:paraId="01007164">
      <w:pPr>
        <w:pStyle w:val="24"/>
        <w:rPr>
          <w:rFonts w:ascii="Times New Roman"/>
        </w:rPr>
      </w:pPr>
      <w:r>
        <w:rPr>
          <w:rFonts w:ascii="Times New Roman" w:hAnsi="宋体"/>
        </w:rPr>
        <w:t>本</w:t>
      </w:r>
      <w:r>
        <w:rPr>
          <w:rFonts w:hint="eastAsia" w:ascii="Times New Roman" w:hAnsi="宋体"/>
        </w:rPr>
        <w:t>文件</w:t>
      </w:r>
      <w:r>
        <w:rPr>
          <w:rFonts w:ascii="Times New Roman" w:hAnsi="宋体"/>
        </w:rPr>
        <w:t>按照</w:t>
      </w:r>
      <w:r>
        <w:rPr>
          <w:rFonts w:ascii="Times New Roman"/>
        </w:rPr>
        <w:t>GB/T 1.1—2020《标准化工作导则 第1部分：标准化文件的结构和起草规则》</w:t>
      </w:r>
      <w:r>
        <w:rPr>
          <w:rFonts w:hint="eastAsia" w:ascii="Times New Roman" w:hAnsi="宋体"/>
        </w:rPr>
        <w:t>的规定</w:t>
      </w:r>
      <w:r>
        <w:rPr>
          <w:rFonts w:ascii="Times New Roman" w:hAnsi="宋体"/>
        </w:rPr>
        <w:t>起草。</w:t>
      </w:r>
    </w:p>
    <w:p w14:paraId="023281BA">
      <w:pPr>
        <w:pStyle w:val="24"/>
        <w:rPr>
          <w:rFonts w:ascii="Times New Roman"/>
        </w:rPr>
      </w:pPr>
      <w:r>
        <w:rPr>
          <w:rFonts w:hint="eastAsia" w:ascii="Times New Roman" w:hAnsi="宋体"/>
        </w:rPr>
        <w:t>请注意</w:t>
      </w:r>
      <w:r>
        <w:rPr>
          <w:rFonts w:ascii="Times New Roman" w:hAnsi="宋体"/>
        </w:rPr>
        <w:t>本</w:t>
      </w:r>
      <w:r>
        <w:rPr>
          <w:rFonts w:hint="eastAsia" w:ascii="Times New Roman" w:hAnsi="宋体"/>
        </w:rPr>
        <w:t>文件</w:t>
      </w:r>
      <w:r>
        <w:rPr>
          <w:rFonts w:ascii="Times New Roman" w:hAnsi="宋体"/>
        </w:rPr>
        <w:t>的某些内容可能涉及专利</w:t>
      </w:r>
      <w:r>
        <w:rPr>
          <w:rFonts w:hint="eastAsia" w:ascii="Times New Roman" w:hAnsi="宋体"/>
        </w:rPr>
        <w:t>。</w:t>
      </w:r>
      <w:r>
        <w:rPr>
          <w:rFonts w:ascii="Times New Roman" w:hAnsi="宋体"/>
        </w:rPr>
        <w:t>本文件的发布机构不承担识别这些专利的责任。</w:t>
      </w:r>
    </w:p>
    <w:p w14:paraId="66A77E21">
      <w:pPr>
        <w:pStyle w:val="24"/>
        <w:spacing w:before="50"/>
        <w:rPr>
          <w:rFonts w:ascii="Times New Roman"/>
        </w:rPr>
      </w:pPr>
      <w:r>
        <w:rPr>
          <w:rFonts w:ascii="Times New Roman" w:hAnsi="宋体"/>
        </w:rPr>
        <w:t>本</w:t>
      </w:r>
      <w:r>
        <w:rPr>
          <w:rFonts w:hint="eastAsia" w:ascii="Times New Roman" w:hAnsi="宋体"/>
        </w:rPr>
        <w:t>文件</w:t>
      </w:r>
      <w:r>
        <w:rPr>
          <w:rFonts w:ascii="Times New Roman" w:hAnsi="宋体"/>
        </w:rPr>
        <w:t>由</w:t>
      </w:r>
      <w:r>
        <w:rPr>
          <w:rFonts w:hint="eastAsia" w:ascii="Times New Roman" w:hAnsi="宋体"/>
        </w:rPr>
        <w:t>中国生物材料学会</w:t>
      </w:r>
      <w:r>
        <w:rPr>
          <w:rFonts w:ascii="Times New Roman" w:hAnsi="宋体"/>
        </w:rPr>
        <w:t>提出。</w:t>
      </w:r>
    </w:p>
    <w:p w14:paraId="429EB5B8">
      <w:pPr>
        <w:pStyle w:val="24"/>
        <w:spacing w:before="50"/>
        <w:rPr>
          <w:rFonts w:ascii="Times New Roman"/>
        </w:rPr>
      </w:pPr>
      <w:r>
        <w:rPr>
          <w:rFonts w:ascii="Times New Roman" w:hAnsi="宋体"/>
        </w:rPr>
        <w:t>本</w:t>
      </w:r>
      <w:r>
        <w:rPr>
          <w:rFonts w:hint="eastAsia" w:ascii="Times New Roman" w:hAnsi="宋体"/>
        </w:rPr>
        <w:t>文件</w:t>
      </w:r>
      <w:r>
        <w:rPr>
          <w:rFonts w:ascii="Times New Roman" w:hAnsi="宋体"/>
        </w:rPr>
        <w:t>由</w:t>
      </w:r>
      <w:r>
        <w:rPr>
          <w:rFonts w:hint="eastAsia" w:ascii="Times New Roman" w:hAnsi="宋体"/>
        </w:rPr>
        <w:t>中国生物材料学会标准</w:t>
      </w:r>
      <w:r>
        <w:rPr>
          <w:rFonts w:hint="eastAsia" w:ascii="Times New Roman" w:hAnsi="宋体"/>
          <w:lang w:val="en-US" w:eastAsia="zh-CN"/>
        </w:rPr>
        <w:t>工作委员会</w:t>
      </w:r>
      <w:r>
        <w:rPr>
          <w:rFonts w:ascii="Times New Roman" w:hAnsi="宋体"/>
        </w:rPr>
        <w:t>归口。</w:t>
      </w:r>
    </w:p>
    <w:p w14:paraId="5DAE3CBE">
      <w:pPr>
        <w:spacing w:before="50"/>
        <w:ind w:firstLine="420" w:firstLineChars="200"/>
      </w:pPr>
      <w:r>
        <w:t>本</w:t>
      </w:r>
      <w:r>
        <w:rPr>
          <w:rFonts w:hint="eastAsia" w:hAnsi="宋体"/>
        </w:rPr>
        <w:t>文件</w:t>
      </w:r>
      <w:r>
        <w:t>起草单位：</w:t>
      </w:r>
      <w:r>
        <w:rPr>
          <w:rFonts w:hint="eastAsia"/>
        </w:rPr>
        <w:t>国家纳米科学中心等</w:t>
      </w:r>
    </w:p>
    <w:p w14:paraId="005D2A41">
      <w:pPr>
        <w:pStyle w:val="24"/>
        <w:spacing w:before="50"/>
        <w:rPr>
          <w:rFonts w:hint="default" w:ascii="Times New Roman" w:eastAsia="宋体"/>
          <w:lang w:val="en-US" w:eastAsia="zh-CN"/>
        </w:rPr>
      </w:pPr>
      <w:r>
        <w:rPr>
          <w:rFonts w:ascii="Times New Roman" w:hAnsi="宋体"/>
        </w:rPr>
        <w:t>本</w:t>
      </w:r>
      <w:r>
        <w:rPr>
          <w:rFonts w:hint="eastAsia" w:ascii="Times New Roman" w:hAnsi="宋体"/>
        </w:rPr>
        <w:t>文件</w:t>
      </w:r>
      <w:r>
        <w:rPr>
          <w:rFonts w:ascii="Times New Roman" w:hAnsi="宋体"/>
        </w:rPr>
        <w:t>主要起草人</w:t>
      </w:r>
      <w:r>
        <w:rPr>
          <w:rFonts w:hint="eastAsia" w:ascii="Times New Roman" w:hAnsi="宋体"/>
          <w:lang w:eastAsia="zh-CN"/>
        </w:rPr>
        <w:t>：</w:t>
      </w:r>
      <w:r>
        <w:rPr>
          <w:rFonts w:hint="eastAsia" w:ascii="Times New Roman" w:hAnsi="宋体"/>
          <w:lang w:val="en-US" w:eastAsia="zh-CN"/>
        </w:rPr>
        <w:t>张东慧等。</w:t>
      </w:r>
    </w:p>
    <w:p w14:paraId="578C7B6E">
      <w:pPr>
        <w:pStyle w:val="24"/>
        <w:spacing w:before="50"/>
        <w:ind w:firstLine="0" w:firstLineChars="0"/>
        <w:rPr>
          <w:rFonts w:ascii="Times New Roman"/>
        </w:rPr>
      </w:pPr>
    </w:p>
    <w:p w14:paraId="436815E2">
      <w:pPr>
        <w:pStyle w:val="116"/>
      </w:pPr>
      <w:bookmarkStart w:id="27" w:name="_Toc14816819"/>
      <w:bookmarkStart w:id="28" w:name="_Toc29179"/>
      <w:r>
        <w:rPr>
          <w:rFonts w:hint="eastAsia"/>
        </w:rPr>
        <w:t>引   言</w:t>
      </w:r>
      <w:bookmarkEnd w:id="27"/>
      <w:bookmarkEnd w:id="28"/>
    </w:p>
    <w:p w14:paraId="47EF3998">
      <w:pPr>
        <w:pStyle w:val="46"/>
        <w:numPr>
          <w:ilvl w:val="0"/>
          <w:numId w:val="0"/>
        </w:numPr>
        <w:spacing w:before="156" w:after="156"/>
        <w:ind w:firstLine="420" w:firstLineChars="200"/>
        <w:outlineLvl w:val="9"/>
        <w:rPr>
          <w:rFonts w:hint="default" w:ascii="Times New Roman" w:hAnsi="Times New Roman" w:eastAsia="宋体" w:cs="Times New Roman"/>
          <w:lang w:eastAsia="zh-CN"/>
        </w:rPr>
      </w:pPr>
      <w:r>
        <w:rPr>
          <w:rFonts w:hint="eastAsia" w:ascii="宋体" w:hAnsi="宋体" w:eastAsia="宋体"/>
        </w:rPr>
        <w:t>递送用纳米载</w:t>
      </w:r>
      <w:r>
        <w:rPr>
          <w:rFonts w:hint="default" w:ascii="宋体" w:hAnsi="宋体" w:eastAsia="宋体"/>
        </w:rPr>
        <w:t>体材料，包括脂质体</w:t>
      </w:r>
      <w:r>
        <w:rPr>
          <w:rFonts w:hint="default" w:ascii="Times New Roman" w:hAnsi="Times New Roman" w:eastAsia="宋体" w:cs="Times New Roman"/>
        </w:rPr>
        <w:t>、</w:t>
      </w:r>
      <w:r>
        <w:rPr>
          <w:rFonts w:hint="default" w:ascii="宋体" w:hAnsi="宋体" w:eastAsia="宋体"/>
        </w:rPr>
        <w:t>胶束等，在抗肿瘤药物以及非病毒载体基因药物领域的研究和开发，已成为当</w:t>
      </w:r>
      <w:r>
        <w:rPr>
          <w:rFonts w:hint="default" w:ascii="Times New Roman" w:hAnsi="Times New Roman" w:eastAsia="宋体" w:cs="Times New Roman"/>
        </w:rPr>
        <w:t>前国际医药学界的前沿和热点，是纳米科技中最接近产业化、最具发展前景的方面之一。</w:t>
      </w:r>
    </w:p>
    <w:p w14:paraId="0BBDE0A2">
      <w:pPr>
        <w:pStyle w:val="46"/>
        <w:numPr>
          <w:ilvl w:val="0"/>
          <w:numId w:val="0"/>
        </w:numPr>
        <w:spacing w:before="156" w:after="156"/>
        <w:ind w:firstLine="420" w:firstLineChars="200"/>
        <w:outlineLvl w:val="9"/>
        <w:rPr>
          <w:rFonts w:hint="default" w:ascii="Times New Roman" w:hAnsi="Times New Roman" w:eastAsia="宋体" w:cs="Times New Roman"/>
        </w:rPr>
      </w:pPr>
      <w:r>
        <w:rPr>
          <w:rFonts w:hint="default" w:ascii="Times New Roman" w:hAnsi="Times New Roman" w:eastAsia="宋体" w:cs="Times New Roman"/>
        </w:rPr>
        <w:t>2019年爆发的COVID-19新型冠状肺炎疫情期间，美国Moderna公司成功研发了mRNA疫苗，这是一种脂质体包裹的核酸疫苗，属于以脂质体作为递送材料的新型疫苗。截至目前，我国已经有50多个以纳米材料作为递送载体的医药产品上市，涉及到的递送用纳米材料主要包括多种脂质体（活性成分包括</w:t>
      </w:r>
      <w:r>
        <w:rPr>
          <w:rFonts w:hint="eastAsia" w:ascii="Times New Roman" w:eastAsia="宋体" w:cs="Times New Roman"/>
          <w:lang w:eastAsia="zh-CN"/>
        </w:rPr>
        <w:t>阿糖胞苷</w:t>
      </w:r>
      <w:r>
        <w:rPr>
          <w:rFonts w:hint="default" w:ascii="Times New Roman" w:hAnsi="Times New Roman" w:eastAsia="宋体" w:cs="Times New Roman"/>
        </w:rPr>
        <w:t>、阿霉素、长春新碱、伊立替康、两性霉素B等）、PEG化胶束（活性成分包括紫杉醇、多西他赛、多柔比星、伊立替康等）、氧化铁纳米颗粒、共轭高分子蛋白以及白蛋白结合型纳米分散分子。我国在递送用纳米载体材料领域的研究正处于从量的增加到质的转变关键阶段，未来将有更多产品陆续上市。</w:t>
      </w:r>
    </w:p>
    <w:p w14:paraId="48FAF5E1">
      <w:pPr>
        <w:pStyle w:val="46"/>
        <w:numPr>
          <w:ilvl w:val="0"/>
          <w:numId w:val="0"/>
        </w:numPr>
        <w:spacing w:before="156" w:after="156"/>
        <w:ind w:firstLine="420" w:firstLineChars="200"/>
        <w:outlineLvl w:val="9"/>
        <w:rPr>
          <w:rFonts w:hint="eastAsia" w:ascii="宋体" w:hAnsi="宋体" w:eastAsia="宋体"/>
        </w:rPr>
      </w:pPr>
      <w:r>
        <w:rPr>
          <w:rFonts w:hint="default" w:ascii="Times New Roman" w:hAnsi="Times New Roman" w:eastAsia="宋体" w:cs="Times New Roman"/>
        </w:rPr>
        <w:t>包封率是评价递送用纳米载体材料质量和工艺优劣的重要指标。包封率是指纳米载体材料包封的有效成分量与有效成分总量的比值。包封率测定的关键</w:t>
      </w:r>
      <w:r>
        <w:rPr>
          <w:rFonts w:hint="default" w:ascii="宋体" w:hAnsi="宋体" w:eastAsia="宋体"/>
        </w:rPr>
        <w:t>是分离游离的有效成分，超滤法是一种有效的分离游离分子的方法，但是目前仍缺乏利用超滤法表征递送用纳米载体材料</w:t>
      </w:r>
      <w:r>
        <w:rPr>
          <w:rFonts w:hint="eastAsia" w:ascii="宋体" w:hAnsi="宋体" w:eastAsia="宋体"/>
        </w:rPr>
        <w:t>的方法标准。</w:t>
      </w:r>
    </w:p>
    <w:p w14:paraId="218E8532">
      <w:pPr>
        <w:pStyle w:val="24"/>
        <w:spacing w:before="50"/>
        <w:rPr>
          <w:rFonts w:ascii="Times New Roman"/>
        </w:rPr>
      </w:pPr>
    </w:p>
    <w:p w14:paraId="73988988">
      <w:pPr>
        <w:pStyle w:val="24"/>
        <w:rPr>
          <w:rFonts w:ascii="Times New Roman"/>
        </w:rPr>
        <w:sectPr>
          <w:headerReference r:id="rId6" w:type="first"/>
          <w:headerReference r:id="rId4" w:type="default"/>
          <w:footerReference r:id="rId7" w:type="default"/>
          <w:headerReference r:id="rId5" w:type="even"/>
          <w:pgSz w:w="11906" w:h="16838"/>
          <w:pgMar w:top="567" w:right="1134" w:bottom="1134" w:left="1417" w:header="1418" w:footer="1134" w:gutter="0"/>
          <w:pgNumType w:fmt="upperRoman" w:start="1"/>
          <w:cols w:space="425" w:num="1"/>
          <w:formProt w:val="0"/>
          <w:docGrid w:type="lines" w:linePitch="312" w:charSpace="0"/>
        </w:sectPr>
      </w:pPr>
    </w:p>
    <w:p w14:paraId="3DE1135A">
      <w:pPr>
        <w:pStyle w:val="54"/>
        <w:rPr>
          <w:rFonts w:ascii="Times New Roman"/>
        </w:rPr>
      </w:pPr>
      <w:r>
        <w:rPr>
          <w:rFonts w:hint="eastAsia"/>
        </w:rPr>
        <w:t>递送用纳米载体材料包封率表征 超滤法</w:t>
      </w:r>
    </w:p>
    <w:p w14:paraId="7EB041BA">
      <w:pPr>
        <w:pStyle w:val="49"/>
        <w:spacing w:before="312" w:after="312"/>
        <w:ind w:left="0"/>
        <w:rPr>
          <w:rFonts w:ascii="Times New Roman"/>
        </w:rPr>
      </w:pPr>
      <w:bookmarkStart w:id="29" w:name="_Toc354142463"/>
      <w:bookmarkStart w:id="30" w:name="_Toc354142628"/>
      <w:bookmarkStart w:id="31" w:name="_Toc338685858"/>
      <w:bookmarkStart w:id="32" w:name="_Toc343596937"/>
      <w:bookmarkStart w:id="33" w:name="_Toc374444821"/>
      <w:bookmarkStart w:id="34" w:name="_Toc398301038"/>
      <w:bookmarkStart w:id="35" w:name="_Toc354142268"/>
      <w:bookmarkStart w:id="36" w:name="_Toc358964228"/>
      <w:bookmarkStart w:id="37" w:name="_Toc338604799"/>
      <w:bookmarkStart w:id="38" w:name="_Toc342665738"/>
      <w:bookmarkStart w:id="39" w:name="_Toc342589524"/>
      <w:bookmarkStart w:id="40" w:name="_Toc338060691"/>
      <w:bookmarkStart w:id="41" w:name="_Toc7967"/>
      <w:bookmarkStart w:id="42" w:name="_Toc338754585"/>
      <w:bookmarkStart w:id="43" w:name="_Toc340491279"/>
      <w:bookmarkStart w:id="44" w:name="_Toc428177672"/>
      <w:bookmarkStart w:id="45" w:name="_Toc338060634"/>
      <w:r>
        <w:rPr>
          <w:rFonts w:ascii="Times New Roman"/>
        </w:rPr>
        <w:t>范围</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53572EE9">
      <w:pPr>
        <w:pStyle w:val="24"/>
        <w:rPr>
          <w:rFonts w:hint="eastAsia" w:ascii="Times New Roman" w:hAnsi="宋体"/>
        </w:rPr>
      </w:pPr>
      <w:bookmarkStart w:id="46" w:name="_Toc374444822"/>
      <w:bookmarkStart w:id="47" w:name="_Toc354142269"/>
      <w:bookmarkStart w:id="48" w:name="_Toc398301039"/>
      <w:bookmarkStart w:id="49" w:name="_Toc358964229"/>
      <w:bookmarkStart w:id="50" w:name="_Toc354142464"/>
      <w:bookmarkStart w:id="51" w:name="_Toc428177673"/>
      <w:bookmarkStart w:id="52" w:name="_Toc354142629"/>
      <w:bookmarkStart w:id="53" w:name="_Toc338060692"/>
      <w:bookmarkStart w:id="54" w:name="_Toc338685859"/>
      <w:bookmarkStart w:id="55" w:name="_Toc338060635"/>
      <w:bookmarkStart w:id="56" w:name="_Toc342665739"/>
      <w:bookmarkStart w:id="57" w:name="_Toc342589525"/>
      <w:bookmarkStart w:id="58" w:name="_Toc338604800"/>
      <w:bookmarkStart w:id="59" w:name="_Toc338754586"/>
      <w:bookmarkStart w:id="60" w:name="_Toc343596938"/>
      <w:bookmarkStart w:id="61" w:name="_Toc340491280"/>
      <w:r>
        <w:rPr>
          <w:rFonts w:hint="eastAsia" w:ascii="Times New Roman" w:hAnsi="宋体"/>
        </w:rPr>
        <w:t>本文件提供了利用超滤法评估递送用纳米载体材料的包封率时应遵循的步骤和注意事项。</w:t>
      </w:r>
    </w:p>
    <w:p w14:paraId="6869BB8B">
      <w:pPr>
        <w:pStyle w:val="24"/>
        <w:rPr>
          <w:rFonts w:hint="eastAsia" w:ascii="Times New Roman" w:hAnsi="宋体"/>
        </w:rPr>
      </w:pPr>
      <w:r>
        <w:rPr>
          <w:rFonts w:hint="eastAsia" w:ascii="Times New Roman" w:hAnsi="宋体"/>
        </w:rPr>
        <w:t>本文件适用于分析纳米胶束、脂质体和白蛋白等递送载体材料包封率的测量</w:t>
      </w:r>
      <w:r>
        <w:rPr>
          <w:rFonts w:hint="eastAsia"/>
          <w:color w:val="000000"/>
        </w:rPr>
        <w:t>，</w:t>
      </w:r>
      <w:r>
        <w:rPr>
          <w:rFonts w:hint="eastAsia" w:ascii="Times New Roman" w:hAnsi="宋体"/>
        </w:rPr>
        <w:t>其它递送用纳米载体材料可参照执行。</w:t>
      </w:r>
    </w:p>
    <w:p w14:paraId="0CCACC02">
      <w:pPr>
        <w:pStyle w:val="49"/>
        <w:spacing w:before="312" w:after="312"/>
        <w:ind w:left="0"/>
        <w:rPr>
          <w:rFonts w:ascii="Times New Roman"/>
        </w:rPr>
      </w:pPr>
      <w:bookmarkStart w:id="62" w:name="_Toc12074"/>
      <w:r>
        <w:rPr>
          <w:rFonts w:ascii="Times New Roman"/>
        </w:rPr>
        <w:t>规范性引用文件</w:t>
      </w:r>
      <w:bookmarkEnd w:id="46"/>
      <w:bookmarkEnd w:id="47"/>
      <w:bookmarkEnd w:id="48"/>
      <w:bookmarkEnd w:id="49"/>
      <w:bookmarkEnd w:id="50"/>
      <w:bookmarkEnd w:id="51"/>
      <w:bookmarkEnd w:id="52"/>
      <w:bookmarkEnd w:id="62"/>
    </w:p>
    <w:p w14:paraId="5B011203">
      <w:pPr>
        <w:pStyle w:val="24"/>
        <w:rPr>
          <w:rFonts w:ascii="Times New Roman"/>
        </w:rPr>
      </w:pPr>
      <w:r>
        <w:rPr>
          <w:rFonts w:hint="eastAsia"/>
          <w:color w:val="000000"/>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531CDA26">
      <w:pPr>
        <w:pStyle w:val="24"/>
        <w:rPr>
          <w:rFonts w:ascii="Times New Roman"/>
        </w:rPr>
      </w:pPr>
      <w:r>
        <w:rPr>
          <w:rFonts w:hint="eastAsia" w:ascii="Times New Roman"/>
        </w:rPr>
        <w:t>GB/T 50902—2013 医药工程基本术语标准</w:t>
      </w:r>
    </w:p>
    <w:p w14:paraId="571DB5DE">
      <w:pPr>
        <w:pStyle w:val="49"/>
        <w:spacing w:before="312" w:after="312"/>
        <w:ind w:left="0"/>
        <w:rPr>
          <w:rFonts w:ascii="Times New Roman" w:eastAsia="宋体"/>
        </w:rPr>
      </w:pPr>
      <w:bookmarkStart w:id="63" w:name="_Toc398301040"/>
      <w:bookmarkStart w:id="64" w:name="_Toc354142270"/>
      <w:bookmarkStart w:id="65" w:name="_Toc354142465"/>
      <w:bookmarkStart w:id="66" w:name="_Toc12306"/>
      <w:bookmarkStart w:id="67" w:name="_Toc428177674"/>
      <w:bookmarkStart w:id="68" w:name="_Toc358964230"/>
      <w:bookmarkStart w:id="69" w:name="_Toc354142630"/>
      <w:bookmarkStart w:id="70" w:name="_Toc374444823"/>
      <w:r>
        <w:rPr>
          <w:rFonts w:ascii="Times New Roman"/>
        </w:rPr>
        <w:t>术语</w:t>
      </w:r>
      <w:r>
        <w:rPr>
          <w:rFonts w:hint="eastAsia" w:ascii="Times New Roman"/>
        </w:rPr>
        <w:t>和</w:t>
      </w:r>
      <w:r>
        <w:rPr>
          <w:rFonts w:ascii="Times New Roman"/>
        </w:rPr>
        <w:t>定义</w:t>
      </w:r>
      <w:bookmarkEnd w:id="63"/>
      <w:bookmarkEnd w:id="64"/>
      <w:bookmarkEnd w:id="65"/>
      <w:bookmarkEnd w:id="66"/>
      <w:bookmarkEnd w:id="67"/>
      <w:bookmarkEnd w:id="68"/>
      <w:bookmarkEnd w:id="69"/>
      <w:bookmarkEnd w:id="70"/>
    </w:p>
    <w:p w14:paraId="29D6F452">
      <w:pPr>
        <w:pStyle w:val="24"/>
      </w:pPr>
      <w:r>
        <w:rPr>
          <w:rFonts w:ascii="Times New Roman"/>
        </w:rPr>
        <w:t>下列术语与定义适用于</w:t>
      </w:r>
      <w:r>
        <w:rPr>
          <w:rFonts w:hint="eastAsia" w:ascii="Times New Roman"/>
        </w:rPr>
        <w:t>本文件。</w:t>
      </w:r>
    </w:p>
    <w:p w14:paraId="50E9F731">
      <w:pPr>
        <w:pStyle w:val="46"/>
        <w:numPr>
          <w:ilvl w:val="1"/>
          <w:numId w:val="0"/>
        </w:numPr>
        <w:spacing w:before="156" w:after="156" w:line="276" w:lineRule="auto"/>
        <w:ind w:leftChars="0"/>
        <w:outlineLvl w:val="9"/>
        <w:rPr>
          <w:rFonts w:hint="eastAsia" w:ascii="黑体" w:hAnsi="黑体" w:eastAsia="黑体" w:cs="黑体"/>
        </w:rPr>
      </w:pPr>
      <w:bookmarkStart w:id="71" w:name="OLE_LINK4"/>
      <w:bookmarkStart w:id="72" w:name="OLE_LINK5"/>
      <w:r>
        <w:rPr>
          <w:rFonts w:hint="eastAsia" w:ascii="黑体" w:hAnsi="黑体" w:eastAsia="黑体" w:cs="黑体"/>
          <w:lang w:val="en-US" w:eastAsia="zh-CN"/>
        </w:rPr>
        <w:t>3.1</w:t>
      </w:r>
    </w:p>
    <w:p w14:paraId="0A9ADF14">
      <w:pPr>
        <w:pStyle w:val="46"/>
        <w:numPr>
          <w:ilvl w:val="1"/>
          <w:numId w:val="0"/>
        </w:numPr>
        <w:spacing w:before="156" w:after="156" w:line="276" w:lineRule="auto"/>
        <w:ind w:firstLine="420" w:firstLineChars="200"/>
        <w:outlineLvl w:val="9"/>
        <w:rPr>
          <w:rFonts w:hint="eastAsia" w:ascii="黑体" w:hAnsi="黑体" w:eastAsia="黑体" w:cs="黑体"/>
        </w:rPr>
      </w:pPr>
      <w:r>
        <w:rPr>
          <w:rFonts w:hint="eastAsia" w:ascii="黑体" w:hAnsi="黑体" w:eastAsia="黑体" w:cs="黑体"/>
        </w:rPr>
        <w:t>包封率 encapsulation efficiency</w:t>
      </w:r>
    </w:p>
    <w:p w14:paraId="371795D0">
      <w:pPr>
        <w:pStyle w:val="24"/>
        <w:rPr>
          <w:rFonts w:hint="eastAsia" w:ascii="Times New Roman"/>
        </w:rPr>
      </w:pPr>
      <w:r>
        <w:rPr>
          <w:rFonts w:hint="eastAsia" w:ascii="Times New Roman"/>
        </w:rPr>
        <w:t>包封的有效成分的量与递送用载体材料中有效成分总量的比值。</w:t>
      </w:r>
    </w:p>
    <w:p w14:paraId="0228DCEA">
      <w:pPr>
        <w:pStyle w:val="24"/>
        <w:rPr>
          <w:rFonts w:hint="eastAsia" w:ascii="Times New Roman"/>
        </w:rPr>
      </w:pPr>
      <w:r>
        <w:rPr>
          <w:rFonts w:hint="eastAsia" w:ascii="Times New Roman"/>
        </w:rPr>
        <w:t>[来源：纳米药物质量控制研究技术指导原则（试行）2021，有修改]</w:t>
      </w:r>
    </w:p>
    <w:p w14:paraId="6BE3CDE2">
      <w:pPr>
        <w:pStyle w:val="46"/>
        <w:numPr>
          <w:ilvl w:val="1"/>
          <w:numId w:val="0"/>
        </w:numPr>
        <w:spacing w:before="156" w:after="156" w:line="276" w:lineRule="auto"/>
        <w:ind w:leftChars="0"/>
        <w:outlineLvl w:val="9"/>
        <w:rPr>
          <w:rFonts w:hint="eastAsia" w:ascii="黑体" w:hAnsi="黑体" w:eastAsia="黑体" w:cs="黑体"/>
          <w:lang w:val="en-US" w:eastAsia="zh-CN"/>
        </w:rPr>
      </w:pPr>
      <w:r>
        <w:rPr>
          <w:rFonts w:hint="eastAsia" w:ascii="黑体" w:hAnsi="黑体" w:eastAsia="黑体" w:cs="黑体"/>
          <w:lang w:val="en-US" w:eastAsia="zh-CN"/>
        </w:rPr>
        <w:t>3.2</w:t>
      </w:r>
    </w:p>
    <w:p w14:paraId="3C7638A3">
      <w:pPr>
        <w:pStyle w:val="46"/>
        <w:numPr>
          <w:ilvl w:val="1"/>
          <w:numId w:val="0"/>
        </w:numPr>
        <w:spacing w:before="156" w:after="156" w:line="276" w:lineRule="auto"/>
        <w:ind w:firstLine="420" w:firstLineChars="200"/>
        <w:outlineLvl w:val="9"/>
        <w:rPr>
          <w:rFonts w:hint="eastAsia" w:ascii="黑体" w:hAnsi="黑体" w:eastAsia="黑体" w:cs="黑体"/>
        </w:rPr>
      </w:pPr>
      <w:r>
        <w:rPr>
          <w:rFonts w:hint="eastAsia" w:ascii="黑体" w:hAnsi="黑体" w:eastAsia="黑体" w:cs="黑体"/>
        </w:rPr>
        <w:t>超滤法 Centrifugal ultrafiltration method</w:t>
      </w:r>
    </w:p>
    <w:p w14:paraId="677E74F8">
      <w:pPr>
        <w:pStyle w:val="24"/>
        <w:rPr>
          <w:rFonts w:hint="eastAsia" w:ascii="Times New Roman"/>
        </w:rPr>
      </w:pPr>
      <w:r>
        <w:rPr>
          <w:rFonts w:hint="eastAsia" w:ascii="Times New Roman"/>
        </w:rPr>
        <w:t>利用超滤膜将水、盐及小分子滤过，将一定大小的大分子、病毒或纳米颗粒等截住，从而和小分子分离的方法。</w:t>
      </w:r>
    </w:p>
    <w:p w14:paraId="1F6ED6EB">
      <w:pPr>
        <w:pStyle w:val="24"/>
        <w:rPr>
          <w:rFonts w:hint="eastAsia" w:ascii="Times New Roman"/>
          <w:sz w:val="18"/>
          <w:szCs w:val="18"/>
        </w:rPr>
      </w:pPr>
      <w:r>
        <w:rPr>
          <w:rFonts w:hint="eastAsia" w:ascii="Times New Roman"/>
          <w:sz w:val="18"/>
          <w:szCs w:val="18"/>
        </w:rPr>
        <w:t>注1：是分离游离成分与包封有效成分的一种常用分离方法，常通过离心等方式实现；</w:t>
      </w:r>
    </w:p>
    <w:p w14:paraId="3F2FF72F">
      <w:pPr>
        <w:pStyle w:val="24"/>
        <w:rPr>
          <w:rFonts w:hint="eastAsia" w:ascii="Times New Roman"/>
          <w:sz w:val="18"/>
          <w:szCs w:val="18"/>
        </w:rPr>
      </w:pPr>
      <w:r>
        <w:rPr>
          <w:rFonts w:hint="eastAsia" w:ascii="Times New Roman"/>
          <w:sz w:val="18"/>
          <w:szCs w:val="18"/>
        </w:rPr>
        <w:t>注2：超滤膜的孔径有多种，可根据被截留的分子大小而选择。</w:t>
      </w:r>
    </w:p>
    <w:p w14:paraId="6836ABE0">
      <w:pPr>
        <w:pStyle w:val="46"/>
        <w:numPr>
          <w:ilvl w:val="1"/>
          <w:numId w:val="0"/>
        </w:numPr>
        <w:spacing w:before="156" w:after="156" w:line="276" w:lineRule="auto"/>
        <w:ind w:leftChars="0"/>
        <w:outlineLvl w:val="9"/>
        <w:rPr>
          <w:rFonts w:hint="eastAsia" w:ascii="黑体" w:hAnsi="黑体" w:eastAsia="黑体" w:cs="黑体"/>
          <w:lang w:val="en-US" w:eastAsia="zh-CN"/>
        </w:rPr>
      </w:pPr>
      <w:r>
        <w:rPr>
          <w:rFonts w:hint="eastAsia" w:ascii="黑体" w:hAnsi="黑体" w:eastAsia="黑体" w:cs="黑体"/>
          <w:lang w:val="en-US" w:eastAsia="zh-CN"/>
        </w:rPr>
        <w:t>3.3</w:t>
      </w:r>
    </w:p>
    <w:p w14:paraId="13D83D51">
      <w:pPr>
        <w:pStyle w:val="46"/>
        <w:numPr>
          <w:ilvl w:val="1"/>
          <w:numId w:val="0"/>
        </w:numPr>
        <w:spacing w:before="156" w:after="156" w:line="276" w:lineRule="auto"/>
        <w:ind w:firstLine="420" w:firstLineChars="200"/>
        <w:outlineLvl w:val="9"/>
        <w:rPr>
          <w:rFonts w:hint="eastAsia" w:ascii="黑体" w:hAnsi="黑体" w:eastAsia="黑体" w:cs="黑体"/>
        </w:rPr>
      </w:pPr>
      <w:r>
        <w:rPr>
          <w:rFonts w:hint="eastAsia" w:ascii="黑体" w:hAnsi="黑体" w:eastAsia="黑体" w:cs="黑体"/>
        </w:rPr>
        <w:t>离心 centrifugation</w:t>
      </w:r>
    </w:p>
    <w:p w14:paraId="0B3A73F8">
      <w:pPr>
        <w:pStyle w:val="24"/>
        <w:rPr>
          <w:rFonts w:hint="eastAsia" w:ascii="Times New Roman"/>
        </w:rPr>
      </w:pPr>
      <w:r>
        <w:rPr>
          <w:rFonts w:hint="eastAsia" w:ascii="Times New Roman"/>
        </w:rPr>
        <w:t>利用物质的密度等方面的差异，用旋转所产生的离心力使颗粒或者溶质沉淀发生沉降而将其分离、浓缩、提纯和鉴定的一种方法。</w:t>
      </w:r>
    </w:p>
    <w:p w14:paraId="011EABA7">
      <w:pPr>
        <w:pStyle w:val="24"/>
        <w:rPr>
          <w:rFonts w:hint="eastAsia" w:ascii="Times New Roman"/>
        </w:rPr>
      </w:pPr>
      <w:r>
        <w:rPr>
          <w:rFonts w:hint="eastAsia" w:ascii="Times New Roman"/>
        </w:rPr>
        <w:t>[来源：GB/T 50902—2013, 2.2.6]</w:t>
      </w:r>
    </w:p>
    <w:p w14:paraId="6208EF50">
      <w:pPr>
        <w:pStyle w:val="46"/>
        <w:numPr>
          <w:ilvl w:val="1"/>
          <w:numId w:val="0"/>
        </w:numPr>
        <w:spacing w:before="156" w:after="156" w:line="276" w:lineRule="auto"/>
        <w:ind w:leftChars="0"/>
        <w:outlineLvl w:val="9"/>
        <w:rPr>
          <w:rFonts w:hint="eastAsia" w:ascii="黑体" w:hAnsi="黑体" w:eastAsia="黑体" w:cs="黑体"/>
          <w:lang w:val="en-US" w:eastAsia="zh-CN"/>
        </w:rPr>
      </w:pPr>
      <w:r>
        <w:rPr>
          <w:rFonts w:hint="eastAsia" w:ascii="黑体" w:hAnsi="黑体" w:eastAsia="黑体" w:cs="黑体"/>
          <w:lang w:val="en-US" w:eastAsia="zh-CN"/>
        </w:rPr>
        <w:t>3.4</w:t>
      </w:r>
    </w:p>
    <w:p w14:paraId="6FBA8C64">
      <w:pPr>
        <w:pStyle w:val="46"/>
        <w:numPr>
          <w:ilvl w:val="1"/>
          <w:numId w:val="0"/>
        </w:numPr>
        <w:spacing w:before="156" w:after="156" w:line="276" w:lineRule="auto"/>
        <w:ind w:firstLine="420" w:firstLineChars="200"/>
        <w:outlineLvl w:val="9"/>
        <w:rPr>
          <w:rFonts w:hint="eastAsia" w:ascii="黑体" w:hAnsi="黑体" w:eastAsia="黑体" w:cs="黑体"/>
        </w:rPr>
      </w:pPr>
      <w:r>
        <w:rPr>
          <w:rFonts w:hint="eastAsia" w:ascii="黑体" w:hAnsi="黑体" w:eastAsia="黑体" w:cs="黑体"/>
        </w:rPr>
        <w:t>递送用纳米载体材料 Nano-carrier Materials for Delivery</w:t>
      </w:r>
    </w:p>
    <w:p w14:paraId="710107FC">
      <w:pPr>
        <w:pStyle w:val="24"/>
        <w:rPr>
          <w:rFonts w:hint="eastAsia" w:ascii="Times New Roman"/>
        </w:rPr>
      </w:pPr>
      <w:r>
        <w:rPr>
          <w:rFonts w:hint="eastAsia" w:ascii="Times New Roman"/>
        </w:rPr>
        <w:t>可包封或负载有效成分，并用于有效成分递送的纳米材料。</w:t>
      </w:r>
    </w:p>
    <w:p w14:paraId="32189B1F">
      <w:pPr>
        <w:pStyle w:val="24"/>
        <w:rPr>
          <w:rFonts w:hint="eastAsia" w:ascii="Times New Roman"/>
          <w:sz w:val="18"/>
          <w:szCs w:val="18"/>
        </w:rPr>
      </w:pPr>
      <w:r>
        <w:rPr>
          <w:rFonts w:hint="eastAsia" w:ascii="Times New Roman"/>
          <w:sz w:val="18"/>
          <w:szCs w:val="18"/>
        </w:rPr>
        <w:t>注1：按载体材料的种类和结构等，递送用纳米载体材料包括但不限于脂质体（Liposomes）、聚合物纳米粒（Polymeric nanoparticles）、聚合物胶束（Polymeric micelles）、白蛋白结合纳米粒（Protein-bound nanoparticles）、无机纳米粒（Inorganic nanoparticles）等。</w:t>
      </w:r>
    </w:p>
    <w:p w14:paraId="1DA31D56">
      <w:pPr>
        <w:pStyle w:val="24"/>
        <w:rPr>
          <w:rFonts w:hint="eastAsia" w:ascii="Times New Roman"/>
          <w:sz w:val="18"/>
          <w:szCs w:val="18"/>
        </w:rPr>
      </w:pPr>
      <w:r>
        <w:rPr>
          <w:rFonts w:hint="eastAsia" w:ascii="Times New Roman"/>
          <w:sz w:val="18"/>
          <w:szCs w:val="18"/>
        </w:rPr>
        <w:t>注2：有效成分包括但不限于药物分子。</w:t>
      </w:r>
    </w:p>
    <w:p w14:paraId="5797EB9E">
      <w:pPr>
        <w:pStyle w:val="46"/>
        <w:numPr>
          <w:ilvl w:val="1"/>
          <w:numId w:val="0"/>
        </w:numPr>
        <w:spacing w:before="156" w:after="156" w:line="276" w:lineRule="auto"/>
        <w:ind w:leftChars="0"/>
        <w:outlineLvl w:val="9"/>
        <w:rPr>
          <w:rFonts w:hint="eastAsia" w:ascii="黑体" w:hAnsi="黑体" w:eastAsia="黑体" w:cs="黑体"/>
          <w:lang w:val="en-US" w:eastAsia="zh-CN"/>
        </w:rPr>
      </w:pPr>
      <w:r>
        <w:rPr>
          <w:rFonts w:hint="eastAsia" w:ascii="黑体" w:hAnsi="黑体" w:eastAsia="黑体" w:cs="黑体"/>
          <w:lang w:val="en-US" w:eastAsia="zh-CN"/>
        </w:rPr>
        <w:t>3.5</w:t>
      </w:r>
    </w:p>
    <w:p w14:paraId="59CBF272">
      <w:pPr>
        <w:pStyle w:val="46"/>
        <w:numPr>
          <w:ilvl w:val="1"/>
          <w:numId w:val="0"/>
        </w:numPr>
        <w:spacing w:before="156" w:after="156" w:line="276" w:lineRule="auto"/>
        <w:ind w:firstLine="420" w:firstLineChars="200"/>
        <w:outlineLvl w:val="9"/>
        <w:rPr>
          <w:rFonts w:hint="eastAsia" w:ascii="黑体" w:hAnsi="黑体" w:eastAsia="黑体" w:cs="黑体"/>
        </w:rPr>
      </w:pPr>
      <w:r>
        <w:rPr>
          <w:rFonts w:hint="eastAsia" w:ascii="黑体" w:hAnsi="黑体" w:eastAsia="黑体" w:cs="黑体"/>
        </w:rPr>
        <w:t>载体类纳米药物 Carrier-based Nanomedicines</w:t>
      </w:r>
    </w:p>
    <w:p w14:paraId="0963FB82">
      <w:pPr>
        <w:pStyle w:val="24"/>
        <w:rPr>
          <w:rFonts w:hint="eastAsia" w:ascii="Times New Roman"/>
        </w:rPr>
      </w:pPr>
      <w:r>
        <w:rPr>
          <w:rFonts w:hint="eastAsia" w:ascii="Times New Roman"/>
        </w:rPr>
        <w:t>是指以天然或合成的高分子聚合物（以下简称聚合物）、脂质材料、蛋白类大分子、无机材料等作为药物递送的载体材料，基于特定的制备工艺，将原料药包载、分散、非共价或共价结合于纳米载体形成的具有纳米尺度的颗粒。</w:t>
      </w:r>
    </w:p>
    <w:p w14:paraId="5EEA0866">
      <w:pPr>
        <w:pStyle w:val="24"/>
        <w:rPr>
          <w:rFonts w:hint="eastAsia" w:ascii="Times New Roman"/>
          <w:sz w:val="18"/>
          <w:szCs w:val="18"/>
        </w:rPr>
      </w:pPr>
      <w:r>
        <w:rPr>
          <w:rFonts w:hint="eastAsia" w:ascii="Times New Roman"/>
          <w:sz w:val="18"/>
          <w:szCs w:val="18"/>
        </w:rPr>
        <w:t>注：</w:t>
      </w:r>
      <w:r>
        <w:rPr>
          <w:rFonts w:hint="eastAsia" w:ascii="Times New Roman"/>
          <w:sz w:val="18"/>
          <w:szCs w:val="18"/>
        </w:rPr>
        <w:tab/>
      </w:r>
      <w:r>
        <w:rPr>
          <w:rFonts w:hint="eastAsia" w:ascii="Times New Roman"/>
          <w:sz w:val="18"/>
          <w:szCs w:val="18"/>
        </w:rPr>
        <w:t>载体类纳米药物可通过高压均质法、薄膜分散法、溶剂注入法、乳化溶剂扩散法、乳化溶剂蒸发法等工艺制备。</w:t>
      </w:r>
    </w:p>
    <w:p w14:paraId="3140AF42">
      <w:pPr>
        <w:pStyle w:val="24"/>
        <w:rPr>
          <w:rFonts w:hint="eastAsia" w:ascii="Times New Roman"/>
        </w:rPr>
      </w:pPr>
      <w:r>
        <w:rPr>
          <w:rFonts w:hint="eastAsia" w:ascii="Times New Roman"/>
        </w:rPr>
        <w:t>[来源：纳米药物质量控制研究技术指导原则（试行）2021]</w:t>
      </w:r>
    </w:p>
    <w:bookmarkEnd w:id="71"/>
    <w:bookmarkEnd w:id="72"/>
    <w:p w14:paraId="5575EF54">
      <w:pPr>
        <w:pStyle w:val="49"/>
        <w:spacing w:before="312" w:after="312"/>
        <w:ind w:left="0"/>
      </w:pPr>
      <w:bookmarkStart w:id="73" w:name="_Toc399190722"/>
      <w:bookmarkEnd w:id="73"/>
      <w:bookmarkStart w:id="74" w:name="_Toc399190723"/>
      <w:bookmarkEnd w:id="74"/>
      <w:bookmarkStart w:id="75" w:name="_Toc399190715"/>
      <w:bookmarkEnd w:id="75"/>
      <w:bookmarkStart w:id="76" w:name="_Toc399190725"/>
      <w:bookmarkEnd w:id="76"/>
      <w:bookmarkStart w:id="77" w:name="_Toc399190713"/>
      <w:bookmarkEnd w:id="77"/>
      <w:bookmarkStart w:id="78" w:name="_Toc399190719"/>
      <w:bookmarkEnd w:id="78"/>
      <w:bookmarkStart w:id="79" w:name="_Toc399190720"/>
      <w:bookmarkEnd w:id="79"/>
      <w:bookmarkStart w:id="80" w:name="_Toc399190699"/>
      <w:bookmarkEnd w:id="80"/>
      <w:bookmarkStart w:id="81" w:name="_Toc399190721"/>
      <w:bookmarkEnd w:id="81"/>
      <w:bookmarkStart w:id="82" w:name="_Toc29674"/>
      <w:r>
        <w:rPr>
          <w:rFonts w:hint="eastAsia" w:ascii="Times New Roman"/>
        </w:rPr>
        <w:t>原理</w:t>
      </w:r>
      <w:bookmarkEnd w:id="82"/>
    </w:p>
    <w:p w14:paraId="286B4FB8">
      <w:pPr>
        <w:pStyle w:val="55"/>
        <w:numPr>
          <w:ilvl w:val="0"/>
          <w:numId w:val="0"/>
        </w:numPr>
        <w:spacing w:before="156" w:after="156"/>
        <w:rPr>
          <w:rFonts w:hAnsi="黑体"/>
        </w:rPr>
      </w:pPr>
      <w:r>
        <w:rPr>
          <w:rFonts w:hint="eastAsia" w:hAnsi="黑体"/>
        </w:rPr>
        <w:t>4.1  总则</w:t>
      </w:r>
    </w:p>
    <w:p w14:paraId="37DE1664">
      <w:pPr>
        <w:pStyle w:val="24"/>
        <w:rPr>
          <w:rFonts w:hint="eastAsia" w:ascii="Times New Roman"/>
        </w:rPr>
      </w:pPr>
      <w:r>
        <w:rPr>
          <w:rFonts w:hint="eastAsia" w:ascii="Times New Roman"/>
        </w:rPr>
        <w:t>超滤法是将递送用纳米载体材料包封的有效分子和游离有效成分分离的有效方法。将适量的负载了有效成分的递送用纳米载体材料完全溶解在适当的配伍溶液中，制备成负载了有效成分的递送用纳米载体材料水分散体系。取适量该溶液用于有效成分总量的检测。将其余部分转移至超滤系统中，在一定压力下，使全部或部分溶液透过超滤膜。离心是一种最常见的加压方式，它是利用旋转所产生的离心力使溶液中的水分子及游离药物分子等发生加速沉降，从而穿透超滤膜，进而将其分离的一种方法（见图1）。选择适当的药物含量检测仪器测量超滤膜下方下清溶液中游离有效成分的量，以及负载了有效成分的递送用纳米载体材料水分散体系中药物总量，通过包封率计算公式，可计算得到包封的有效成分的量与负载了有效成分的递送用纳米载体材料中总有效成分量的比值，即包封率。</w:t>
      </w:r>
    </w:p>
    <w:p w14:paraId="13DB074E">
      <w:pPr>
        <w:pStyle w:val="31"/>
        <w:keepNext w:val="0"/>
        <w:keepLines w:val="0"/>
        <w:widowControl/>
        <w:suppressLineNumbers w:val="0"/>
        <w:autoSpaceDE w:val="0"/>
        <w:autoSpaceDN w:val="0"/>
        <w:adjustRightInd/>
        <w:spacing w:before="120" w:beforeLines="50" w:beforeAutospacing="0" w:after="0" w:afterAutospacing="0" w:line="240" w:lineRule="auto"/>
        <w:ind w:left="0" w:right="0" w:firstLine="0" w:firstLineChars="0"/>
        <w:jc w:val="center"/>
        <w:rPr>
          <w:lang w:val="en-US"/>
        </w:rPr>
      </w:pPr>
      <w:r>
        <w:rPr>
          <w:rFonts w:hint="eastAsia" w:ascii="宋体" w:hAnsi="Times New Roman" w:eastAsia="宋体" w:cs="Times New Roman"/>
          <w:kern w:val="0"/>
          <w:sz w:val="21"/>
          <w:szCs w:val="20"/>
          <w:lang w:val="en-US" w:eastAsia="zh-CN" w:bidi="ar"/>
        </w:rPr>
        <w:drawing>
          <wp:inline distT="0" distB="0" distL="114300" distR="114300">
            <wp:extent cx="3253740" cy="2042160"/>
            <wp:effectExtent l="0" t="0" r="7620" b="0"/>
            <wp:docPr id="1" name="图片 12" descr="微信图片_2024113017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2" descr="微信图片_20241130174350"/>
                    <pic:cNvPicPr>
                      <a:picLocks noChangeAspect="1"/>
                    </pic:cNvPicPr>
                  </pic:nvPicPr>
                  <pic:blipFill>
                    <a:blip r:embed="rId10"/>
                    <a:srcRect l="30659" t="6226" r="40195" b="57005"/>
                    <a:stretch>
                      <a:fillRect/>
                    </a:stretch>
                  </pic:blipFill>
                  <pic:spPr>
                    <a:xfrm>
                      <a:off x="0" y="0"/>
                      <a:ext cx="3253740" cy="2042160"/>
                    </a:xfrm>
                    <a:prstGeom prst="rect">
                      <a:avLst/>
                    </a:prstGeom>
                    <a:noFill/>
                    <a:ln>
                      <a:noFill/>
                    </a:ln>
                  </pic:spPr>
                </pic:pic>
              </a:graphicData>
            </a:graphic>
          </wp:inline>
        </w:drawing>
      </w:r>
    </w:p>
    <w:p w14:paraId="31DA007C">
      <w:pPr>
        <w:pStyle w:val="163"/>
        <w:widowControl/>
        <w:numPr>
          <w:ilvl w:val="0"/>
          <w:numId w:val="13"/>
        </w:numPr>
        <w:spacing w:before="120" w:beforeLines="50" w:beforeAutospacing="0" w:after="120" w:afterLines="50" w:afterAutospacing="0"/>
        <w:ind w:left="0" w:right="0" w:firstLine="0"/>
        <w:rPr>
          <w:rFonts w:hint="default" w:ascii="Times New Roman" w:hAnsi="Times New Roman" w:cs="Times New Roman"/>
          <w:lang w:val="en-US"/>
        </w:rPr>
      </w:pPr>
      <w:r>
        <w:rPr>
          <w:lang w:eastAsia="zh-CN"/>
        </w:rPr>
        <w:t>超滤法原理示意图</w:t>
      </w:r>
    </w:p>
    <w:p w14:paraId="7D3E4A97">
      <w:pPr>
        <w:pStyle w:val="55"/>
        <w:numPr>
          <w:ilvl w:val="0"/>
          <w:numId w:val="0"/>
        </w:numPr>
        <w:spacing w:before="156" w:after="156"/>
        <w:rPr>
          <w:rFonts w:hint="eastAsia" w:hAnsi="黑体"/>
        </w:rPr>
      </w:pPr>
      <w:r>
        <w:rPr>
          <w:rFonts w:hint="eastAsia" w:hAnsi="黑体"/>
        </w:rPr>
        <w:t>4.2</w:t>
      </w:r>
      <w:r>
        <w:rPr>
          <w:rFonts w:hint="eastAsia" w:hAnsi="黑体"/>
          <w:lang w:val="en-US" w:eastAsia="zh-CN"/>
        </w:rPr>
        <w:t xml:space="preserve">  </w:t>
      </w:r>
      <w:r>
        <w:rPr>
          <w:rFonts w:hint="eastAsia" w:hAnsi="黑体"/>
        </w:rPr>
        <w:t>有效成分含量测定</w:t>
      </w:r>
    </w:p>
    <w:p w14:paraId="055B6B70">
      <w:pPr>
        <w:pStyle w:val="24"/>
        <w:rPr>
          <w:rFonts w:hint="eastAsia" w:ascii="Times New Roman"/>
        </w:rPr>
      </w:pPr>
      <w:r>
        <w:rPr>
          <w:rFonts w:hint="eastAsia" w:ascii="Times New Roman"/>
        </w:rPr>
        <w:t>根据有效成分的性质，采用相应检测仪器对释放有效成分进行含量检测，释放出的有效成分浓度应位于检测仪器的检测限之内。</w:t>
      </w:r>
    </w:p>
    <w:p w14:paraId="458C865D">
      <w:pPr>
        <w:pStyle w:val="24"/>
        <w:rPr>
          <w:rFonts w:hint="eastAsia" w:ascii="Times New Roman"/>
        </w:rPr>
      </w:pPr>
      <w:r>
        <w:rPr>
          <w:rFonts w:hint="eastAsia" w:ascii="Times New Roman"/>
        </w:rPr>
        <w:t>对于有紫外吸收的有效成分可采用紫外光谱仪或高效液相色谱仪（HPLC）进行含量的检测。为提高实验精度，建议采用高效液相色谱仪（HPLC）进行有效成分含量的测定。</w:t>
      </w:r>
    </w:p>
    <w:p w14:paraId="18133018">
      <w:pPr>
        <w:pStyle w:val="24"/>
        <w:rPr>
          <w:rFonts w:hint="eastAsia" w:ascii="Times New Roman"/>
        </w:rPr>
      </w:pPr>
      <w:r>
        <w:rPr>
          <w:rFonts w:hint="eastAsia" w:ascii="Times New Roman"/>
        </w:rPr>
        <w:t>对于有荧光的有效成分可用荧光光谱仪进行有效成分的定量测定。</w:t>
      </w:r>
    </w:p>
    <w:p w14:paraId="62A25779">
      <w:pPr>
        <w:pStyle w:val="24"/>
        <w:rPr>
          <w:rFonts w:hint="eastAsia" w:ascii="Times New Roman"/>
        </w:rPr>
      </w:pPr>
      <w:r>
        <w:rPr>
          <w:rFonts w:hint="eastAsia" w:ascii="Times New Roman"/>
        </w:rPr>
        <w:t>金属元素顺铂等有效成分含量的测定一般采用电感耦合等离子体质谱即ICP-MS进行测定，并计算有效成分的量。</w:t>
      </w:r>
    </w:p>
    <w:p w14:paraId="29ECED2F">
      <w:pPr>
        <w:pStyle w:val="55"/>
        <w:numPr>
          <w:ilvl w:val="0"/>
          <w:numId w:val="0"/>
        </w:numPr>
        <w:spacing w:before="156" w:after="156"/>
        <w:rPr>
          <w:rFonts w:hint="eastAsia" w:hAnsi="黑体"/>
        </w:rPr>
      </w:pPr>
      <w:r>
        <w:rPr>
          <w:rFonts w:hint="eastAsia" w:hAnsi="黑体"/>
        </w:rPr>
        <w:t>4.3</w:t>
      </w:r>
      <w:r>
        <w:rPr>
          <w:rFonts w:hint="eastAsia" w:hAnsi="黑体"/>
          <w:lang w:val="en-US" w:eastAsia="zh-CN"/>
        </w:rPr>
        <w:t xml:space="preserve">  </w:t>
      </w:r>
      <w:r>
        <w:rPr>
          <w:rFonts w:hint="eastAsia" w:hAnsi="黑体"/>
        </w:rPr>
        <w:t>包封率的计算公式</w:t>
      </w:r>
    </w:p>
    <w:p w14:paraId="1231C994">
      <w:pPr>
        <w:pStyle w:val="24"/>
        <w:rPr>
          <w:rFonts w:hint="eastAsia" w:ascii="Times New Roman"/>
        </w:rPr>
      </w:pPr>
      <w:r>
        <w:rPr>
          <w:rFonts w:hint="eastAsia" w:ascii="Times New Roman"/>
        </w:rPr>
        <w:t>包封的有效成分的量与基于递送用纳米材料的制剂中有效成分总量的比值。</w:t>
      </w:r>
    </w:p>
    <w:p w14:paraId="39A950CD">
      <w:pPr>
        <w:pStyle w:val="24"/>
        <w:rPr>
          <w:rFonts w:hint="eastAsia" w:ascii="Times New Roman"/>
        </w:rPr>
      </w:pPr>
      <w:r>
        <w:rPr>
          <w:rFonts w:hint="eastAsia" w:ascii="Times New Roman"/>
        </w:rPr>
        <w:t>包封率=（递送用纳米载体材料中包封的有效成分的量/基于递送用纳米载体材料的制剂中包封的有效成分量和未包封的有效成分的总量）×100%</w:t>
      </w:r>
    </w:p>
    <w:p w14:paraId="73DBAB1A">
      <w:pPr>
        <w:pStyle w:val="24"/>
        <w:rPr>
          <w:rFonts w:hint="eastAsia" w:ascii="Times New Roman"/>
        </w:rPr>
      </w:pPr>
      <w:r>
        <w:rPr>
          <w:rFonts w:hint="eastAsia" w:ascii="Times New Roman"/>
        </w:rPr>
        <w:t xml:space="preserve">      =（1-液体介质中未包封的有效成分的量/基于递送用纳米载体材料的制剂中包封的与未包封的有效成分总量）×100%</w:t>
      </w:r>
    </w:p>
    <w:p w14:paraId="06C23087">
      <w:pPr>
        <w:pStyle w:val="49"/>
        <w:spacing w:before="312" w:after="312"/>
        <w:ind w:left="0"/>
        <w:rPr>
          <w:rFonts w:hint="eastAsia" w:ascii="Times New Roman"/>
        </w:rPr>
      </w:pPr>
      <w:bookmarkStart w:id="83" w:name="_Toc1955"/>
      <w:r>
        <w:rPr>
          <w:rFonts w:hint="eastAsia" w:ascii="Times New Roman"/>
        </w:rPr>
        <w:t>仪器和试剂</w:t>
      </w:r>
      <w:bookmarkEnd w:id="83"/>
    </w:p>
    <w:p w14:paraId="40F2BF80">
      <w:pPr>
        <w:pStyle w:val="55"/>
        <w:numPr>
          <w:ilvl w:val="0"/>
          <w:numId w:val="0"/>
        </w:numPr>
        <w:spacing w:before="156" w:after="156"/>
        <w:rPr>
          <w:rFonts w:hint="eastAsia" w:hAnsi="黑体"/>
        </w:rPr>
      </w:pPr>
      <w:r>
        <w:rPr>
          <w:rFonts w:hint="eastAsia" w:hAnsi="黑体"/>
          <w:lang w:val="en-US" w:eastAsia="zh-CN"/>
        </w:rPr>
        <w:t xml:space="preserve">5.1  </w:t>
      </w:r>
      <w:r>
        <w:rPr>
          <w:rFonts w:hint="eastAsia" w:hAnsi="黑体"/>
        </w:rPr>
        <w:t>离心机</w:t>
      </w:r>
    </w:p>
    <w:p w14:paraId="27F5F959">
      <w:pPr>
        <w:pStyle w:val="24"/>
        <w:rPr>
          <w:rFonts w:hint="eastAsia" w:ascii="Times New Roman"/>
        </w:rPr>
      </w:pPr>
      <w:r>
        <w:rPr>
          <w:rFonts w:hint="eastAsia" w:ascii="Times New Roman"/>
        </w:rPr>
        <w:t>离心力或转速、离心时间、温度可调的离心机。</w:t>
      </w:r>
    </w:p>
    <w:p w14:paraId="4D8D1CBF">
      <w:pPr>
        <w:pStyle w:val="55"/>
        <w:numPr>
          <w:ilvl w:val="0"/>
          <w:numId w:val="0"/>
        </w:numPr>
        <w:spacing w:before="156" w:after="156"/>
        <w:rPr>
          <w:rFonts w:hint="eastAsia" w:hAnsi="黑体"/>
          <w:lang w:val="en-US" w:eastAsia="zh-CN"/>
        </w:rPr>
      </w:pPr>
      <w:r>
        <w:rPr>
          <w:rFonts w:hint="eastAsia" w:hAnsi="黑体"/>
          <w:lang w:val="en-US" w:eastAsia="zh-CN"/>
        </w:rPr>
        <w:t>5.2  超滤离心管</w:t>
      </w:r>
    </w:p>
    <w:p w14:paraId="783AEE70">
      <w:pPr>
        <w:pStyle w:val="24"/>
        <w:rPr>
          <w:rFonts w:hint="eastAsia" w:ascii="Times New Roman"/>
        </w:rPr>
      </w:pPr>
      <w:r>
        <w:rPr>
          <w:rFonts w:hint="eastAsia" w:ascii="Times New Roman"/>
        </w:rPr>
        <w:t>通常有不同材质（如：聚醚砜、三醋酸纤维素、再生纤维素和Hydrosart）和不同截留分子量的超滤离心管，可根据有效成分性质和要求的不同灵活选用。</w:t>
      </w:r>
    </w:p>
    <w:p w14:paraId="43D44047">
      <w:pPr>
        <w:pStyle w:val="55"/>
        <w:numPr>
          <w:ilvl w:val="0"/>
          <w:numId w:val="0"/>
        </w:numPr>
        <w:spacing w:before="156" w:after="156"/>
        <w:rPr>
          <w:rFonts w:hint="eastAsia" w:hAnsi="黑体"/>
          <w:lang w:val="en-US" w:eastAsia="zh-CN"/>
        </w:rPr>
      </w:pPr>
      <w:r>
        <w:rPr>
          <w:rFonts w:hint="eastAsia" w:hAnsi="黑体"/>
          <w:lang w:val="en-US" w:eastAsia="zh-CN"/>
        </w:rPr>
        <w:t>5.3  配伍溶液</w:t>
      </w:r>
    </w:p>
    <w:p w14:paraId="083A3A16">
      <w:pPr>
        <w:pStyle w:val="24"/>
        <w:rPr>
          <w:rFonts w:hint="eastAsia" w:ascii="Times New Roman"/>
        </w:rPr>
      </w:pPr>
      <w:r>
        <w:rPr>
          <w:rFonts w:hint="eastAsia" w:ascii="Times New Roman"/>
        </w:rPr>
        <w:t>根据基于递送用纳米材料的制剂种类和性质的不同，通常选择5%葡萄糖、氯化钠注射液等。</w:t>
      </w:r>
    </w:p>
    <w:p w14:paraId="46E54245">
      <w:pPr>
        <w:pStyle w:val="55"/>
        <w:numPr>
          <w:ilvl w:val="0"/>
          <w:numId w:val="0"/>
        </w:numPr>
        <w:spacing w:before="156" w:after="156"/>
        <w:rPr>
          <w:rFonts w:hint="eastAsia" w:hAnsi="黑体"/>
          <w:lang w:val="en-US" w:eastAsia="zh-CN"/>
        </w:rPr>
      </w:pPr>
      <w:r>
        <w:rPr>
          <w:rFonts w:hint="eastAsia" w:hAnsi="黑体"/>
          <w:lang w:val="en-US" w:eastAsia="zh-CN"/>
        </w:rPr>
        <w:t>5.4  药物含量检测仪器</w:t>
      </w:r>
    </w:p>
    <w:p w14:paraId="336A0E9D">
      <w:pPr>
        <w:pStyle w:val="24"/>
        <w:rPr>
          <w:rFonts w:hint="eastAsia" w:ascii="Times New Roman"/>
        </w:rPr>
      </w:pPr>
      <w:r>
        <w:rPr>
          <w:rFonts w:hint="eastAsia" w:ascii="Times New Roman"/>
        </w:rPr>
        <w:t>根据有效成分性质选择适当的检测仪器。通常采用的检测仪器包括高效液相色谱仪（HPLC）、紫外光谱仪、荧光光谱仪和电感耦合等离子体质谱即ICP-MS等。</w:t>
      </w:r>
    </w:p>
    <w:p w14:paraId="0B6BEC35">
      <w:pPr>
        <w:pStyle w:val="55"/>
        <w:numPr>
          <w:ilvl w:val="0"/>
          <w:numId w:val="0"/>
        </w:numPr>
        <w:spacing w:before="156" w:after="156"/>
        <w:rPr>
          <w:rFonts w:hint="eastAsia" w:hAnsi="黑体"/>
          <w:lang w:val="en-US" w:eastAsia="zh-CN"/>
        </w:rPr>
      </w:pPr>
      <w:r>
        <w:rPr>
          <w:rFonts w:hint="eastAsia" w:hAnsi="黑体"/>
          <w:lang w:val="en-US" w:eastAsia="zh-CN"/>
        </w:rPr>
        <w:t>5.5  样品制备</w:t>
      </w:r>
    </w:p>
    <w:p w14:paraId="38872AAE">
      <w:pPr>
        <w:pStyle w:val="24"/>
        <w:rPr>
          <w:rFonts w:hint="eastAsia" w:ascii="Times New Roman"/>
        </w:rPr>
      </w:pPr>
      <w:r>
        <w:rPr>
          <w:rFonts w:hint="eastAsia" w:ascii="Times New Roman"/>
        </w:rPr>
        <w:t>将适量的基于递送用纳米材料的制剂完全溶解在适当的配伍溶液中，制备成基于递送用纳米材料的制剂水分散体系。</w:t>
      </w:r>
    </w:p>
    <w:p w14:paraId="73885079">
      <w:pPr>
        <w:pStyle w:val="49"/>
        <w:spacing w:before="312" w:after="312"/>
        <w:ind w:left="0"/>
        <w:rPr>
          <w:rFonts w:hint="eastAsia" w:ascii="Times New Roman"/>
        </w:rPr>
      </w:pPr>
      <w:bookmarkStart w:id="84" w:name="_Toc21993"/>
      <w:r>
        <w:rPr>
          <w:rFonts w:hint="eastAsia" w:ascii="Times New Roman"/>
        </w:rPr>
        <w:t>测试步骤</w:t>
      </w:r>
      <w:bookmarkEnd w:id="84"/>
    </w:p>
    <w:p w14:paraId="03A3AC01">
      <w:pPr>
        <w:pStyle w:val="55"/>
        <w:numPr>
          <w:ilvl w:val="0"/>
          <w:numId w:val="0"/>
        </w:numPr>
        <w:spacing w:before="156" w:after="156"/>
        <w:rPr>
          <w:rFonts w:hint="eastAsia" w:hAnsi="黑体"/>
          <w:lang w:val="en-US" w:eastAsia="zh-CN"/>
        </w:rPr>
      </w:pPr>
      <w:r>
        <w:rPr>
          <w:rFonts w:hint="eastAsia" w:hAnsi="黑体"/>
          <w:lang w:val="en-US" w:eastAsia="zh-CN"/>
        </w:rPr>
        <w:t>6.1  超滤分离</w:t>
      </w:r>
    </w:p>
    <w:p w14:paraId="6E4110EC">
      <w:pPr>
        <w:pStyle w:val="24"/>
        <w:ind w:left="0" w:leftChars="0" w:firstLine="0" w:firstLineChars="0"/>
        <w:jc w:val="left"/>
        <w:rPr>
          <w:rFonts w:hint="eastAsia" w:ascii="黑体" w:hAnsi="黑体" w:eastAsia="黑体" w:cs="黑体"/>
          <w:szCs w:val="22"/>
        </w:rPr>
      </w:pPr>
      <w:r>
        <w:rPr>
          <w:rFonts w:hint="eastAsia" w:ascii="黑体" w:hAnsi="黑体" w:eastAsia="黑体" w:cs="黑体"/>
          <w:szCs w:val="22"/>
        </w:rPr>
        <w:t>6.1.1</w:t>
      </w:r>
      <w:r>
        <w:rPr>
          <w:rFonts w:hint="eastAsia" w:ascii="黑体" w:hAnsi="黑体" w:eastAsia="黑体" w:cs="黑体"/>
          <w:szCs w:val="22"/>
          <w:lang w:val="en-US" w:eastAsia="zh-CN"/>
        </w:rPr>
        <w:t xml:space="preserve">  </w:t>
      </w:r>
      <w:r>
        <w:rPr>
          <w:rFonts w:hint="eastAsia" w:ascii="黑体" w:hAnsi="黑体" w:eastAsia="黑体" w:cs="黑体"/>
          <w:szCs w:val="22"/>
        </w:rPr>
        <w:t>将适量的5.5中制备的基于递送用纳米材料的制剂溶液加入到超滤离心管中。</w:t>
      </w:r>
    </w:p>
    <w:p w14:paraId="5395AC6D">
      <w:pPr>
        <w:pStyle w:val="24"/>
        <w:ind w:left="0" w:leftChars="0" w:firstLine="0" w:firstLineChars="0"/>
        <w:jc w:val="left"/>
        <w:rPr>
          <w:rFonts w:hint="eastAsia" w:ascii="黑体" w:hAnsi="黑体" w:eastAsia="黑体" w:cs="黑体"/>
          <w:szCs w:val="22"/>
        </w:rPr>
      </w:pPr>
      <w:r>
        <w:rPr>
          <w:rFonts w:hint="eastAsia" w:ascii="黑体" w:hAnsi="黑体" w:eastAsia="黑体" w:cs="黑体"/>
          <w:szCs w:val="22"/>
        </w:rPr>
        <w:t>6.1.2</w:t>
      </w:r>
      <w:r>
        <w:rPr>
          <w:rFonts w:hint="eastAsia" w:ascii="黑体" w:hAnsi="黑体" w:eastAsia="黑体" w:cs="黑体"/>
          <w:szCs w:val="22"/>
          <w:lang w:val="en-US" w:eastAsia="zh-CN"/>
        </w:rPr>
        <w:t xml:space="preserve">  </w:t>
      </w:r>
      <w:r>
        <w:rPr>
          <w:rFonts w:hint="eastAsia" w:ascii="黑体" w:hAnsi="黑体" w:eastAsia="黑体" w:cs="黑体"/>
          <w:szCs w:val="22"/>
        </w:rPr>
        <w:t>适当的转速或离心力、离心时间和离心温度，启动离心机。</w:t>
      </w:r>
    </w:p>
    <w:p w14:paraId="22999C30">
      <w:pPr>
        <w:pStyle w:val="55"/>
        <w:numPr>
          <w:ilvl w:val="0"/>
          <w:numId w:val="0"/>
        </w:numPr>
        <w:spacing w:before="156" w:after="156"/>
        <w:rPr>
          <w:rFonts w:hint="eastAsia" w:hAnsi="黑体"/>
          <w:lang w:val="en-US" w:eastAsia="zh-CN"/>
        </w:rPr>
      </w:pPr>
      <w:r>
        <w:rPr>
          <w:rFonts w:hint="eastAsia" w:hAnsi="黑体"/>
          <w:lang w:val="en-US" w:eastAsia="zh-CN"/>
        </w:rPr>
        <w:t>6.2  检测药物含量</w:t>
      </w:r>
    </w:p>
    <w:p w14:paraId="026FF1DC">
      <w:pPr>
        <w:pStyle w:val="24"/>
        <w:rPr>
          <w:rFonts w:hint="eastAsia" w:ascii="Times New Roman"/>
        </w:rPr>
      </w:pPr>
      <w:r>
        <w:rPr>
          <w:rFonts w:hint="eastAsia" w:ascii="Times New Roman"/>
        </w:rPr>
        <w:t>根据游离有效成分性质选择适当的检测仪器，检测药物含量。</w:t>
      </w:r>
    </w:p>
    <w:p w14:paraId="0B7EAFA1">
      <w:pPr>
        <w:pStyle w:val="24"/>
        <w:ind w:left="0" w:leftChars="0" w:firstLine="0" w:firstLineChars="0"/>
        <w:jc w:val="left"/>
        <w:rPr>
          <w:rFonts w:hint="eastAsia" w:ascii="黑体" w:hAnsi="黑体" w:eastAsia="黑体" w:cs="黑体"/>
          <w:szCs w:val="22"/>
        </w:rPr>
      </w:pPr>
      <w:r>
        <w:rPr>
          <w:rFonts w:hint="eastAsia" w:ascii="黑体" w:hAnsi="黑体" w:eastAsia="黑体" w:cs="黑体"/>
          <w:szCs w:val="22"/>
        </w:rPr>
        <w:t>6.2.1</w:t>
      </w:r>
      <w:r>
        <w:rPr>
          <w:rFonts w:hint="eastAsia" w:ascii="黑体" w:hAnsi="黑体" w:eastAsia="黑体" w:cs="黑体"/>
          <w:szCs w:val="22"/>
          <w:lang w:val="en-US" w:eastAsia="zh-CN"/>
        </w:rPr>
        <w:t xml:space="preserve">  </w:t>
      </w:r>
      <w:r>
        <w:rPr>
          <w:rFonts w:hint="eastAsia" w:ascii="黑体" w:hAnsi="黑体" w:eastAsia="黑体" w:cs="黑体"/>
          <w:szCs w:val="22"/>
        </w:rPr>
        <w:t>若5.5中制备的基于递送用纳米材料的制剂溶液中有效成分含量已知，根据测试需求可直接使用已知有效成分的含量。</w:t>
      </w:r>
    </w:p>
    <w:p w14:paraId="7A5B4AEC">
      <w:pPr>
        <w:pStyle w:val="24"/>
        <w:ind w:left="0" w:leftChars="0" w:firstLine="0" w:firstLineChars="0"/>
        <w:jc w:val="left"/>
        <w:rPr>
          <w:rFonts w:hint="eastAsia" w:ascii="黑体" w:hAnsi="黑体" w:eastAsia="黑体" w:cs="黑体"/>
          <w:szCs w:val="22"/>
        </w:rPr>
      </w:pPr>
      <w:r>
        <w:rPr>
          <w:rFonts w:hint="eastAsia" w:ascii="黑体" w:hAnsi="黑体" w:eastAsia="黑体" w:cs="黑体"/>
          <w:szCs w:val="22"/>
        </w:rPr>
        <w:t>6.2.2</w:t>
      </w:r>
      <w:r>
        <w:rPr>
          <w:rFonts w:hint="eastAsia" w:ascii="黑体" w:hAnsi="黑体" w:eastAsia="黑体" w:cs="黑体"/>
          <w:szCs w:val="22"/>
          <w:lang w:val="en-US" w:eastAsia="zh-CN"/>
        </w:rPr>
        <w:t xml:space="preserve">  </w:t>
      </w:r>
      <w:r>
        <w:rPr>
          <w:rFonts w:hint="eastAsia" w:ascii="黑体" w:hAnsi="黑体" w:eastAsia="黑体" w:cs="黑体"/>
          <w:szCs w:val="22"/>
        </w:rPr>
        <w:t>若5.5中制备的基于递送用纳米材料的制剂溶液中有效成分含量未知或根据测试需求可对其进行适当处理使包封的有效成分完全释放后，进行定量检测。</w:t>
      </w:r>
    </w:p>
    <w:p w14:paraId="156E6D5A">
      <w:pPr>
        <w:pStyle w:val="49"/>
        <w:spacing w:before="312" w:after="312"/>
        <w:ind w:left="0"/>
        <w:rPr>
          <w:rFonts w:hint="eastAsia" w:ascii="Times New Roman"/>
        </w:rPr>
      </w:pPr>
      <w:bookmarkStart w:id="85" w:name="_Toc6455"/>
      <w:r>
        <w:rPr>
          <w:rFonts w:hint="eastAsia" w:ascii="Times New Roman"/>
        </w:rPr>
        <w:t>数据分析及结果表达</w:t>
      </w:r>
      <w:bookmarkEnd w:id="85"/>
    </w:p>
    <w:p w14:paraId="41ECA5B0">
      <w:pPr>
        <w:pStyle w:val="24"/>
        <w:rPr>
          <w:rFonts w:hint="eastAsia" w:ascii="Times New Roman"/>
        </w:rPr>
      </w:pPr>
      <w:r>
        <w:rPr>
          <w:rFonts w:hint="eastAsia" w:ascii="Times New Roman"/>
        </w:rPr>
        <w:t>根据定量检测的结果，记录有效成分总量和游离有效成分的量，根据4.3中的公式计算包封率。</w:t>
      </w:r>
    </w:p>
    <w:p w14:paraId="482A0929">
      <w:pPr>
        <w:pStyle w:val="49"/>
        <w:spacing w:before="312" w:after="312"/>
        <w:ind w:left="0"/>
        <w:rPr>
          <w:rFonts w:hint="eastAsia" w:ascii="Times New Roman"/>
        </w:rPr>
      </w:pPr>
      <w:bookmarkStart w:id="86" w:name="_Toc9629"/>
      <w:r>
        <w:rPr>
          <w:rFonts w:hint="eastAsia" w:ascii="Times New Roman"/>
        </w:rPr>
        <w:t>不确定度</w:t>
      </w:r>
      <w:bookmarkEnd w:id="86"/>
    </w:p>
    <w:p w14:paraId="77D3F1E3">
      <w:pPr>
        <w:pStyle w:val="24"/>
        <w:rPr>
          <w:rFonts w:hint="eastAsia" w:ascii="Times New Roman"/>
        </w:rPr>
      </w:pPr>
      <w:r>
        <w:rPr>
          <w:rFonts w:hint="eastAsia" w:ascii="Times New Roman"/>
        </w:rPr>
        <w:t>对得到的包封率的不确定度进行评价，应包括以下所列来源：</w:t>
      </w:r>
    </w:p>
    <w:p w14:paraId="3E4D0D5E">
      <w:pPr>
        <w:pStyle w:val="165"/>
      </w:pPr>
      <w:r>
        <w:rPr>
          <w:rFonts w:hint="eastAsia"/>
        </w:rPr>
        <w:t>有效成分在超滤离心管的半透膜上的吸附是主要的误差来源</w:t>
      </w:r>
      <w:r>
        <w:rPr>
          <w:rFonts w:hint="eastAsia"/>
          <w:lang w:eastAsia="zh-CN"/>
        </w:rPr>
        <w:t>；</w:t>
      </w:r>
    </w:p>
    <w:p w14:paraId="2C80111B">
      <w:pPr>
        <w:pStyle w:val="165"/>
      </w:pPr>
      <w:r>
        <w:rPr>
          <w:rFonts w:hint="eastAsia"/>
        </w:rPr>
        <w:t>通过假定</w:t>
      </w:r>
      <w:r>
        <w:rPr>
          <w:rFonts w:ascii="Times New Roman"/>
        </w:rPr>
        <w:t>5.5中</w:t>
      </w:r>
      <w:r>
        <w:rPr>
          <w:rFonts w:hint="eastAsia"/>
        </w:rPr>
        <w:t>制备的基于递送用纳米材料的制剂水溶液分散体系中游离有效成分的浓度和超滤离心后下清液中游离有效成分的浓度相等，引起的误差；</w:t>
      </w:r>
    </w:p>
    <w:p w14:paraId="0F1AFF68">
      <w:pPr>
        <w:pStyle w:val="165"/>
        <w:rPr>
          <w:rFonts w:hint="eastAsia" w:ascii="Times New Roman"/>
        </w:rPr>
      </w:pPr>
      <w:r>
        <w:rPr>
          <w:rFonts w:hint="eastAsia"/>
        </w:rPr>
        <w:t>测量仪器校准和测量的重复性引入的不确定度。对于校准过且维护良好的仪器，上述原因对不确定度的贡献很小。</w:t>
      </w:r>
    </w:p>
    <w:p w14:paraId="5AE6DBB7">
      <w:pPr>
        <w:pStyle w:val="49"/>
        <w:spacing w:before="312" w:after="312"/>
        <w:ind w:left="0"/>
        <w:rPr>
          <w:rFonts w:hint="eastAsia" w:ascii="Times New Roman"/>
        </w:rPr>
      </w:pPr>
      <w:bookmarkStart w:id="87" w:name="_Toc7021"/>
      <w:r>
        <w:rPr>
          <w:rFonts w:hint="eastAsia" w:ascii="Times New Roman"/>
        </w:rPr>
        <w:t>测试报告</w:t>
      </w:r>
      <w:bookmarkEnd w:id="87"/>
    </w:p>
    <w:p w14:paraId="7B1A95E1">
      <w:pPr>
        <w:pStyle w:val="24"/>
        <w:rPr>
          <w:rFonts w:hint="eastAsia" w:ascii="Times New Roman"/>
        </w:rPr>
      </w:pPr>
      <w:r>
        <w:rPr>
          <w:rFonts w:hint="eastAsia" w:ascii="Times New Roman"/>
        </w:rPr>
        <w:t>测试报告应包含以下信息：</w:t>
      </w:r>
    </w:p>
    <w:p w14:paraId="108EDDFB">
      <w:pPr>
        <w:pStyle w:val="165"/>
        <w:numPr>
          <w:ilvl w:val="0"/>
          <w:numId w:val="15"/>
        </w:numPr>
      </w:pPr>
      <w:r>
        <w:rPr>
          <w:rFonts w:hint="eastAsia"/>
        </w:rPr>
        <w:t>检测报告编号；</w:t>
      </w:r>
    </w:p>
    <w:p w14:paraId="3571846D">
      <w:pPr>
        <w:pStyle w:val="165"/>
      </w:pPr>
      <w:r>
        <w:rPr>
          <w:rFonts w:hint="eastAsia"/>
        </w:rPr>
        <w:t>送检样品名称、送检日期和检测项目；</w:t>
      </w:r>
    </w:p>
    <w:p w14:paraId="1CAF3D43">
      <w:pPr>
        <w:pStyle w:val="165"/>
      </w:pPr>
      <w:r>
        <w:rPr>
          <w:rFonts w:hint="eastAsia"/>
        </w:rPr>
        <w:t>送样人姓名，单位，地址，及联系方式；</w:t>
      </w:r>
    </w:p>
    <w:p w14:paraId="3BE311FF">
      <w:pPr>
        <w:pStyle w:val="165"/>
      </w:pPr>
      <w:r>
        <w:rPr>
          <w:rFonts w:hint="eastAsia"/>
        </w:rPr>
        <w:t>仪器型号、测试方法及条件（超滤离心管的型号；离心机的转速或离心力、离心时间、温度；所用配伍溶液；有效成分含量检测仪器的型号及检测条件）；</w:t>
      </w:r>
    </w:p>
    <w:p w14:paraId="396A196B">
      <w:pPr>
        <w:pStyle w:val="165"/>
      </w:pPr>
      <w:r>
        <w:rPr>
          <w:rFonts w:hint="eastAsia"/>
        </w:rPr>
        <w:t>检测结果和必要的说明（附原始数据）；</w:t>
      </w:r>
    </w:p>
    <w:p w14:paraId="255A2D5B">
      <w:pPr>
        <w:pStyle w:val="165"/>
      </w:pPr>
      <w:r>
        <w:rPr>
          <w:rFonts w:hint="eastAsia"/>
        </w:rPr>
        <w:t>本标准中未明确的操作步骤和注意事项，可能对测试结果产生的影响；</w:t>
      </w:r>
    </w:p>
    <w:p w14:paraId="65EF5DA9">
      <w:pPr>
        <w:pStyle w:val="165"/>
      </w:pPr>
      <w:r>
        <w:rPr>
          <w:rFonts w:hint="eastAsia"/>
        </w:rPr>
        <w:t>检测报告负责人签名、检测报告的日期、检测实验室名称及地址。</w:t>
      </w:r>
    </w:p>
    <w:p w14:paraId="2938B9A8">
      <w:pPr>
        <w:pStyle w:val="24"/>
        <w:rPr>
          <w:rFonts w:hint="eastAsia" w:ascii="Times New Roman"/>
        </w:rPr>
      </w:pPr>
    </w:p>
    <w:p w14:paraId="73639310">
      <w:pPr>
        <w:pStyle w:val="24"/>
        <w:ind w:left="0" w:leftChars="0" w:firstLine="0" w:firstLineChars="0"/>
        <w:rPr>
          <w:rFonts w:hint="eastAsia" w:ascii="Times New Roman"/>
        </w:rPr>
      </w:pPr>
    </w:p>
    <w:p w14:paraId="5E0DDE48">
      <w:pPr>
        <w:pStyle w:val="54"/>
        <w:spacing w:after="0" w:line="240" w:lineRule="auto"/>
        <w:rPr>
          <w:sz w:val="21"/>
        </w:rPr>
      </w:pPr>
      <w:bookmarkStart w:id="88" w:name="BKCKWX"/>
      <w:bookmarkStart w:id="89" w:name="_Toc459974471"/>
      <w:bookmarkStart w:id="90" w:name="_Toc493081248"/>
      <w:bookmarkStart w:id="91" w:name="_Toc399706888"/>
      <w:bookmarkStart w:id="92" w:name="_Toc493003014"/>
      <w:bookmarkStart w:id="93" w:name="_Toc14816825"/>
      <w:r>
        <w:rPr>
          <w:rFonts w:hint="eastAsia"/>
          <w:sz w:val="21"/>
        </w:rPr>
        <w:t>附 录A</w:t>
      </w:r>
    </w:p>
    <w:p w14:paraId="551555D5">
      <w:pPr>
        <w:pStyle w:val="24"/>
        <w:ind w:firstLine="0" w:firstLineChars="0"/>
        <w:jc w:val="center"/>
        <w:rPr>
          <w:rFonts w:ascii="黑体" w:hAnsi="黑体" w:eastAsia="黑体"/>
        </w:rPr>
      </w:pPr>
      <w:r>
        <w:rPr>
          <w:rFonts w:hint="eastAsia" w:ascii="黑体" w:hAnsi="黑体" w:eastAsia="黑体"/>
        </w:rPr>
        <w:t>（资料性）</w:t>
      </w:r>
    </w:p>
    <w:p w14:paraId="2E8AB8E0">
      <w:pPr>
        <w:pStyle w:val="24"/>
        <w:ind w:firstLine="0" w:firstLineChars="0"/>
        <w:jc w:val="center"/>
        <w:rPr>
          <w:rFonts w:ascii="黑体" w:hAnsi="黑体" w:eastAsia="黑体"/>
        </w:rPr>
      </w:pPr>
      <w:r>
        <w:rPr>
          <w:rFonts w:hint="eastAsia" w:ascii="黑体" w:hAnsi="黑体" w:eastAsia="黑体"/>
        </w:rPr>
        <w:t>递送用纳米载体材料包封率测量示例</w:t>
      </w:r>
    </w:p>
    <w:p w14:paraId="0962E2FF">
      <w:pPr>
        <w:pStyle w:val="24"/>
        <w:jc w:val="center"/>
      </w:pPr>
    </w:p>
    <w:p w14:paraId="1BAD659F">
      <w:pPr>
        <w:pStyle w:val="55"/>
        <w:numPr>
          <w:ilvl w:val="0"/>
          <w:numId w:val="0"/>
        </w:numPr>
        <w:spacing w:before="156" w:after="156"/>
        <w:rPr>
          <w:rFonts w:hint="eastAsia" w:hAnsi="黑体"/>
          <w:lang w:val="en-US" w:eastAsia="zh-CN"/>
        </w:rPr>
      </w:pPr>
      <w:r>
        <w:rPr>
          <w:rFonts w:hint="eastAsia" w:hAnsi="黑体"/>
          <w:lang w:val="en-US" w:eastAsia="zh-CN"/>
        </w:rPr>
        <w:t>A.1  通则</w:t>
      </w:r>
    </w:p>
    <w:p w14:paraId="38CF61EA">
      <w:pPr>
        <w:pStyle w:val="24"/>
        <w:rPr>
          <w:rFonts w:hint="eastAsia" w:ascii="Times New Roman"/>
        </w:rPr>
      </w:pPr>
      <w:r>
        <w:rPr>
          <w:rFonts w:hint="eastAsia" w:ascii="Times New Roman"/>
        </w:rPr>
        <w:t>本附录提供了一个利用超滤法表征以聚合物纳米胶束为载体的纳米制剂包封率的示例。</w:t>
      </w:r>
    </w:p>
    <w:p w14:paraId="2FE14783">
      <w:pPr>
        <w:pStyle w:val="55"/>
        <w:numPr>
          <w:ilvl w:val="0"/>
          <w:numId w:val="0"/>
        </w:numPr>
        <w:spacing w:before="156" w:after="156"/>
        <w:rPr>
          <w:rFonts w:hint="eastAsia" w:hAnsi="黑体"/>
          <w:lang w:val="en-US" w:eastAsia="zh-CN"/>
        </w:rPr>
      </w:pPr>
      <w:r>
        <w:rPr>
          <w:rFonts w:hint="eastAsia" w:hAnsi="黑体"/>
          <w:lang w:val="en-US" w:eastAsia="zh-CN"/>
        </w:rPr>
        <w:t>A.2  样品制备</w:t>
      </w:r>
    </w:p>
    <w:p w14:paraId="4D0492FC">
      <w:pPr>
        <w:pStyle w:val="24"/>
        <w:rPr>
          <w:rFonts w:hint="eastAsia" w:ascii="Times New Roman"/>
        </w:rPr>
      </w:pPr>
      <w:r>
        <w:rPr>
          <w:rFonts w:hint="eastAsia" w:ascii="Times New Roman"/>
        </w:rPr>
        <w:t>某聚合物胶束型纳米制剂，含有小分子有效成分A（A分子量大于500，小于700）。取该制剂适量，加5%葡萄糖注射液溶解，制成每1 mL中含有约3.0 mg A的均匀溶液。</w:t>
      </w:r>
    </w:p>
    <w:p w14:paraId="2790C6F7">
      <w:pPr>
        <w:pStyle w:val="55"/>
        <w:numPr>
          <w:ilvl w:val="0"/>
          <w:numId w:val="0"/>
        </w:numPr>
        <w:spacing w:before="156" w:after="156"/>
        <w:rPr>
          <w:rFonts w:hint="eastAsia" w:hAnsi="黑体"/>
          <w:lang w:val="en-US" w:eastAsia="zh-CN"/>
        </w:rPr>
      </w:pPr>
      <w:r>
        <w:rPr>
          <w:rFonts w:hint="eastAsia" w:hAnsi="黑体"/>
          <w:lang w:val="en-US" w:eastAsia="zh-CN"/>
        </w:rPr>
        <w:t>A.3  仪器</w:t>
      </w:r>
    </w:p>
    <w:p w14:paraId="18231279">
      <w:pPr>
        <w:pStyle w:val="24"/>
        <w:rPr>
          <w:rFonts w:hint="eastAsia" w:ascii="Times New Roman"/>
        </w:rPr>
      </w:pPr>
      <w:r>
        <w:rPr>
          <w:rFonts w:hint="eastAsia" w:ascii="Times New Roman"/>
        </w:rPr>
        <w:t>利用高效液相色谱（型号：岛津LC 20AT））检测有效成分含量。利用4 mL的Merck Millipore超滤离心管（Amicon Centrifugal，截留分子量30 K）和离心机（型号：艾本德5804R）分离游离有效成分和包封的有效成分。</w:t>
      </w:r>
    </w:p>
    <w:p w14:paraId="289DA2AB">
      <w:pPr>
        <w:pStyle w:val="55"/>
        <w:numPr>
          <w:ilvl w:val="0"/>
          <w:numId w:val="0"/>
        </w:numPr>
        <w:spacing w:before="156" w:after="156"/>
        <w:rPr>
          <w:rFonts w:hint="eastAsia" w:hAnsi="黑体"/>
          <w:lang w:val="en-US" w:eastAsia="zh-CN"/>
        </w:rPr>
      </w:pPr>
      <w:r>
        <w:rPr>
          <w:rFonts w:hint="eastAsia" w:hAnsi="黑体"/>
          <w:lang w:val="en-US" w:eastAsia="zh-CN"/>
        </w:rPr>
        <w:t>A.4  测试步骤</w:t>
      </w:r>
    </w:p>
    <w:p w14:paraId="3BB29A4A">
      <w:pPr>
        <w:pStyle w:val="165"/>
        <w:numPr>
          <w:ilvl w:val="0"/>
          <w:numId w:val="16"/>
        </w:numPr>
        <w:rPr>
          <w:rFonts w:ascii="Times New Roman"/>
        </w:rPr>
      </w:pPr>
      <w:r>
        <w:rPr>
          <w:rFonts w:ascii="Times New Roman"/>
        </w:rPr>
        <w:t>取250</w:t>
      </w:r>
      <w:r>
        <w:rPr>
          <w:rFonts w:hint="eastAsia" w:ascii="Times New Roman"/>
          <w:lang w:val="en-US" w:eastAsia="zh-CN"/>
        </w:rPr>
        <w:t xml:space="preserve"> </w:t>
      </w:r>
      <w:r>
        <w:rPr>
          <w:rFonts w:ascii="Times New Roman"/>
        </w:rPr>
        <w:t>μL A.2中制备的溶液，用5%葡萄糖稀释4倍后，利用高效液相色谱仪检测该溶液中有效成分A的总量，得到峰面积为a（27556311，见图A.1）。</w:t>
      </w:r>
    </w:p>
    <w:p w14:paraId="7F229264">
      <w:pPr>
        <w:pStyle w:val="165"/>
        <w:rPr>
          <w:rFonts w:ascii="Times New Roman"/>
        </w:rPr>
      </w:pPr>
      <w:r>
        <w:rPr>
          <w:rFonts w:ascii="Times New Roman"/>
        </w:rPr>
        <w:t>另取1 m</w:t>
      </w:r>
      <w:r>
        <w:rPr>
          <w:rFonts w:hint="eastAsia" w:ascii="Times New Roman"/>
        </w:rPr>
        <w:t>L</w:t>
      </w:r>
      <w:r>
        <w:rPr>
          <w:rFonts w:ascii="Times New Roman"/>
        </w:rPr>
        <w:t xml:space="preserve"> A.2中制备的溶液置于超滤离心管中，设置离心力为7200×g，离心温度25</w:t>
      </w:r>
      <w:r>
        <w:rPr>
          <w:rFonts w:hint="eastAsia" w:ascii="Times New Roman"/>
        </w:rPr>
        <w:t>℃</w:t>
      </w:r>
      <w:r>
        <w:rPr>
          <w:rFonts w:ascii="Times New Roman"/>
        </w:rPr>
        <w:t>，离心时间20</w:t>
      </w:r>
      <w:r>
        <w:rPr>
          <w:rFonts w:hint="eastAsia" w:ascii="Times New Roman"/>
        </w:rPr>
        <w:t xml:space="preserve"> min</w:t>
      </w:r>
      <w:r>
        <w:rPr>
          <w:rFonts w:ascii="Times New Roman"/>
        </w:rPr>
        <w:t>。</w:t>
      </w:r>
    </w:p>
    <w:p w14:paraId="29ED5774">
      <w:pPr>
        <w:pStyle w:val="165"/>
        <w:rPr>
          <w:rFonts w:ascii="Times New Roman"/>
        </w:rPr>
      </w:pPr>
      <w:r>
        <w:rPr>
          <w:rFonts w:ascii="Times New Roman"/>
        </w:rPr>
        <w:t>取b)中的下清滤液，利用高效液相色谱仪检测该下清溶液中有效成分A的含量，即游离有效成分的含量，其峰面积为b（10389953，见图A.2）。</w:t>
      </w:r>
    </w:p>
    <w:p w14:paraId="5BF126D5">
      <w:pPr>
        <w:pStyle w:val="55"/>
        <w:numPr>
          <w:ilvl w:val="0"/>
          <w:numId w:val="0"/>
        </w:numPr>
        <w:spacing w:before="156" w:after="156"/>
        <w:rPr>
          <w:rFonts w:hint="eastAsia" w:hAnsi="黑体"/>
          <w:lang w:val="en-US" w:eastAsia="zh-CN"/>
        </w:rPr>
      </w:pPr>
      <w:r>
        <w:rPr>
          <w:rFonts w:hint="eastAsia" w:hAnsi="黑体"/>
          <w:lang w:val="en-US" w:eastAsia="zh-CN"/>
        </w:rPr>
        <w:t>A.5  测试结果</w:t>
      </w:r>
    </w:p>
    <w:p w14:paraId="63500A8D">
      <w:pPr>
        <w:pStyle w:val="24"/>
        <w:rPr>
          <w:rFonts w:hint="eastAsia" w:ascii="Times New Roman"/>
        </w:rPr>
      </w:pPr>
      <w:r>
        <w:rPr>
          <w:rFonts w:hint="eastAsia" w:ascii="Times New Roman"/>
        </w:rPr>
        <w:t>图A.1和图A.2分别是测得的A.2中制备的均匀溶液和A.4 c)中得到的下清滤液的高效液相色谱图。</w:t>
      </w:r>
    </w:p>
    <w:p w14:paraId="70F471E3">
      <w:pPr>
        <w:pStyle w:val="160"/>
        <w:spacing w:before="120" w:beforeLines="50"/>
        <w:ind w:firstLine="420"/>
        <w:jc w:val="center"/>
      </w:pPr>
      <w:r>
        <w:drawing>
          <wp:inline distT="0" distB="0" distL="0" distR="0">
            <wp:extent cx="3420110" cy="2620010"/>
            <wp:effectExtent l="0" t="0" r="8890" b="127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1"/>
                    <a:stretch>
                      <a:fillRect/>
                    </a:stretch>
                  </pic:blipFill>
                  <pic:spPr>
                    <a:xfrm>
                      <a:off x="0" y="0"/>
                      <a:ext cx="3420110" cy="2620010"/>
                    </a:xfrm>
                    <a:prstGeom prst="rect">
                      <a:avLst/>
                    </a:prstGeom>
                  </pic:spPr>
                </pic:pic>
              </a:graphicData>
            </a:graphic>
          </wp:inline>
        </w:drawing>
      </w:r>
    </w:p>
    <w:p w14:paraId="02F384FD">
      <w:pPr>
        <w:pStyle w:val="166"/>
        <w:spacing w:before="120" w:after="120"/>
        <w:rPr>
          <w:rFonts w:ascii="Times New Roman"/>
        </w:rPr>
      </w:pPr>
      <w:r>
        <w:rPr>
          <w:rFonts w:ascii="Times New Roman"/>
        </w:rPr>
        <w:t>A.2</w:t>
      </w:r>
      <w:r>
        <w:t>中制备的均匀溶液的高效液相色谱图</w:t>
      </w:r>
    </w:p>
    <w:p w14:paraId="6B73F910">
      <w:pPr>
        <w:pStyle w:val="160"/>
        <w:spacing w:before="120" w:beforeLines="50"/>
        <w:ind w:firstLine="420"/>
        <w:jc w:val="center"/>
      </w:pPr>
      <w:r>
        <w:drawing>
          <wp:inline distT="0" distB="0" distL="0" distR="0">
            <wp:extent cx="3420110" cy="2661285"/>
            <wp:effectExtent l="0" t="0" r="8890" b="571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2"/>
                    <a:stretch>
                      <a:fillRect/>
                    </a:stretch>
                  </pic:blipFill>
                  <pic:spPr>
                    <a:xfrm>
                      <a:off x="0" y="0"/>
                      <a:ext cx="3420110" cy="2661285"/>
                    </a:xfrm>
                    <a:prstGeom prst="rect">
                      <a:avLst/>
                    </a:prstGeom>
                  </pic:spPr>
                </pic:pic>
              </a:graphicData>
            </a:graphic>
          </wp:inline>
        </w:drawing>
      </w:r>
    </w:p>
    <w:p w14:paraId="6200F1FE">
      <w:pPr>
        <w:pStyle w:val="166"/>
        <w:spacing w:before="120" w:after="120"/>
        <w:rPr>
          <w:rFonts w:ascii="Times New Roman"/>
        </w:rPr>
      </w:pPr>
      <w:r>
        <w:rPr>
          <w:rFonts w:ascii="Times New Roman"/>
        </w:rPr>
        <w:t>A.4 c)</w:t>
      </w:r>
      <w:r>
        <w:t>中得到的下清滤液的高效液相色谱图</w:t>
      </w:r>
    </w:p>
    <w:p w14:paraId="1D4C8599">
      <w:pPr>
        <w:pStyle w:val="55"/>
        <w:numPr>
          <w:ilvl w:val="0"/>
          <w:numId w:val="0"/>
        </w:numPr>
        <w:spacing w:before="156" w:after="156"/>
        <w:rPr>
          <w:rFonts w:hint="eastAsia" w:hAnsi="黑体"/>
          <w:lang w:val="en-US" w:eastAsia="zh-CN"/>
        </w:rPr>
      </w:pPr>
      <w:bookmarkStart w:id="94" w:name="_Toc200460990"/>
      <w:r>
        <w:rPr>
          <w:rFonts w:hint="eastAsia" w:hAnsi="黑体"/>
          <w:lang w:val="en-US" w:eastAsia="zh-CN"/>
        </w:rPr>
        <w:t>A.6 包封率计算</w:t>
      </w:r>
      <w:bookmarkEnd w:id="94"/>
    </w:p>
    <w:p w14:paraId="624D4B7A">
      <w:pPr>
        <w:pStyle w:val="160"/>
        <w:ind w:firstLine="420"/>
        <w:rPr>
          <w:rFonts w:ascii="Times New Roman"/>
        </w:rPr>
      </w:pPr>
      <w:r>
        <w:rPr>
          <w:rFonts w:hint="eastAsia"/>
        </w:rPr>
        <w:t>根</w:t>
      </w:r>
      <w:r>
        <w:rPr>
          <w:rFonts w:ascii="Times New Roman"/>
        </w:rPr>
        <w:t>据4.3中包封率的计算公式计算包封率。</w:t>
      </w:r>
    </w:p>
    <w:p w14:paraId="3FC0CD3E">
      <w:pPr>
        <w:pStyle w:val="160"/>
        <w:ind w:firstLine="420"/>
        <w:rPr>
          <w:rFonts w:ascii="Times New Roman"/>
        </w:rPr>
      </w:pPr>
      <w:r>
        <w:rPr>
          <w:rFonts w:ascii="Times New Roman"/>
        </w:rPr>
        <w:t>包封率=（微粒制剂中包封的有效成分的量/微粒制剂中包封与未包封的有效成分总量）×100%</w:t>
      </w:r>
    </w:p>
    <w:p w14:paraId="207235E7">
      <w:pPr>
        <w:pStyle w:val="160"/>
        <w:ind w:firstLine="1050" w:firstLineChars="500"/>
        <w:rPr>
          <w:rFonts w:ascii="Times New Roman"/>
        </w:rPr>
      </w:pPr>
      <w:r>
        <w:rPr>
          <w:rFonts w:ascii="Times New Roman"/>
        </w:rPr>
        <w:t>=（1-游离有效成分浓度/有效成分总浓度）×100%</w:t>
      </w:r>
    </w:p>
    <w:p w14:paraId="50AC4DFB">
      <w:pPr>
        <w:pStyle w:val="160"/>
        <w:ind w:firstLine="1050" w:firstLineChars="500"/>
        <w:rPr>
          <w:rFonts w:ascii="Times New Roman"/>
        </w:rPr>
      </w:pPr>
      <w:r>
        <w:rPr>
          <w:rFonts w:ascii="Times New Roman"/>
        </w:rPr>
        <w:t>=（1-b/4a）×100%</w:t>
      </w:r>
    </w:p>
    <w:p w14:paraId="28681F4F">
      <w:pPr>
        <w:pStyle w:val="160"/>
        <w:ind w:firstLine="1050" w:firstLineChars="500"/>
        <w:rPr>
          <w:rFonts w:ascii="Times New Roman"/>
        </w:rPr>
      </w:pPr>
      <w:r>
        <w:rPr>
          <w:rFonts w:ascii="Times New Roman"/>
        </w:rPr>
        <w:t>=（1-10389953/4×27556311）×100%</w:t>
      </w:r>
    </w:p>
    <w:p w14:paraId="246A0366">
      <w:pPr>
        <w:pStyle w:val="160"/>
        <w:ind w:firstLine="1050" w:firstLineChars="500"/>
        <w:rPr>
          <w:rFonts w:ascii="Times New Roman"/>
        </w:rPr>
      </w:pPr>
      <w:r>
        <w:rPr>
          <w:rFonts w:ascii="Times New Roman"/>
        </w:rPr>
        <w:t>= 90.57%</w:t>
      </w:r>
    </w:p>
    <w:p w14:paraId="384AF76A">
      <w:pPr>
        <w:pStyle w:val="24"/>
        <w:tabs>
          <w:tab w:val="right" w:leader="dot" w:pos="9214"/>
          <w:tab w:val="clear" w:pos="9298"/>
        </w:tabs>
        <w:jc w:val="center"/>
        <w:rPr>
          <w:rFonts w:ascii="Times New Roman"/>
          <w:szCs w:val="21"/>
        </w:rPr>
      </w:pPr>
    </w:p>
    <w:p w14:paraId="713EDBAF">
      <w:pPr>
        <w:pStyle w:val="75"/>
      </w:pPr>
      <w:bookmarkStart w:id="95" w:name="_Toc20257"/>
      <w:r>
        <w:rPr>
          <w:rFonts w:hint="eastAsia"/>
        </w:rPr>
        <w:t>参</w:t>
      </w:r>
      <w:r>
        <w:rPr>
          <w:rFonts w:hAnsi="黑体"/>
        </w:rPr>
        <w:t> </w:t>
      </w:r>
      <w:r>
        <w:rPr>
          <w:rFonts w:hint="eastAsia"/>
        </w:rPr>
        <w:t>考</w:t>
      </w:r>
      <w:r>
        <w:rPr>
          <w:rFonts w:hAnsi="黑体"/>
        </w:rPr>
        <w:t> </w:t>
      </w:r>
      <w:r>
        <w:rPr>
          <w:rFonts w:hint="eastAsia"/>
        </w:rPr>
        <w:t>文</w:t>
      </w:r>
      <w:r>
        <w:rPr>
          <w:rFonts w:hAnsi="黑体"/>
        </w:rPr>
        <w:t> </w:t>
      </w:r>
      <w:r>
        <w:rPr>
          <w:rFonts w:hint="eastAsia"/>
        </w:rPr>
        <w:t>献</w:t>
      </w:r>
      <w:bookmarkEnd w:id="88"/>
      <w:bookmarkEnd w:id="89"/>
      <w:bookmarkEnd w:id="90"/>
      <w:bookmarkEnd w:id="91"/>
      <w:bookmarkEnd w:id="92"/>
      <w:bookmarkEnd w:id="93"/>
      <w:bookmarkEnd w:id="95"/>
    </w:p>
    <w:p w14:paraId="085453B1">
      <w:pPr>
        <w:pStyle w:val="24"/>
        <w:spacing w:before="156" w:after="156"/>
        <w:rPr>
          <w:rFonts w:hint="eastAsia" w:ascii="宋体" w:hAnsi="宋体" w:eastAsia="宋体" w:cs="宋体"/>
        </w:rPr>
      </w:pPr>
      <w:r>
        <w:rPr>
          <w:rFonts w:hint="eastAsia" w:ascii="宋体" w:hAnsi="宋体" w:eastAsia="宋体" w:cs="宋体"/>
          <w:szCs w:val="21"/>
        </w:rPr>
        <w:t>[1]</w:t>
      </w:r>
      <w:r>
        <w:rPr>
          <w:rFonts w:hint="eastAsia" w:ascii="宋体" w:hAnsi="宋体" w:eastAsia="宋体" w:cs="宋体"/>
        </w:rPr>
        <w:t xml:space="preserve"> IS</w:t>
      </w:r>
      <w:r>
        <w:rPr>
          <w:rFonts w:hint="eastAsia" w:ascii="宋体" w:hAnsi="宋体" w:eastAsia="宋体" w:cs="宋体"/>
          <w:lang w:val="en-US" w:eastAsia="zh-CN"/>
        </w:rPr>
        <w:t>O</w:t>
      </w:r>
      <w:r>
        <w:rPr>
          <w:rFonts w:hint="eastAsia" w:ascii="宋体" w:hAnsi="宋体" w:eastAsia="宋体" w:cs="宋体"/>
        </w:rPr>
        <w:t xml:space="preserve"> PWI 3181 Nanotechnologies </w:t>
      </w:r>
      <w:r>
        <w:rPr>
          <w:rFonts w:hint="eastAsia" w:ascii="宋体" w:hAnsi="宋体" w:eastAsia="宋体" w:cs="宋体"/>
          <w:lang w:eastAsia="zh-CN"/>
        </w:rPr>
        <w:t>—</w:t>
      </w:r>
      <w:r>
        <w:rPr>
          <w:rFonts w:hint="eastAsia" w:ascii="宋体" w:hAnsi="宋体" w:eastAsia="宋体" w:cs="宋体"/>
        </w:rPr>
        <w:t xml:space="preserve"> Total, encapsulated, and free drug quantitation in doxorubicin hydrochloride liposomal formulations using RP-HPLC</w:t>
      </w:r>
    </w:p>
    <w:p w14:paraId="4F35135A">
      <w:pPr>
        <w:pStyle w:val="24"/>
        <w:spacing w:before="156" w:after="156"/>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 xml:space="preserve"> </w:t>
      </w:r>
      <w:r>
        <w:rPr>
          <w:rFonts w:hint="eastAsia" w:ascii="宋体" w:hAnsi="宋体" w:eastAsia="宋体" w:cs="宋体"/>
        </w:rPr>
        <w:t xml:space="preserve">ISO/TS 4958:2023 Nanotechnologies </w:t>
      </w:r>
      <w:r>
        <w:rPr>
          <w:rFonts w:hint="eastAsia" w:ascii="宋体" w:hAnsi="宋体" w:eastAsia="宋体" w:cs="宋体"/>
          <w:lang w:eastAsia="zh-CN"/>
        </w:rPr>
        <w:t>—</w:t>
      </w:r>
      <w:r>
        <w:rPr>
          <w:rFonts w:hint="eastAsia" w:ascii="宋体" w:hAnsi="宋体" w:eastAsia="宋体" w:cs="宋体"/>
        </w:rPr>
        <w:t xml:space="preserve"> Vocabulary </w:t>
      </w:r>
      <w:r>
        <w:rPr>
          <w:rFonts w:hint="eastAsia" w:ascii="宋体" w:hAnsi="宋体" w:eastAsia="宋体" w:cs="宋体"/>
          <w:lang w:eastAsia="zh-CN"/>
        </w:rPr>
        <w:t>—</w:t>
      </w:r>
      <w:r>
        <w:rPr>
          <w:rFonts w:hint="eastAsia" w:ascii="宋体" w:hAnsi="宋体" w:eastAsia="宋体" w:cs="宋体"/>
        </w:rPr>
        <w:t xml:space="preserve"> Liposomes</w:t>
      </w:r>
    </w:p>
    <w:p w14:paraId="7008A027">
      <w:pPr>
        <w:pStyle w:val="24"/>
        <w:spacing w:before="156" w:after="156"/>
        <w:rPr>
          <w:rFonts w:hint="eastAsia" w:ascii="宋体" w:hAnsi="宋体" w:eastAsia="宋体" w:cs="宋体"/>
        </w:rPr>
      </w:pPr>
      <w:r>
        <w:rPr>
          <w:rFonts w:hint="eastAsia" w:ascii="宋体" w:hAnsi="宋体" w:eastAsia="宋体" w:cs="宋体"/>
        </w:rPr>
        <w:t>[3]</w:t>
      </w:r>
      <w:r>
        <w:rPr>
          <w:rFonts w:hint="eastAsia" w:hAnsi="宋体" w:cs="宋体"/>
          <w:lang w:val="en-US" w:eastAsia="zh-CN"/>
        </w:rPr>
        <w:t xml:space="preserve"> </w:t>
      </w:r>
      <w:r>
        <w:rPr>
          <w:rFonts w:hint="eastAsia" w:ascii="宋体" w:hAnsi="宋体" w:eastAsia="宋体" w:cs="宋体"/>
        </w:rPr>
        <w:t>GB/T 50902—2013 医药工程基本术语标准</w:t>
      </w:r>
    </w:p>
    <w:p w14:paraId="77ABE845">
      <w:pPr>
        <w:pStyle w:val="24"/>
        <w:spacing w:before="156" w:after="156"/>
        <w:rPr>
          <w:rFonts w:hint="eastAsia" w:ascii="宋体" w:hAnsi="宋体" w:eastAsia="宋体" w:cs="宋体"/>
        </w:rPr>
      </w:pPr>
      <w:r>
        <w:rPr>
          <w:rFonts w:hint="eastAsia" w:ascii="宋体" w:hAnsi="宋体" w:eastAsia="宋体" w:cs="宋体"/>
        </w:rPr>
        <w:t>[4] Plasma, tumor and tissue pharmacokinetics of Docetaxel delivered via nanoparticles of different sizes and shapes in mice bearing SKOV-3 human ovarian carcinoma xenograft, Kevin S. Chu, Warefta Hasan, Sumit Rawal, Mark D. Walsh, Elizabeth M. Enlow, J. Christopher Luft, Arlene S. Bridges, Jennifer L. Kuijer, Mary E. Napier, William C. Zamboni, Joseph M. DeSimone, Nanomedicine: Nanotechnology, Biology, and Medicine, 9 (2013) 686–693</w:t>
      </w:r>
    </w:p>
    <w:p w14:paraId="588EBF0A">
      <w:pPr>
        <w:pStyle w:val="24"/>
        <w:spacing w:before="156" w:after="156"/>
        <w:rPr>
          <w:rFonts w:hint="eastAsia" w:ascii="宋体" w:hAnsi="宋体" w:eastAsia="宋体" w:cs="宋体"/>
        </w:rPr>
      </w:pPr>
      <w:r>
        <w:rPr>
          <w:rFonts w:hint="eastAsia" w:ascii="宋体" w:hAnsi="宋体" w:eastAsia="宋体" w:cs="宋体"/>
        </w:rPr>
        <w:t xml:space="preserve">[5] ASTM E3143 </w:t>
      </w:r>
      <w:r>
        <w:rPr>
          <w:rFonts w:hint="eastAsia" w:ascii="宋体" w:hAnsi="宋体" w:eastAsia="宋体" w:cs="宋体"/>
          <w:lang w:eastAsia="zh-CN"/>
        </w:rPr>
        <w:t>—</w:t>
      </w:r>
      <w:r>
        <w:rPr>
          <w:rFonts w:hint="eastAsia" w:ascii="宋体" w:hAnsi="宋体" w:eastAsia="宋体" w:cs="宋体"/>
        </w:rPr>
        <w:t xml:space="preserve"> 18b, Standard Practice for Performing Cryo-Transmission Electron Microscopy of Liposomes</w:t>
      </w:r>
    </w:p>
    <w:p w14:paraId="72F948C5">
      <w:pPr>
        <w:pStyle w:val="24"/>
        <w:spacing w:before="156" w:after="156"/>
        <w:rPr>
          <w:rFonts w:hint="eastAsia" w:ascii="宋体" w:hAnsi="宋体" w:eastAsia="宋体" w:cs="宋体"/>
        </w:rPr>
      </w:pPr>
      <w:r>
        <w:rPr>
          <w:rFonts w:hint="eastAsia" w:ascii="宋体" w:hAnsi="宋体" w:eastAsia="宋体" w:cs="宋体"/>
        </w:rPr>
        <w:t>[6] ASTM WK 68060 New Test method for analysis of liposomal drug formulations using mutidetector asymmetrical-flow field-flow fraction (AF4)，在研</w:t>
      </w:r>
    </w:p>
    <w:p w14:paraId="212A75DC">
      <w:pPr>
        <w:pStyle w:val="24"/>
        <w:spacing w:before="156" w:after="156"/>
        <w:rPr>
          <w:rFonts w:hint="eastAsia" w:ascii="宋体" w:hAnsi="宋体" w:eastAsia="宋体" w:cs="宋体"/>
        </w:rPr>
      </w:pPr>
      <w:r>
        <w:rPr>
          <w:rFonts w:hint="eastAsia" w:ascii="宋体" w:hAnsi="宋体" w:eastAsia="宋体" w:cs="宋体"/>
        </w:rPr>
        <w:t>[7] In vitro release testing methods for vitamin E nanoemulsions, Jacqueline M. Morais, Diane J. Burgess, International Journal of Pharmaceutics, 475 (2014) 393–400</w:t>
      </w:r>
    </w:p>
    <w:p w14:paraId="61267EE4">
      <w:pPr>
        <w:pStyle w:val="24"/>
        <w:spacing w:before="156" w:after="156"/>
        <w:rPr>
          <w:rFonts w:hint="eastAsia" w:ascii="宋体" w:hAnsi="宋体" w:eastAsia="宋体" w:cs="宋体"/>
        </w:rPr>
      </w:pPr>
      <w:r>
        <w:rPr>
          <w:rFonts w:hint="eastAsia" w:ascii="宋体" w:hAnsi="宋体" w:eastAsia="宋体" w:cs="宋体"/>
        </w:rPr>
        <w:t>[8] In vitro evaluation of drug release kinetics from liposomes by fractional dialysis, International Journal of Pharmaceutics 119 (1995) 231-238</w:t>
      </w:r>
    </w:p>
    <w:p w14:paraId="5C9E8F65">
      <w:pPr>
        <w:pStyle w:val="24"/>
        <w:spacing w:before="156" w:after="156"/>
        <w:rPr>
          <w:rFonts w:hint="eastAsia" w:ascii="宋体" w:hAnsi="宋体" w:eastAsia="宋体" w:cs="宋体"/>
        </w:rPr>
      </w:pPr>
      <w:r>
        <w:rPr>
          <w:rFonts w:hint="eastAsia" w:ascii="宋体" w:hAnsi="宋体" w:eastAsia="宋体" w:cs="宋体"/>
        </w:rPr>
        <w:t>[9] Determination of Drug Release Kinetics from Nanoparticles: Overcoming Pitfalls of the Dynamic Dialysis Method, Sweta Modi, Bradley D. Anderson, Molecular Pharmaceutics, 2013, 10, 3076−3089</w:t>
      </w:r>
    </w:p>
    <w:p w14:paraId="0D2B4933">
      <w:pPr>
        <w:pStyle w:val="24"/>
        <w:spacing w:before="156" w:after="156"/>
        <w:rPr>
          <w:rFonts w:hint="eastAsia" w:ascii="宋体" w:hAnsi="宋体" w:eastAsia="宋体" w:cs="宋体"/>
        </w:rPr>
      </w:pPr>
      <w:r>
        <w:rPr>
          <w:rFonts w:hint="eastAsia" w:ascii="宋体" w:hAnsi="宋体" w:eastAsia="宋体" w:cs="宋体"/>
        </w:rPr>
        <w:t>[10] 多烯紫杉醇脂质体包封率的测定,张文涛,黄庆柏,林丽峰,李为理,中国医院药学杂志（Chin. Hosp. Pharm. J.）, 2008, Vol 28, No.14, 1179-1181</w:t>
      </w:r>
    </w:p>
    <w:p w14:paraId="363985D5">
      <w:pPr>
        <w:pStyle w:val="24"/>
        <w:spacing w:before="156" w:after="156"/>
        <w:rPr>
          <w:rFonts w:hint="eastAsia" w:ascii="宋体" w:hAnsi="宋体" w:eastAsia="宋体" w:cs="宋体"/>
        </w:rPr>
      </w:pPr>
      <w:r>
        <w:rPr>
          <w:rFonts w:hint="eastAsia" w:ascii="宋体" w:hAnsi="宋体" w:eastAsia="宋体" w:cs="宋体"/>
        </w:rPr>
        <w:t>[11] Assessing the In Vitro Drug Release from Lipid-Core Nanocapsules: a New Strategy Combining Dialysis Sac and a Continuous-Flow System, Diego Fontana de Andrade, Carine Zuglianello, Adriana Raffin Pohlmann, Silvia Stanisçuaski Guterres, Ruy Carlos Ruver Beck, AAPS PharmSciTech, Vol. 16, No. 6, December 2015, DOI: 10.1208/s12249-015-0330-0</w:t>
      </w:r>
    </w:p>
    <w:p w14:paraId="06BEF494">
      <w:pPr>
        <w:pStyle w:val="24"/>
        <w:spacing w:before="156" w:after="156"/>
        <w:rPr>
          <w:rFonts w:hint="eastAsia" w:ascii="宋体" w:hAnsi="宋体" w:eastAsia="宋体" w:cs="宋体"/>
        </w:rPr>
      </w:pPr>
      <w:r>
        <w:rPr>
          <w:rFonts w:hint="eastAsia" w:ascii="宋体" w:hAnsi="宋体" w:eastAsia="宋体" w:cs="宋体"/>
        </w:rPr>
        <w:t>[12] A two-stage reverse dialysis in vitro dissolution testing method for passive targeted liposomes, Xiaoming Xu, Mansoor A. Khan b,2 , Diane J. Burgess, International Journal of Pharmaceutics 426 (2012) 211– 218</w:t>
      </w:r>
    </w:p>
    <w:p w14:paraId="4CED0F8E">
      <w:pPr>
        <w:pStyle w:val="24"/>
        <w:spacing w:before="156" w:after="156"/>
        <w:rPr>
          <w:rFonts w:hint="eastAsia" w:ascii="宋体" w:hAnsi="宋体" w:eastAsia="宋体" w:cs="宋体"/>
        </w:rPr>
      </w:pPr>
      <w:r>
        <w:rPr>
          <w:rFonts w:hint="eastAsia" w:ascii="宋体" w:hAnsi="宋体" w:eastAsia="宋体" w:cs="宋体"/>
        </w:rPr>
        <w:t>[13] 纳米制剂体外释放度评价方法的研究进展. 谢元彪,岳鹏飞,但济修,许俊男,郑琴,杨明,中国药学杂志（Chin. Hosp. Pharm. J.）,2016,Vol. 51, No.11, 861-866</w:t>
      </w:r>
    </w:p>
    <w:p w14:paraId="58D29A32">
      <w:pPr>
        <w:pStyle w:val="24"/>
        <w:spacing w:before="156" w:after="156"/>
        <w:rPr>
          <w:rFonts w:hint="eastAsia" w:ascii="宋体" w:hAnsi="宋体" w:eastAsia="宋体" w:cs="宋体"/>
        </w:rPr>
      </w:pPr>
      <w:r>
        <w:rPr>
          <w:rFonts w:hint="eastAsia" w:ascii="宋体" w:hAnsi="宋体" w:eastAsia="宋体" w:cs="宋体"/>
        </w:rPr>
        <w:t>[14] 尼莫地平纳米脂质体冻干粉的质量评价方法. 郑莹，朱家壁, 中国药学杂志（Chin. Pharm. J.），2004,V01．39 No．7, 528-532</w:t>
      </w:r>
    </w:p>
    <w:p w14:paraId="47B11F32">
      <w:pPr>
        <w:pStyle w:val="24"/>
        <w:spacing w:before="156" w:after="156"/>
        <w:rPr>
          <w:rFonts w:hint="eastAsia" w:ascii="宋体" w:hAnsi="宋体" w:eastAsia="宋体" w:cs="宋体"/>
        </w:rPr>
      </w:pPr>
      <w:r>
        <w:rPr>
          <w:rFonts w:hint="eastAsia" w:ascii="宋体" w:hAnsi="宋体" w:eastAsia="宋体" w:cs="宋体"/>
        </w:rPr>
        <w:t>[15] comparison of in vitro dialysis release methods of loperamide-encapsulated liposomal gel for topical drug delivery, International Journal of Nanomedicine, 2014,9,735-743</w:t>
      </w:r>
    </w:p>
    <w:p w14:paraId="57748557">
      <w:pPr>
        <w:pStyle w:val="24"/>
        <w:spacing w:before="156" w:after="156"/>
        <w:rPr>
          <w:rFonts w:hint="eastAsia" w:ascii="宋体" w:hAnsi="宋体" w:eastAsia="宋体" w:cs="宋体"/>
        </w:rPr>
      </w:pPr>
      <w:r>
        <w:rPr>
          <w:rFonts w:hint="eastAsia" w:ascii="宋体" w:hAnsi="宋体" w:eastAsia="宋体" w:cs="宋体"/>
        </w:rPr>
        <w:t>[16] 盐酸伊立替康脂质体的制备及体外释药特性研究. 张俭俭, 张佳佳, 杨建坤, 李华建, 王世霞, 曹德英. 中国药房（China Pharmacy）, 2008, V01.19,No.10,762-765</w:t>
      </w:r>
    </w:p>
    <w:p w14:paraId="59BBD45C">
      <w:pPr>
        <w:pStyle w:val="24"/>
        <w:spacing w:before="156" w:after="156"/>
        <w:rPr>
          <w:rFonts w:hint="eastAsia" w:ascii="宋体" w:hAnsi="宋体" w:eastAsia="宋体" w:cs="宋体"/>
        </w:rPr>
      </w:pPr>
      <w:r>
        <w:rPr>
          <w:rFonts w:hint="eastAsia" w:ascii="宋体" w:hAnsi="宋体" w:eastAsia="宋体" w:cs="宋体"/>
        </w:rPr>
        <w:t>[17] 柚皮苷固体脂质纳米粒包封率及体外释放度测定. 张红, 贾小莉, 匡长春,陈芳芳,符旭东. 中国药师 (Chin.Pharmacist), 2010,V01.13, No.3, 318-321</w:t>
      </w:r>
    </w:p>
    <w:p w14:paraId="70794212">
      <w:pPr>
        <w:pStyle w:val="24"/>
        <w:spacing w:before="156" w:after="156"/>
        <w:rPr>
          <w:rFonts w:hAnsi="宋体"/>
          <w:szCs w:val="21"/>
        </w:rPr>
      </w:pPr>
      <w:r>
        <w:rPr>
          <w:rFonts w:hint="eastAsia" w:ascii="宋体" w:hAnsi="宋体" w:eastAsia="宋体" w:cs="宋体"/>
        </w:rPr>
        <w:t>[18] A Review of In Vitro Drug Release Test Methods for Nano-Sized Dosage Forms, Susan D</w:t>
      </w:r>
      <w:r>
        <w:rPr>
          <w:rFonts w:hint="default" w:ascii="Times New Roman" w:hAnsi="Times New Roman" w:eastAsia="宋体" w:cs="Times New Roman"/>
        </w:rPr>
        <w:t>’</w:t>
      </w:r>
      <w:r>
        <w:rPr>
          <w:rFonts w:hint="eastAsia" w:ascii="宋体" w:hAnsi="宋体" w:eastAsia="宋体" w:cs="宋体"/>
        </w:rPr>
        <w:t>Souza, Advances in Pharmaceutics,Vol. 2014, Article ID 304757, 12 pages, http://dx.doi.org/10.1155/2014/304757</w:t>
      </w:r>
    </w:p>
    <w:p w14:paraId="76E89EF4">
      <w:pPr>
        <w:pStyle w:val="24"/>
        <w:spacing w:before="156" w:after="156"/>
        <w:rPr>
          <w:rFonts w:hAnsi="宋体"/>
          <w:szCs w:val="21"/>
        </w:rPr>
      </w:pPr>
      <w:r>
        <w:rPr>
          <w:rFonts w:hAnsi="宋体"/>
          <w:szCs w:val="21"/>
        </w:rPr>
        <w:pict>
          <v:rect id="_x0000_i1025" o:spt="1" style="height:1.5pt;width:114.9pt;" fillcolor="#000000" filled="t" stroked="f" coordsize="21600,21600" o:hr="t" o:hrstd="t" o:hrnoshade="t" o:hrpct="250" o:hralign="center">
            <v:path/>
            <v:fill on="t" focussize="0,0"/>
            <v:stroke on="f"/>
            <v:imagedata o:title=""/>
            <o:lock v:ext="edit"/>
            <w10:wrap type="none"/>
            <w10:anchorlock/>
          </v:rect>
        </w:pict>
      </w:r>
    </w:p>
    <w:bookmarkEnd w:id="53"/>
    <w:bookmarkEnd w:id="54"/>
    <w:bookmarkEnd w:id="55"/>
    <w:bookmarkEnd w:id="56"/>
    <w:bookmarkEnd w:id="57"/>
    <w:bookmarkEnd w:id="58"/>
    <w:bookmarkEnd w:id="59"/>
    <w:bookmarkEnd w:id="60"/>
    <w:bookmarkEnd w:id="61"/>
    <w:p w14:paraId="5526DE91">
      <w:pPr>
        <w:pStyle w:val="24"/>
        <w:spacing w:before="156" w:after="156"/>
        <w:rPr>
          <w:vanish/>
          <w:szCs w:val="21"/>
        </w:rPr>
      </w:pPr>
    </w:p>
    <w:sectPr>
      <w:footerReference r:id="rId8" w:type="default"/>
      <w:pgSz w:w="11906" w:h="16838"/>
      <w:pgMar w:top="1797" w:right="1274" w:bottom="1797" w:left="1440" w:header="1418" w:footer="1134" w:gutter="0"/>
      <w:pgNumType w:start="1"/>
      <w:cols w:space="425"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ABF14">
    <w:pPr>
      <w:pStyle w:val="72"/>
    </w:pPr>
    <w:r>
      <w:fldChar w:fldCharType="begin"/>
    </w:r>
    <w:r>
      <w:instrText xml:space="preserve"> PAGE  \* MERGEFORMAT </w:instrText>
    </w:r>
    <w:r>
      <w:fldChar w:fldCharType="separate"/>
    </w:r>
    <w: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57764">
    <w:pPr>
      <w:pStyle w:val="47"/>
    </w:pPr>
    <w:r>
      <w:fldChar w:fldCharType="begin"/>
    </w:r>
    <w:r>
      <w:instrText xml:space="preserve"> PAGE  \* MERGEFORMAT </w:instrText>
    </w:r>
    <w:r>
      <w:fldChar w:fldCharType="separate"/>
    </w:r>
    <w:r>
      <w:t>III</w:t>
    </w:r>
    <w:r>
      <w:fldChar w:fldCharType="end"/>
    </w:r>
  </w:p>
  <w:p w14:paraId="0A420AC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0290185"/>
    </w:sdtPr>
    <w:sdtContent>
      <w:p w14:paraId="24A51D71">
        <w:pPr>
          <w:pStyle w:val="18"/>
        </w:pPr>
        <w:r>
          <w:fldChar w:fldCharType="begin"/>
        </w:r>
        <w:r>
          <w:instrText xml:space="preserve">PAGE   \* MERGEFORMAT</w:instrText>
        </w:r>
        <w:r>
          <w:fldChar w:fldCharType="separate"/>
        </w:r>
        <w:r>
          <w:rPr>
            <w:lang w:val="zh-CN"/>
          </w:rPr>
          <w:t>7</w:t>
        </w:r>
        <w:r>
          <w:fldChar w:fldCharType="end"/>
        </w:r>
      </w:p>
    </w:sdtContent>
  </w:sdt>
  <w:p w14:paraId="6D6736C3">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136B8">
    <w:pPr>
      <w:pStyle w:val="48"/>
    </w:pPr>
    <w:r>
      <w:t>T/CSBM 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44918">
    <w:pPr>
      <w:pStyle w:val="48"/>
    </w:pPr>
    <w:r>
      <w:t>T/CSBM XXXXX—XXXX</w:t>
    </w:r>
  </w:p>
  <w:p w14:paraId="1964EAB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49DEE">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E367E9"/>
    <w:multiLevelType w:val="multilevel"/>
    <w:tmpl w:val="0AE367E9"/>
    <w:lvl w:ilvl="0" w:tentative="0">
      <w:start w:val="1"/>
      <w:numFmt w:val="none"/>
      <w:pStyle w:val="154"/>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
    <w:nsid w:val="1DBF583A"/>
    <w:multiLevelType w:val="multilevel"/>
    <w:tmpl w:val="1DBF583A"/>
    <w:lvl w:ilvl="0" w:tentative="0">
      <w:start w:val="1"/>
      <w:numFmt w:val="decimal"/>
      <w:pStyle w:val="69"/>
      <w:suff w:val="nothing"/>
      <w:lvlText w:val="注%1："/>
      <w:lvlJc w:val="left"/>
      <w:pPr>
        <w:ind w:left="874" w:hanging="448"/>
      </w:pPr>
      <w:rPr>
        <w:rFonts w:hint="eastAsia" w:ascii="黑体" w:eastAsia="黑体"/>
        <w:b w:val="0"/>
        <w:i w:val="0"/>
        <w:sz w:val="18"/>
        <w:szCs w:val="18"/>
        <w:vertAlign w:val="baseline"/>
      </w:rPr>
    </w:lvl>
    <w:lvl w:ilvl="1" w:tentative="0">
      <w:start w:val="1"/>
      <w:numFmt w:val="lowerLetter"/>
      <w:lvlText w:val="%2)"/>
      <w:lvlJc w:val="left"/>
      <w:pPr>
        <w:tabs>
          <w:tab w:val="left" w:pos="-444"/>
        </w:tabs>
        <w:ind w:left="548" w:hanging="629"/>
      </w:pPr>
      <w:rPr>
        <w:rFonts w:hint="eastAsia"/>
        <w:vertAlign w:val="baseline"/>
      </w:rPr>
    </w:lvl>
    <w:lvl w:ilvl="2" w:tentative="0">
      <w:start w:val="1"/>
      <w:numFmt w:val="lowerRoman"/>
      <w:lvlText w:val="%3."/>
      <w:lvlJc w:val="right"/>
      <w:pPr>
        <w:tabs>
          <w:tab w:val="left" w:pos="-444"/>
        </w:tabs>
        <w:ind w:left="548" w:hanging="629"/>
      </w:pPr>
      <w:rPr>
        <w:rFonts w:hint="eastAsia"/>
        <w:vertAlign w:val="baseline"/>
      </w:rPr>
    </w:lvl>
    <w:lvl w:ilvl="3" w:tentative="0">
      <w:start w:val="1"/>
      <w:numFmt w:val="decimal"/>
      <w:lvlText w:val="%4."/>
      <w:lvlJc w:val="left"/>
      <w:pPr>
        <w:tabs>
          <w:tab w:val="left" w:pos="-444"/>
        </w:tabs>
        <w:ind w:left="548" w:hanging="629"/>
      </w:pPr>
      <w:rPr>
        <w:rFonts w:hint="eastAsia"/>
        <w:vertAlign w:val="baseline"/>
      </w:rPr>
    </w:lvl>
    <w:lvl w:ilvl="4" w:tentative="0">
      <w:start w:val="1"/>
      <w:numFmt w:val="lowerLetter"/>
      <w:lvlText w:val="%5)"/>
      <w:lvlJc w:val="left"/>
      <w:pPr>
        <w:tabs>
          <w:tab w:val="left" w:pos="-444"/>
        </w:tabs>
        <w:ind w:left="548" w:hanging="629"/>
      </w:pPr>
      <w:rPr>
        <w:rFonts w:hint="eastAsia"/>
        <w:vertAlign w:val="baseline"/>
      </w:rPr>
    </w:lvl>
    <w:lvl w:ilvl="5" w:tentative="0">
      <w:start w:val="1"/>
      <w:numFmt w:val="lowerRoman"/>
      <w:lvlText w:val="%6."/>
      <w:lvlJc w:val="right"/>
      <w:pPr>
        <w:tabs>
          <w:tab w:val="left" w:pos="-444"/>
        </w:tabs>
        <w:ind w:left="548" w:hanging="629"/>
      </w:pPr>
      <w:rPr>
        <w:rFonts w:hint="eastAsia"/>
        <w:vertAlign w:val="baseline"/>
      </w:rPr>
    </w:lvl>
    <w:lvl w:ilvl="6" w:tentative="0">
      <w:start w:val="1"/>
      <w:numFmt w:val="decimal"/>
      <w:lvlText w:val="%7."/>
      <w:lvlJc w:val="left"/>
      <w:pPr>
        <w:tabs>
          <w:tab w:val="left" w:pos="-444"/>
        </w:tabs>
        <w:ind w:left="548" w:hanging="629"/>
      </w:pPr>
      <w:rPr>
        <w:rFonts w:hint="eastAsia"/>
        <w:vertAlign w:val="baseline"/>
      </w:rPr>
    </w:lvl>
    <w:lvl w:ilvl="7" w:tentative="0">
      <w:start w:val="1"/>
      <w:numFmt w:val="lowerLetter"/>
      <w:lvlText w:val="%8)"/>
      <w:lvlJc w:val="left"/>
      <w:pPr>
        <w:tabs>
          <w:tab w:val="left" w:pos="-444"/>
        </w:tabs>
        <w:ind w:left="548" w:hanging="629"/>
      </w:pPr>
      <w:rPr>
        <w:rFonts w:hint="eastAsia"/>
        <w:vertAlign w:val="baseline"/>
      </w:rPr>
    </w:lvl>
    <w:lvl w:ilvl="8" w:tentative="0">
      <w:start w:val="1"/>
      <w:numFmt w:val="lowerRoman"/>
      <w:lvlText w:val="%9."/>
      <w:lvlJc w:val="right"/>
      <w:pPr>
        <w:tabs>
          <w:tab w:val="left" w:pos="-444"/>
        </w:tabs>
        <w:ind w:left="548" w:hanging="629"/>
      </w:pPr>
      <w:rPr>
        <w:rFonts w:hint="eastAsia"/>
        <w:vertAlign w:val="baseline"/>
      </w:rPr>
    </w:lvl>
  </w:abstractNum>
  <w:abstractNum w:abstractNumId="2">
    <w:nsid w:val="1FC91163"/>
    <w:multiLevelType w:val="multilevel"/>
    <w:tmpl w:val="1FC91163"/>
    <w:lvl w:ilvl="0" w:tentative="0">
      <w:start w:val="1"/>
      <w:numFmt w:val="decimal"/>
      <w:pStyle w:val="49"/>
      <w:suff w:val="nothing"/>
      <w:lvlText w:val="%1　"/>
      <w:lvlJc w:val="left"/>
      <w:pPr>
        <w:ind w:left="142" w:firstLine="0"/>
      </w:pPr>
      <w:rPr>
        <w:rFonts w:hint="eastAsia" w:ascii="黑体" w:hAnsi="Times New Roman" w:eastAsia="黑体"/>
        <w:b w:val="0"/>
        <w:i w:val="0"/>
        <w:sz w:val="21"/>
        <w:szCs w:val="21"/>
      </w:rPr>
    </w:lvl>
    <w:lvl w:ilvl="1" w:tentative="0">
      <w:start w:val="1"/>
      <w:numFmt w:val="decimal"/>
      <w:pStyle w:val="46"/>
      <w:suff w:val="nothing"/>
      <w:lvlText w:val="%1.%2　"/>
      <w:lvlJc w:val="left"/>
      <w:pPr>
        <w:ind w:left="1986"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14:shadow w14:blurRad="0" w14:dist="0" w14:dir="0" w14:sx="0" w14:sy="0" w14:kx="0" w14:ky="0" w14:algn="none">
          <w14:srgbClr w14:val="000000"/>
        </w14:shadow>
      </w:rPr>
    </w:lvl>
    <w:lvl w:ilvl="2" w:tentative="0">
      <w:start w:val="1"/>
      <w:numFmt w:val="decimal"/>
      <w:pStyle w:val="50"/>
      <w:suff w:val="nothing"/>
      <w:lvlText w:val="%1.%2.%3　"/>
      <w:lvlJc w:val="left"/>
      <w:pPr>
        <w:ind w:left="2553" w:firstLine="0"/>
      </w:pPr>
      <w:rPr>
        <w:rFonts w:hint="eastAsia" w:ascii="黑体" w:hAnsi="Times New Roman" w:eastAsia="黑体"/>
        <w:b w:val="0"/>
        <w:i w:val="0"/>
        <w:sz w:val="21"/>
      </w:rPr>
    </w:lvl>
    <w:lvl w:ilvl="3" w:tentative="0">
      <w:start w:val="1"/>
      <w:numFmt w:val="decimal"/>
      <w:pStyle w:val="55"/>
      <w:suff w:val="nothing"/>
      <w:lvlText w:val="%1.%2.%3.%4　"/>
      <w:lvlJc w:val="left"/>
      <w:pPr>
        <w:ind w:left="426" w:firstLine="0"/>
      </w:pPr>
      <w:rPr>
        <w:rFonts w:hint="eastAsia" w:ascii="黑体" w:hAnsi="Times New Roman" w:eastAsia="黑体"/>
        <w:b w:val="0"/>
        <w:i w:val="0"/>
        <w:sz w:val="21"/>
      </w:rPr>
    </w:lvl>
    <w:lvl w:ilvl="4" w:tentative="0">
      <w:start w:val="1"/>
      <w:numFmt w:val="decimal"/>
      <w:pStyle w:val="59"/>
      <w:suff w:val="nothing"/>
      <w:lvlText w:val="%1.%2.%3.%4.%5　"/>
      <w:lvlJc w:val="left"/>
      <w:pPr>
        <w:ind w:left="142" w:firstLine="0"/>
      </w:pPr>
      <w:rPr>
        <w:rFonts w:hint="eastAsia" w:ascii="黑体" w:hAnsi="Times New Roman" w:eastAsia="黑体"/>
        <w:b w:val="0"/>
        <w:i w:val="0"/>
        <w:sz w:val="21"/>
      </w:rPr>
    </w:lvl>
    <w:lvl w:ilvl="5" w:tentative="0">
      <w:start w:val="1"/>
      <w:numFmt w:val="decimal"/>
      <w:pStyle w:val="60"/>
      <w:suff w:val="nothing"/>
      <w:lvlText w:val="%1.%2.%3.%4.%5.%6　"/>
      <w:lvlJc w:val="left"/>
      <w:pPr>
        <w:ind w:left="142" w:firstLine="0"/>
      </w:pPr>
      <w:rPr>
        <w:rFonts w:hint="eastAsia" w:ascii="黑体" w:hAnsi="Times New Roman" w:eastAsia="黑体"/>
        <w:b w:val="0"/>
        <w:i w:val="0"/>
        <w:sz w:val="21"/>
      </w:rPr>
    </w:lvl>
    <w:lvl w:ilvl="6" w:tentative="0">
      <w:start w:val="1"/>
      <w:numFmt w:val="decimal"/>
      <w:suff w:val="nothing"/>
      <w:lvlText w:val="%1%2.%3.%4.%5.%6.%7　"/>
      <w:lvlJc w:val="left"/>
      <w:pPr>
        <w:ind w:left="142" w:firstLine="0"/>
      </w:pPr>
      <w:rPr>
        <w:rFonts w:hint="eastAsia" w:ascii="黑体" w:hAnsi="Times New Roman" w:eastAsia="黑体"/>
        <w:b w:val="0"/>
        <w:i w:val="0"/>
        <w:sz w:val="21"/>
      </w:rPr>
    </w:lvl>
    <w:lvl w:ilvl="7" w:tentative="0">
      <w:start w:val="1"/>
      <w:numFmt w:val="decimal"/>
      <w:lvlText w:val="%1.%2.%3.%4.%5.%6.%7.%8"/>
      <w:lvlJc w:val="left"/>
      <w:pPr>
        <w:tabs>
          <w:tab w:val="left" w:pos="4493"/>
        </w:tabs>
        <w:ind w:left="4111" w:hanging="1418"/>
      </w:pPr>
      <w:rPr>
        <w:rFonts w:hint="eastAsia"/>
      </w:rPr>
    </w:lvl>
    <w:lvl w:ilvl="8" w:tentative="0">
      <w:start w:val="1"/>
      <w:numFmt w:val="decimal"/>
      <w:lvlText w:val="%1.%2.%3.%4.%5.%6.%7.%8.%9"/>
      <w:lvlJc w:val="left"/>
      <w:pPr>
        <w:tabs>
          <w:tab w:val="left" w:pos="4919"/>
        </w:tabs>
        <w:ind w:left="4819" w:hanging="1700"/>
      </w:pPr>
      <w:rPr>
        <w:rFonts w:hint="eastAsia"/>
      </w:rPr>
    </w:lvl>
  </w:abstractNum>
  <w:abstractNum w:abstractNumId="3">
    <w:nsid w:val="2A8F7113"/>
    <w:multiLevelType w:val="multilevel"/>
    <w:tmpl w:val="2A8F7113"/>
    <w:lvl w:ilvl="0" w:tentative="0">
      <w:start w:val="1"/>
      <w:numFmt w:val="upperLetter"/>
      <w:pStyle w:val="102"/>
      <w:suff w:val="space"/>
      <w:lvlText w:val="%1"/>
      <w:lvlJc w:val="left"/>
      <w:pPr>
        <w:ind w:left="623" w:hanging="425"/>
      </w:pPr>
      <w:rPr>
        <w:rFonts w:hint="eastAsia"/>
      </w:rPr>
    </w:lvl>
    <w:lvl w:ilvl="1" w:tentative="0">
      <w:start w:val="1"/>
      <w:numFmt w:val="decimal"/>
      <w:pStyle w:val="103"/>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4">
    <w:nsid w:val="2C5917C3"/>
    <w:multiLevelType w:val="multilevel"/>
    <w:tmpl w:val="2C5917C3"/>
    <w:lvl w:ilvl="0" w:tentative="0">
      <w:start w:val="1"/>
      <w:numFmt w:val="none"/>
      <w:suff w:val="nothing"/>
      <w:lvlText w:val="%1——"/>
      <w:lvlJc w:val="left"/>
      <w:pPr>
        <w:ind w:left="833" w:hanging="408"/>
      </w:pPr>
      <w:rPr>
        <w:rFonts w:hint="eastAsia"/>
      </w:rPr>
    </w:lvl>
    <w:lvl w:ilvl="1" w:tentative="0">
      <w:start w:val="1"/>
      <w:numFmt w:val="bullet"/>
      <w:pStyle w:val="53"/>
      <w:lvlText w:val=""/>
      <w:lvlJc w:val="left"/>
      <w:pPr>
        <w:tabs>
          <w:tab w:val="left" w:pos="760"/>
        </w:tabs>
        <w:ind w:left="1264" w:hanging="413"/>
      </w:pPr>
      <w:rPr>
        <w:rFonts w:hint="default" w:ascii="Symbol" w:hAnsi="Symbol"/>
        <w:color w:val="auto"/>
      </w:rPr>
    </w:lvl>
    <w:lvl w:ilvl="2" w:tentative="0">
      <w:start w:val="1"/>
      <w:numFmt w:val="bullet"/>
      <w:pStyle w:val="64"/>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5">
    <w:nsid w:val="3D733618"/>
    <w:multiLevelType w:val="multilevel"/>
    <w:tmpl w:val="3D733618"/>
    <w:lvl w:ilvl="0" w:tentative="0">
      <w:start w:val="1"/>
      <w:numFmt w:val="decimal"/>
      <w:pStyle w:val="25"/>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6">
    <w:nsid w:val="44C50F90"/>
    <w:multiLevelType w:val="multilevel"/>
    <w:tmpl w:val="44C50F90"/>
    <w:lvl w:ilvl="0" w:tentative="0">
      <w:start w:val="1"/>
      <w:numFmt w:val="lowerLetter"/>
      <w:pStyle w:val="63"/>
      <w:lvlText w:val="%1)"/>
      <w:lvlJc w:val="left"/>
      <w:pPr>
        <w:tabs>
          <w:tab w:val="left" w:pos="840"/>
        </w:tabs>
        <w:ind w:left="839" w:hanging="419"/>
      </w:pPr>
      <w:rPr>
        <w:rFonts w:hint="eastAsia" w:ascii="宋体" w:eastAsia="宋体"/>
        <w:b w:val="0"/>
        <w:i w:val="0"/>
        <w:sz w:val="21"/>
        <w:szCs w:val="21"/>
      </w:rPr>
    </w:lvl>
    <w:lvl w:ilvl="1" w:tentative="0">
      <w:start w:val="1"/>
      <w:numFmt w:val="decimal"/>
      <w:pStyle w:val="58"/>
      <w:lvlText w:val="%2)"/>
      <w:lvlJc w:val="left"/>
      <w:pPr>
        <w:tabs>
          <w:tab w:val="left" w:pos="1260"/>
        </w:tabs>
        <w:ind w:left="1259" w:hanging="419"/>
      </w:pPr>
      <w:rPr>
        <w:rFonts w:hint="eastAsia"/>
      </w:rPr>
    </w:lvl>
    <w:lvl w:ilvl="2" w:tentative="0">
      <w:start w:val="1"/>
      <w:numFmt w:val="decimal"/>
      <w:pStyle w:val="65"/>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7">
    <w:nsid w:val="48802D1C"/>
    <w:multiLevelType w:val="multilevel"/>
    <w:tmpl w:val="48802D1C"/>
    <w:lvl w:ilvl="0" w:tentative="0">
      <w:start w:val="1"/>
      <w:numFmt w:val="upperLetter"/>
      <w:lvlText w:val="%1"/>
      <w:lvlJc w:val="left"/>
      <w:pPr>
        <w:ind w:left="420" w:hanging="420"/>
      </w:pPr>
      <w:rPr>
        <w:rFonts w:hint="eastAsia"/>
      </w:rPr>
    </w:lvl>
    <w:lvl w:ilvl="1" w:tentative="0">
      <w:start w:val="1"/>
      <w:numFmt w:val="decimal"/>
      <w:pStyle w:val="166"/>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60B55DC2"/>
    <w:multiLevelType w:val="multilevel"/>
    <w:tmpl w:val="60B55DC2"/>
    <w:lvl w:ilvl="0" w:tentative="0">
      <w:start w:val="1"/>
      <w:numFmt w:val="upperLetter"/>
      <w:pStyle w:val="90"/>
      <w:lvlText w:val="%1"/>
      <w:lvlJc w:val="left"/>
      <w:pPr>
        <w:tabs>
          <w:tab w:val="left" w:pos="0"/>
        </w:tabs>
        <w:ind w:left="0" w:hanging="425"/>
      </w:pPr>
      <w:rPr>
        <w:rFonts w:hint="eastAsia"/>
      </w:rPr>
    </w:lvl>
    <w:lvl w:ilvl="1" w:tentative="0">
      <w:start w:val="1"/>
      <w:numFmt w:val="decimal"/>
      <w:pStyle w:val="91"/>
      <w:suff w:val="nothing"/>
      <w:lvlText w:val="表%1.%2　"/>
      <w:lvlJc w:val="left"/>
      <w:pPr>
        <w:ind w:left="3402"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9">
    <w:nsid w:val="657D3FBC"/>
    <w:multiLevelType w:val="multilevel"/>
    <w:tmpl w:val="657D3FBC"/>
    <w:lvl w:ilvl="0" w:tentative="0">
      <w:start w:val="1"/>
      <w:numFmt w:val="upperLetter"/>
      <w:pStyle w:val="88"/>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67"/>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7"/>
      <w:suff w:val="nothing"/>
      <w:lvlText w:val="%1.%2.%3　"/>
      <w:lvlJc w:val="left"/>
      <w:pPr>
        <w:ind w:left="0" w:firstLine="0"/>
      </w:pPr>
      <w:rPr>
        <w:rFonts w:hint="eastAsia" w:ascii="黑体" w:hAnsi="Times New Roman" w:eastAsia="黑体"/>
        <w:b w:val="0"/>
        <w:i w:val="0"/>
        <w:sz w:val="21"/>
      </w:rPr>
    </w:lvl>
    <w:lvl w:ilvl="3" w:tentative="0">
      <w:start w:val="1"/>
      <w:numFmt w:val="decimal"/>
      <w:pStyle w:val="92"/>
      <w:suff w:val="nothing"/>
      <w:lvlText w:val="%1.%2.%3.%4　"/>
      <w:lvlJc w:val="left"/>
      <w:pPr>
        <w:ind w:left="0" w:firstLine="0"/>
      </w:pPr>
      <w:rPr>
        <w:rFonts w:hint="eastAsia" w:ascii="黑体" w:hAnsi="Times New Roman" w:eastAsia="黑体"/>
        <w:b w:val="0"/>
        <w:i w:val="0"/>
        <w:sz w:val="21"/>
      </w:rPr>
    </w:lvl>
    <w:lvl w:ilvl="4" w:tentative="0">
      <w:start w:val="1"/>
      <w:numFmt w:val="decimal"/>
      <w:pStyle w:val="97"/>
      <w:suff w:val="nothing"/>
      <w:lvlText w:val="%1.%2.%3.%4.%5　"/>
      <w:lvlJc w:val="left"/>
      <w:pPr>
        <w:ind w:left="0" w:firstLine="0"/>
      </w:pPr>
      <w:rPr>
        <w:rFonts w:hint="eastAsia" w:ascii="黑体" w:hAnsi="Times New Roman" w:eastAsia="黑体"/>
        <w:b w:val="0"/>
        <w:i w:val="0"/>
        <w:sz w:val="21"/>
      </w:rPr>
    </w:lvl>
    <w:lvl w:ilvl="5" w:tentative="0">
      <w:start w:val="1"/>
      <w:numFmt w:val="decimal"/>
      <w:pStyle w:val="100"/>
      <w:suff w:val="nothing"/>
      <w:lvlText w:val="%1.%2.%3.%4.%5.%6　"/>
      <w:lvlJc w:val="left"/>
      <w:pPr>
        <w:ind w:left="0" w:firstLine="0"/>
      </w:pPr>
      <w:rPr>
        <w:rFonts w:hint="eastAsia" w:ascii="黑体" w:hAnsi="Times New Roman" w:eastAsia="黑体"/>
        <w:b w:val="0"/>
        <w:i w:val="0"/>
        <w:sz w:val="21"/>
      </w:rPr>
    </w:lvl>
    <w:lvl w:ilvl="6" w:tentative="0">
      <w:start w:val="1"/>
      <w:numFmt w:val="decimal"/>
      <w:pStyle w:val="10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6D6C07CD"/>
    <w:multiLevelType w:val="multilevel"/>
    <w:tmpl w:val="6D6C07CD"/>
    <w:lvl w:ilvl="0" w:tentative="0">
      <w:start w:val="1"/>
      <w:numFmt w:val="lowerLetter"/>
      <w:pStyle w:val="109"/>
      <w:lvlText w:val="%1)"/>
      <w:lvlJc w:val="left"/>
      <w:pPr>
        <w:tabs>
          <w:tab w:val="left" w:pos="839"/>
        </w:tabs>
        <w:ind w:left="839" w:hanging="419"/>
      </w:pPr>
      <w:rPr>
        <w:rFonts w:hint="eastAsia" w:ascii="宋体" w:eastAsia="宋体"/>
        <w:b w:val="0"/>
        <w:i w:val="0"/>
        <w:sz w:val="21"/>
      </w:rPr>
    </w:lvl>
    <w:lvl w:ilvl="1" w:tentative="0">
      <w:start w:val="1"/>
      <w:numFmt w:val="decimal"/>
      <w:pStyle w:val="99"/>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1">
    <w:nsid w:val="6DBF04F4"/>
    <w:multiLevelType w:val="multilevel"/>
    <w:tmpl w:val="6DBF04F4"/>
    <w:lvl w:ilvl="0" w:tentative="0">
      <w:start w:val="1"/>
      <w:numFmt w:val="none"/>
      <w:pStyle w:val="61"/>
      <w:suff w:val="nothing"/>
      <w:lvlText w:val="%1注："/>
      <w:lvlJc w:val="left"/>
      <w:pPr>
        <w:ind w:left="2348" w:hanging="363"/>
      </w:pPr>
      <w:rPr>
        <w:rFonts w:hint="eastAsia" w:ascii="黑体" w:hAnsi="Times New Roman" w:eastAsia="黑体"/>
        <w:b w:val="0"/>
        <w:i w:val="0"/>
        <w:sz w:val="21"/>
        <w:szCs w:val="21"/>
        <w:lang w:val="en-US"/>
      </w:rPr>
    </w:lvl>
    <w:lvl w:ilvl="1" w:tentative="0">
      <w:start w:val="1"/>
      <w:numFmt w:val="lowerLetter"/>
      <w:lvlText w:val="%2)"/>
      <w:lvlJc w:val="left"/>
      <w:pPr>
        <w:tabs>
          <w:tab w:val="left" w:pos="3786"/>
        </w:tabs>
        <w:ind w:left="3372" w:hanging="363"/>
      </w:pPr>
      <w:rPr>
        <w:rFonts w:hint="eastAsia"/>
      </w:rPr>
    </w:lvl>
    <w:lvl w:ilvl="2" w:tentative="0">
      <w:start w:val="1"/>
      <w:numFmt w:val="lowerRoman"/>
      <w:lvlText w:val="%3."/>
      <w:lvlJc w:val="right"/>
      <w:pPr>
        <w:tabs>
          <w:tab w:val="left" w:pos="3786"/>
        </w:tabs>
        <w:ind w:left="3372" w:hanging="363"/>
      </w:pPr>
      <w:rPr>
        <w:rFonts w:hint="eastAsia"/>
      </w:rPr>
    </w:lvl>
    <w:lvl w:ilvl="3" w:tentative="0">
      <w:start w:val="1"/>
      <w:numFmt w:val="decimal"/>
      <w:lvlText w:val="%4."/>
      <w:lvlJc w:val="left"/>
      <w:pPr>
        <w:tabs>
          <w:tab w:val="left" w:pos="3786"/>
        </w:tabs>
        <w:ind w:left="3372" w:hanging="363"/>
      </w:pPr>
      <w:rPr>
        <w:rFonts w:hint="eastAsia"/>
      </w:rPr>
    </w:lvl>
    <w:lvl w:ilvl="4" w:tentative="0">
      <w:start w:val="1"/>
      <w:numFmt w:val="lowerLetter"/>
      <w:lvlText w:val="%5)"/>
      <w:lvlJc w:val="left"/>
      <w:pPr>
        <w:tabs>
          <w:tab w:val="left" w:pos="3786"/>
        </w:tabs>
        <w:ind w:left="3372" w:hanging="363"/>
      </w:pPr>
      <w:rPr>
        <w:rFonts w:hint="eastAsia"/>
      </w:rPr>
    </w:lvl>
    <w:lvl w:ilvl="5" w:tentative="0">
      <w:start w:val="1"/>
      <w:numFmt w:val="lowerRoman"/>
      <w:lvlText w:val="%6."/>
      <w:lvlJc w:val="right"/>
      <w:pPr>
        <w:tabs>
          <w:tab w:val="left" w:pos="3786"/>
        </w:tabs>
        <w:ind w:left="3372" w:hanging="363"/>
      </w:pPr>
      <w:rPr>
        <w:rFonts w:hint="eastAsia"/>
      </w:rPr>
    </w:lvl>
    <w:lvl w:ilvl="6" w:tentative="0">
      <w:start w:val="1"/>
      <w:numFmt w:val="decimal"/>
      <w:lvlText w:val="%7."/>
      <w:lvlJc w:val="left"/>
      <w:pPr>
        <w:tabs>
          <w:tab w:val="left" w:pos="3786"/>
        </w:tabs>
        <w:ind w:left="3372" w:hanging="363"/>
      </w:pPr>
      <w:rPr>
        <w:rFonts w:hint="eastAsia"/>
      </w:rPr>
    </w:lvl>
    <w:lvl w:ilvl="7" w:tentative="0">
      <w:start w:val="1"/>
      <w:numFmt w:val="lowerLetter"/>
      <w:lvlText w:val="%8)"/>
      <w:lvlJc w:val="left"/>
      <w:pPr>
        <w:tabs>
          <w:tab w:val="left" w:pos="3786"/>
        </w:tabs>
        <w:ind w:left="3372" w:hanging="363"/>
      </w:pPr>
      <w:rPr>
        <w:rFonts w:hint="eastAsia"/>
      </w:rPr>
    </w:lvl>
    <w:lvl w:ilvl="8" w:tentative="0">
      <w:start w:val="1"/>
      <w:numFmt w:val="lowerRoman"/>
      <w:lvlText w:val="%9."/>
      <w:lvlJc w:val="right"/>
      <w:pPr>
        <w:tabs>
          <w:tab w:val="left" w:pos="3786"/>
        </w:tabs>
        <w:ind w:left="3372" w:hanging="363"/>
      </w:pPr>
      <w:rPr>
        <w:rFonts w:hint="eastAsia"/>
      </w:rPr>
    </w:lvl>
  </w:abstractNum>
  <w:abstractNum w:abstractNumId="12">
    <w:nsid w:val="6FE4A520"/>
    <w:multiLevelType w:val="multilevel"/>
    <w:tmpl w:val="6FE4A520"/>
    <w:lvl w:ilvl="0" w:tentative="0">
      <w:start w:val="1"/>
      <w:numFmt w:val="decimal"/>
      <w:pStyle w:val="163"/>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72" w:hanging="1418"/>
      </w:pPr>
    </w:lvl>
    <w:lvl w:ilvl="8" w:tentative="0">
      <w:start w:val="1"/>
      <w:numFmt w:val="decimal"/>
      <w:lvlText w:val="%1.%2.%3.%4.%5.%6.%7.%8.%9"/>
      <w:lvlJc w:val="left"/>
      <w:pPr>
        <w:tabs>
          <w:tab w:val="left" w:pos="4774"/>
        </w:tabs>
        <w:ind w:left="4677" w:hanging="1702"/>
      </w:pPr>
    </w:lvl>
  </w:abstractNum>
  <w:abstractNum w:abstractNumId="13">
    <w:nsid w:val="76933334"/>
    <w:multiLevelType w:val="multilevel"/>
    <w:tmpl w:val="76933334"/>
    <w:lvl w:ilvl="0" w:tentative="0">
      <w:start w:val="1"/>
      <w:numFmt w:val="none"/>
      <w:pStyle w:val="52"/>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2"/>
  </w:num>
  <w:num w:numId="3">
    <w:abstractNumId w:val="13"/>
  </w:num>
  <w:num w:numId="4">
    <w:abstractNumId w:val="4"/>
  </w:num>
  <w:num w:numId="5">
    <w:abstractNumId w:val="6"/>
  </w:num>
  <w:num w:numId="6">
    <w:abstractNumId w:val="11"/>
  </w:num>
  <w:num w:numId="7">
    <w:abstractNumId w:val="1"/>
  </w:num>
  <w:num w:numId="8">
    <w:abstractNumId w:val="9"/>
  </w:num>
  <w:num w:numId="9">
    <w:abstractNumId w:val="8"/>
  </w:num>
  <w:num w:numId="10">
    <w:abstractNumId w:val="10"/>
  </w:num>
  <w:num w:numId="11">
    <w:abstractNumId w:val="3"/>
  </w:num>
  <w:num w:numId="12">
    <w:abstractNumId w:val="0"/>
  </w:num>
  <w:num w:numId="13">
    <w:abstractNumId w:val="12"/>
  </w:num>
  <w:num w:numId="14">
    <w:abstractNumId w:val="7"/>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25"/>
    <w:rsid w:val="00000244"/>
    <w:rsid w:val="0000030D"/>
    <w:rsid w:val="000008AB"/>
    <w:rsid w:val="0000185F"/>
    <w:rsid w:val="00003DCF"/>
    <w:rsid w:val="000046A1"/>
    <w:rsid w:val="0000586F"/>
    <w:rsid w:val="0001066F"/>
    <w:rsid w:val="00011406"/>
    <w:rsid w:val="00012236"/>
    <w:rsid w:val="00012B2D"/>
    <w:rsid w:val="00013D86"/>
    <w:rsid w:val="00013E02"/>
    <w:rsid w:val="0001452A"/>
    <w:rsid w:val="000147A8"/>
    <w:rsid w:val="00015E59"/>
    <w:rsid w:val="00015FA2"/>
    <w:rsid w:val="00017988"/>
    <w:rsid w:val="00020BB7"/>
    <w:rsid w:val="0002143C"/>
    <w:rsid w:val="00023888"/>
    <w:rsid w:val="00025754"/>
    <w:rsid w:val="00025A65"/>
    <w:rsid w:val="00025D16"/>
    <w:rsid w:val="00026771"/>
    <w:rsid w:val="00026C31"/>
    <w:rsid w:val="00026D83"/>
    <w:rsid w:val="00027280"/>
    <w:rsid w:val="00030A8E"/>
    <w:rsid w:val="000320A7"/>
    <w:rsid w:val="000321DD"/>
    <w:rsid w:val="00032DCA"/>
    <w:rsid w:val="00034BE4"/>
    <w:rsid w:val="0003568B"/>
    <w:rsid w:val="00035925"/>
    <w:rsid w:val="00036A48"/>
    <w:rsid w:val="000371C2"/>
    <w:rsid w:val="00041566"/>
    <w:rsid w:val="00041B4E"/>
    <w:rsid w:val="00042027"/>
    <w:rsid w:val="00042C00"/>
    <w:rsid w:val="00044EFA"/>
    <w:rsid w:val="00050070"/>
    <w:rsid w:val="000508FD"/>
    <w:rsid w:val="00051637"/>
    <w:rsid w:val="00052008"/>
    <w:rsid w:val="0005228E"/>
    <w:rsid w:val="0005385A"/>
    <w:rsid w:val="0005462F"/>
    <w:rsid w:val="000550EF"/>
    <w:rsid w:val="00056878"/>
    <w:rsid w:val="00057D09"/>
    <w:rsid w:val="00062235"/>
    <w:rsid w:val="00064E9A"/>
    <w:rsid w:val="0006651D"/>
    <w:rsid w:val="00066FCC"/>
    <w:rsid w:val="00067665"/>
    <w:rsid w:val="00067CDF"/>
    <w:rsid w:val="00072004"/>
    <w:rsid w:val="00072622"/>
    <w:rsid w:val="00073E51"/>
    <w:rsid w:val="00074F03"/>
    <w:rsid w:val="00074FBE"/>
    <w:rsid w:val="00077269"/>
    <w:rsid w:val="00080BB5"/>
    <w:rsid w:val="00083A09"/>
    <w:rsid w:val="00084F83"/>
    <w:rsid w:val="00085BB9"/>
    <w:rsid w:val="00086B0B"/>
    <w:rsid w:val="0009005E"/>
    <w:rsid w:val="00092857"/>
    <w:rsid w:val="00095385"/>
    <w:rsid w:val="00096585"/>
    <w:rsid w:val="00096FCF"/>
    <w:rsid w:val="000A073B"/>
    <w:rsid w:val="000A20A9"/>
    <w:rsid w:val="000A48B1"/>
    <w:rsid w:val="000A57B9"/>
    <w:rsid w:val="000A587E"/>
    <w:rsid w:val="000A59E5"/>
    <w:rsid w:val="000B15CB"/>
    <w:rsid w:val="000B3143"/>
    <w:rsid w:val="000B4943"/>
    <w:rsid w:val="000B4966"/>
    <w:rsid w:val="000B5192"/>
    <w:rsid w:val="000B5A31"/>
    <w:rsid w:val="000B5EFC"/>
    <w:rsid w:val="000B75AF"/>
    <w:rsid w:val="000B7ED2"/>
    <w:rsid w:val="000B7F3E"/>
    <w:rsid w:val="000C0E22"/>
    <w:rsid w:val="000C2718"/>
    <w:rsid w:val="000C2DBC"/>
    <w:rsid w:val="000C2E3F"/>
    <w:rsid w:val="000C3290"/>
    <w:rsid w:val="000C494F"/>
    <w:rsid w:val="000C5CD2"/>
    <w:rsid w:val="000C5FEE"/>
    <w:rsid w:val="000C6A75"/>
    <w:rsid w:val="000C6B05"/>
    <w:rsid w:val="000C6DD6"/>
    <w:rsid w:val="000C6E6C"/>
    <w:rsid w:val="000C70D6"/>
    <w:rsid w:val="000C7357"/>
    <w:rsid w:val="000C73D4"/>
    <w:rsid w:val="000C766A"/>
    <w:rsid w:val="000C7AFB"/>
    <w:rsid w:val="000D0892"/>
    <w:rsid w:val="000D0E9F"/>
    <w:rsid w:val="000D1C26"/>
    <w:rsid w:val="000D333A"/>
    <w:rsid w:val="000D3D4C"/>
    <w:rsid w:val="000D4F51"/>
    <w:rsid w:val="000D6069"/>
    <w:rsid w:val="000D698F"/>
    <w:rsid w:val="000D6FD9"/>
    <w:rsid w:val="000D718B"/>
    <w:rsid w:val="000E0C46"/>
    <w:rsid w:val="000E3043"/>
    <w:rsid w:val="000E31AE"/>
    <w:rsid w:val="000E33E2"/>
    <w:rsid w:val="000E3F8F"/>
    <w:rsid w:val="000E47C6"/>
    <w:rsid w:val="000E5126"/>
    <w:rsid w:val="000E76D5"/>
    <w:rsid w:val="000F030C"/>
    <w:rsid w:val="000F129C"/>
    <w:rsid w:val="000F2442"/>
    <w:rsid w:val="000F2852"/>
    <w:rsid w:val="000F300B"/>
    <w:rsid w:val="000F446B"/>
    <w:rsid w:val="000F49FF"/>
    <w:rsid w:val="000F6634"/>
    <w:rsid w:val="000F7508"/>
    <w:rsid w:val="00100A40"/>
    <w:rsid w:val="00100A6E"/>
    <w:rsid w:val="001016A7"/>
    <w:rsid w:val="001029E4"/>
    <w:rsid w:val="001056DE"/>
    <w:rsid w:val="00107118"/>
    <w:rsid w:val="00107654"/>
    <w:rsid w:val="00107AD1"/>
    <w:rsid w:val="001107EE"/>
    <w:rsid w:val="001120CA"/>
    <w:rsid w:val="00112392"/>
    <w:rsid w:val="00112394"/>
    <w:rsid w:val="001124C0"/>
    <w:rsid w:val="001127E8"/>
    <w:rsid w:val="001137B5"/>
    <w:rsid w:val="00113A5C"/>
    <w:rsid w:val="00113B10"/>
    <w:rsid w:val="00114E73"/>
    <w:rsid w:val="00115D10"/>
    <w:rsid w:val="001161CA"/>
    <w:rsid w:val="00120F0C"/>
    <w:rsid w:val="001218AC"/>
    <w:rsid w:val="001225A2"/>
    <w:rsid w:val="001226A7"/>
    <w:rsid w:val="00123C8F"/>
    <w:rsid w:val="00123E9B"/>
    <w:rsid w:val="00123EA2"/>
    <w:rsid w:val="00123F5E"/>
    <w:rsid w:val="0012485C"/>
    <w:rsid w:val="00125EFE"/>
    <w:rsid w:val="001314E2"/>
    <w:rsid w:val="0013175F"/>
    <w:rsid w:val="00131B57"/>
    <w:rsid w:val="00131DBE"/>
    <w:rsid w:val="001329F8"/>
    <w:rsid w:val="00132EBE"/>
    <w:rsid w:val="00136156"/>
    <w:rsid w:val="00137E33"/>
    <w:rsid w:val="00140320"/>
    <w:rsid w:val="00140994"/>
    <w:rsid w:val="00141D62"/>
    <w:rsid w:val="001442D1"/>
    <w:rsid w:val="00145A4A"/>
    <w:rsid w:val="00147321"/>
    <w:rsid w:val="001512B4"/>
    <w:rsid w:val="00151307"/>
    <w:rsid w:val="001517BB"/>
    <w:rsid w:val="00152529"/>
    <w:rsid w:val="0015603C"/>
    <w:rsid w:val="001576C1"/>
    <w:rsid w:val="00157924"/>
    <w:rsid w:val="001620A5"/>
    <w:rsid w:val="001624B7"/>
    <w:rsid w:val="00162F05"/>
    <w:rsid w:val="00163621"/>
    <w:rsid w:val="00164376"/>
    <w:rsid w:val="00164E53"/>
    <w:rsid w:val="00165460"/>
    <w:rsid w:val="001660E5"/>
    <w:rsid w:val="0016699D"/>
    <w:rsid w:val="00170A51"/>
    <w:rsid w:val="0017246F"/>
    <w:rsid w:val="001733FD"/>
    <w:rsid w:val="00174301"/>
    <w:rsid w:val="001744CD"/>
    <w:rsid w:val="00174A2C"/>
    <w:rsid w:val="00175159"/>
    <w:rsid w:val="00175FDB"/>
    <w:rsid w:val="00176208"/>
    <w:rsid w:val="0017634D"/>
    <w:rsid w:val="00176610"/>
    <w:rsid w:val="001767C7"/>
    <w:rsid w:val="00180C60"/>
    <w:rsid w:val="001819C4"/>
    <w:rsid w:val="0018211B"/>
    <w:rsid w:val="001829F7"/>
    <w:rsid w:val="00183316"/>
    <w:rsid w:val="00183720"/>
    <w:rsid w:val="001840D3"/>
    <w:rsid w:val="00184BB0"/>
    <w:rsid w:val="00184F45"/>
    <w:rsid w:val="001859B5"/>
    <w:rsid w:val="001860CE"/>
    <w:rsid w:val="00186156"/>
    <w:rsid w:val="001874F2"/>
    <w:rsid w:val="00187520"/>
    <w:rsid w:val="001875C2"/>
    <w:rsid w:val="00187E3E"/>
    <w:rsid w:val="001900F8"/>
    <w:rsid w:val="001902DE"/>
    <w:rsid w:val="00191258"/>
    <w:rsid w:val="00191D09"/>
    <w:rsid w:val="00192680"/>
    <w:rsid w:val="0019284B"/>
    <w:rsid w:val="00193037"/>
    <w:rsid w:val="001938C7"/>
    <w:rsid w:val="00193A2C"/>
    <w:rsid w:val="00193AB2"/>
    <w:rsid w:val="00193C13"/>
    <w:rsid w:val="001940B0"/>
    <w:rsid w:val="00196A4A"/>
    <w:rsid w:val="001A1B13"/>
    <w:rsid w:val="001A288E"/>
    <w:rsid w:val="001A4775"/>
    <w:rsid w:val="001B057F"/>
    <w:rsid w:val="001B2469"/>
    <w:rsid w:val="001B2A84"/>
    <w:rsid w:val="001B338B"/>
    <w:rsid w:val="001B3EFF"/>
    <w:rsid w:val="001B43D3"/>
    <w:rsid w:val="001B4608"/>
    <w:rsid w:val="001B63F4"/>
    <w:rsid w:val="001B6DC2"/>
    <w:rsid w:val="001B6E4B"/>
    <w:rsid w:val="001B784A"/>
    <w:rsid w:val="001B7C37"/>
    <w:rsid w:val="001B7ED5"/>
    <w:rsid w:val="001B7FAD"/>
    <w:rsid w:val="001C149C"/>
    <w:rsid w:val="001C21AC"/>
    <w:rsid w:val="001C3513"/>
    <w:rsid w:val="001C3BA9"/>
    <w:rsid w:val="001C4282"/>
    <w:rsid w:val="001C478D"/>
    <w:rsid w:val="001C47BA"/>
    <w:rsid w:val="001C58CA"/>
    <w:rsid w:val="001C59EA"/>
    <w:rsid w:val="001C5A84"/>
    <w:rsid w:val="001C5DE1"/>
    <w:rsid w:val="001C77C3"/>
    <w:rsid w:val="001C7DFF"/>
    <w:rsid w:val="001D020C"/>
    <w:rsid w:val="001D0A45"/>
    <w:rsid w:val="001D1AD0"/>
    <w:rsid w:val="001D406C"/>
    <w:rsid w:val="001D41EE"/>
    <w:rsid w:val="001D5189"/>
    <w:rsid w:val="001D56F5"/>
    <w:rsid w:val="001D5978"/>
    <w:rsid w:val="001D62C9"/>
    <w:rsid w:val="001D7036"/>
    <w:rsid w:val="001D7830"/>
    <w:rsid w:val="001E0380"/>
    <w:rsid w:val="001E13B1"/>
    <w:rsid w:val="001E4B97"/>
    <w:rsid w:val="001E5094"/>
    <w:rsid w:val="001E54F1"/>
    <w:rsid w:val="001E677E"/>
    <w:rsid w:val="001E6AFE"/>
    <w:rsid w:val="001E7F1C"/>
    <w:rsid w:val="001F001F"/>
    <w:rsid w:val="001F018C"/>
    <w:rsid w:val="001F05F7"/>
    <w:rsid w:val="001F140D"/>
    <w:rsid w:val="001F19F9"/>
    <w:rsid w:val="001F1E63"/>
    <w:rsid w:val="001F2C8C"/>
    <w:rsid w:val="001F3A19"/>
    <w:rsid w:val="001F6E38"/>
    <w:rsid w:val="001F727C"/>
    <w:rsid w:val="00200EA9"/>
    <w:rsid w:val="00201D7E"/>
    <w:rsid w:val="00201E02"/>
    <w:rsid w:val="00202718"/>
    <w:rsid w:val="00204790"/>
    <w:rsid w:val="00205444"/>
    <w:rsid w:val="00205C17"/>
    <w:rsid w:val="0020650D"/>
    <w:rsid w:val="00210025"/>
    <w:rsid w:val="0021061A"/>
    <w:rsid w:val="00211AC8"/>
    <w:rsid w:val="00214736"/>
    <w:rsid w:val="0021552D"/>
    <w:rsid w:val="002164B5"/>
    <w:rsid w:val="00216EB1"/>
    <w:rsid w:val="0022029B"/>
    <w:rsid w:val="00220470"/>
    <w:rsid w:val="002214CB"/>
    <w:rsid w:val="0022322B"/>
    <w:rsid w:val="00223332"/>
    <w:rsid w:val="002240CD"/>
    <w:rsid w:val="0022472D"/>
    <w:rsid w:val="00227ACE"/>
    <w:rsid w:val="00230156"/>
    <w:rsid w:val="00230511"/>
    <w:rsid w:val="002310DD"/>
    <w:rsid w:val="00232C81"/>
    <w:rsid w:val="00232F9E"/>
    <w:rsid w:val="00233802"/>
    <w:rsid w:val="00234467"/>
    <w:rsid w:val="00235B7F"/>
    <w:rsid w:val="00235FE5"/>
    <w:rsid w:val="00237D8D"/>
    <w:rsid w:val="002418B7"/>
    <w:rsid w:val="00241DA2"/>
    <w:rsid w:val="00242033"/>
    <w:rsid w:val="00244481"/>
    <w:rsid w:val="00244D2B"/>
    <w:rsid w:val="0024795A"/>
    <w:rsid w:val="0024796B"/>
    <w:rsid w:val="00247FEE"/>
    <w:rsid w:val="00250E7D"/>
    <w:rsid w:val="0025146D"/>
    <w:rsid w:val="00251CE6"/>
    <w:rsid w:val="00251FD5"/>
    <w:rsid w:val="002522D3"/>
    <w:rsid w:val="00253871"/>
    <w:rsid w:val="002565D5"/>
    <w:rsid w:val="00260FE8"/>
    <w:rsid w:val="002622C0"/>
    <w:rsid w:val="00262B25"/>
    <w:rsid w:val="002639EF"/>
    <w:rsid w:val="00264E27"/>
    <w:rsid w:val="00266132"/>
    <w:rsid w:val="00266259"/>
    <w:rsid w:val="002671DE"/>
    <w:rsid w:val="0027007C"/>
    <w:rsid w:val="00273538"/>
    <w:rsid w:val="00273F1E"/>
    <w:rsid w:val="0027476E"/>
    <w:rsid w:val="00274DF1"/>
    <w:rsid w:val="00274F7F"/>
    <w:rsid w:val="00275385"/>
    <w:rsid w:val="00275700"/>
    <w:rsid w:val="002764F1"/>
    <w:rsid w:val="00276933"/>
    <w:rsid w:val="002777BF"/>
    <w:rsid w:val="002778AE"/>
    <w:rsid w:val="002779C9"/>
    <w:rsid w:val="002804C5"/>
    <w:rsid w:val="00280A31"/>
    <w:rsid w:val="00282285"/>
    <w:rsid w:val="002822A7"/>
    <w:rsid w:val="0028269A"/>
    <w:rsid w:val="00282B3C"/>
    <w:rsid w:val="00283590"/>
    <w:rsid w:val="0028581A"/>
    <w:rsid w:val="00285858"/>
    <w:rsid w:val="002859BA"/>
    <w:rsid w:val="002864B4"/>
    <w:rsid w:val="00286973"/>
    <w:rsid w:val="002904E8"/>
    <w:rsid w:val="00291EA5"/>
    <w:rsid w:val="00292956"/>
    <w:rsid w:val="00292AEA"/>
    <w:rsid w:val="00294E70"/>
    <w:rsid w:val="0029510A"/>
    <w:rsid w:val="002969C3"/>
    <w:rsid w:val="002A0412"/>
    <w:rsid w:val="002A0D63"/>
    <w:rsid w:val="002A131D"/>
    <w:rsid w:val="002A1924"/>
    <w:rsid w:val="002A1DD9"/>
    <w:rsid w:val="002A4FEB"/>
    <w:rsid w:val="002A5312"/>
    <w:rsid w:val="002A59B9"/>
    <w:rsid w:val="002A5A87"/>
    <w:rsid w:val="002A5BAC"/>
    <w:rsid w:val="002A615E"/>
    <w:rsid w:val="002A6510"/>
    <w:rsid w:val="002A6A95"/>
    <w:rsid w:val="002A7420"/>
    <w:rsid w:val="002B0F12"/>
    <w:rsid w:val="002B1308"/>
    <w:rsid w:val="002B1D2E"/>
    <w:rsid w:val="002B2EC1"/>
    <w:rsid w:val="002B37A9"/>
    <w:rsid w:val="002B3AD0"/>
    <w:rsid w:val="002B4554"/>
    <w:rsid w:val="002B4A7A"/>
    <w:rsid w:val="002B4F45"/>
    <w:rsid w:val="002B7C62"/>
    <w:rsid w:val="002C16A2"/>
    <w:rsid w:val="002C391A"/>
    <w:rsid w:val="002C4732"/>
    <w:rsid w:val="002C72D8"/>
    <w:rsid w:val="002D11FA"/>
    <w:rsid w:val="002D149A"/>
    <w:rsid w:val="002D1C94"/>
    <w:rsid w:val="002D3099"/>
    <w:rsid w:val="002D3293"/>
    <w:rsid w:val="002D3A5B"/>
    <w:rsid w:val="002D43EB"/>
    <w:rsid w:val="002D4ADE"/>
    <w:rsid w:val="002D648B"/>
    <w:rsid w:val="002E0DDF"/>
    <w:rsid w:val="002E1032"/>
    <w:rsid w:val="002E123A"/>
    <w:rsid w:val="002E2906"/>
    <w:rsid w:val="002E38D6"/>
    <w:rsid w:val="002E45A9"/>
    <w:rsid w:val="002E5635"/>
    <w:rsid w:val="002E56B7"/>
    <w:rsid w:val="002E64C3"/>
    <w:rsid w:val="002E6A2C"/>
    <w:rsid w:val="002E6A62"/>
    <w:rsid w:val="002E6B42"/>
    <w:rsid w:val="002E7BA6"/>
    <w:rsid w:val="002F1D8C"/>
    <w:rsid w:val="002F1E7E"/>
    <w:rsid w:val="002F20CE"/>
    <w:rsid w:val="002F21DA"/>
    <w:rsid w:val="002F4D3E"/>
    <w:rsid w:val="002F63F9"/>
    <w:rsid w:val="002F6813"/>
    <w:rsid w:val="00301F39"/>
    <w:rsid w:val="003027E8"/>
    <w:rsid w:val="00302B41"/>
    <w:rsid w:val="00303E03"/>
    <w:rsid w:val="003044AC"/>
    <w:rsid w:val="0030553B"/>
    <w:rsid w:val="00305674"/>
    <w:rsid w:val="00311412"/>
    <w:rsid w:val="0031165F"/>
    <w:rsid w:val="00312AB0"/>
    <w:rsid w:val="00313EE9"/>
    <w:rsid w:val="003144CC"/>
    <w:rsid w:val="003155C2"/>
    <w:rsid w:val="00316401"/>
    <w:rsid w:val="00316522"/>
    <w:rsid w:val="003169A4"/>
    <w:rsid w:val="00317F0E"/>
    <w:rsid w:val="00320C00"/>
    <w:rsid w:val="00321C85"/>
    <w:rsid w:val="00322570"/>
    <w:rsid w:val="003226E4"/>
    <w:rsid w:val="00322B21"/>
    <w:rsid w:val="00323984"/>
    <w:rsid w:val="003245B9"/>
    <w:rsid w:val="00324C89"/>
    <w:rsid w:val="00325926"/>
    <w:rsid w:val="00327A8A"/>
    <w:rsid w:val="00331649"/>
    <w:rsid w:val="00331A8D"/>
    <w:rsid w:val="00336610"/>
    <w:rsid w:val="0034082B"/>
    <w:rsid w:val="00340E2C"/>
    <w:rsid w:val="003433B9"/>
    <w:rsid w:val="003435A7"/>
    <w:rsid w:val="00343F73"/>
    <w:rsid w:val="0034433F"/>
    <w:rsid w:val="003447D9"/>
    <w:rsid w:val="00345060"/>
    <w:rsid w:val="00346B4E"/>
    <w:rsid w:val="00346B7C"/>
    <w:rsid w:val="00347978"/>
    <w:rsid w:val="0035008F"/>
    <w:rsid w:val="003515FB"/>
    <w:rsid w:val="00352FBB"/>
    <w:rsid w:val="0035323B"/>
    <w:rsid w:val="00353299"/>
    <w:rsid w:val="003541F5"/>
    <w:rsid w:val="00354B64"/>
    <w:rsid w:val="00356125"/>
    <w:rsid w:val="003565E6"/>
    <w:rsid w:val="00356857"/>
    <w:rsid w:val="00357324"/>
    <w:rsid w:val="00357F1C"/>
    <w:rsid w:val="00360190"/>
    <w:rsid w:val="003609D2"/>
    <w:rsid w:val="00362304"/>
    <w:rsid w:val="00362A8D"/>
    <w:rsid w:val="00363F22"/>
    <w:rsid w:val="003662EC"/>
    <w:rsid w:val="00366A6C"/>
    <w:rsid w:val="00367C43"/>
    <w:rsid w:val="00370195"/>
    <w:rsid w:val="00370921"/>
    <w:rsid w:val="00371CAA"/>
    <w:rsid w:val="003724E3"/>
    <w:rsid w:val="00372548"/>
    <w:rsid w:val="00373CE3"/>
    <w:rsid w:val="003744D4"/>
    <w:rsid w:val="00375475"/>
    <w:rsid w:val="00375564"/>
    <w:rsid w:val="00376E70"/>
    <w:rsid w:val="00377E50"/>
    <w:rsid w:val="00380969"/>
    <w:rsid w:val="0038134A"/>
    <w:rsid w:val="003830ED"/>
    <w:rsid w:val="00383191"/>
    <w:rsid w:val="003836EC"/>
    <w:rsid w:val="003852C2"/>
    <w:rsid w:val="00385C4C"/>
    <w:rsid w:val="00385F2D"/>
    <w:rsid w:val="00386048"/>
    <w:rsid w:val="00386DED"/>
    <w:rsid w:val="003912E7"/>
    <w:rsid w:val="00391765"/>
    <w:rsid w:val="0039183A"/>
    <w:rsid w:val="003921B4"/>
    <w:rsid w:val="003922AE"/>
    <w:rsid w:val="00393332"/>
    <w:rsid w:val="00393703"/>
    <w:rsid w:val="00393947"/>
    <w:rsid w:val="00394350"/>
    <w:rsid w:val="00396809"/>
    <w:rsid w:val="00397291"/>
    <w:rsid w:val="003A05B1"/>
    <w:rsid w:val="003A07C1"/>
    <w:rsid w:val="003A0821"/>
    <w:rsid w:val="003A1C76"/>
    <w:rsid w:val="003A2275"/>
    <w:rsid w:val="003A261D"/>
    <w:rsid w:val="003A333D"/>
    <w:rsid w:val="003A3AF9"/>
    <w:rsid w:val="003A5191"/>
    <w:rsid w:val="003A5594"/>
    <w:rsid w:val="003A6268"/>
    <w:rsid w:val="003A6A4F"/>
    <w:rsid w:val="003A6A63"/>
    <w:rsid w:val="003A7088"/>
    <w:rsid w:val="003A7B45"/>
    <w:rsid w:val="003B00DF"/>
    <w:rsid w:val="003B1275"/>
    <w:rsid w:val="003B1778"/>
    <w:rsid w:val="003B1D46"/>
    <w:rsid w:val="003B25AB"/>
    <w:rsid w:val="003B2912"/>
    <w:rsid w:val="003B30C4"/>
    <w:rsid w:val="003B492C"/>
    <w:rsid w:val="003B52E2"/>
    <w:rsid w:val="003B5F0E"/>
    <w:rsid w:val="003B64ED"/>
    <w:rsid w:val="003B691F"/>
    <w:rsid w:val="003B6B26"/>
    <w:rsid w:val="003B79A6"/>
    <w:rsid w:val="003C11CB"/>
    <w:rsid w:val="003C1480"/>
    <w:rsid w:val="003C1E37"/>
    <w:rsid w:val="003C1F89"/>
    <w:rsid w:val="003C34D3"/>
    <w:rsid w:val="003C3747"/>
    <w:rsid w:val="003C4253"/>
    <w:rsid w:val="003C4C78"/>
    <w:rsid w:val="003C502D"/>
    <w:rsid w:val="003C50D7"/>
    <w:rsid w:val="003C6549"/>
    <w:rsid w:val="003C75F3"/>
    <w:rsid w:val="003C78A3"/>
    <w:rsid w:val="003D03A3"/>
    <w:rsid w:val="003D1197"/>
    <w:rsid w:val="003D2673"/>
    <w:rsid w:val="003D2ED8"/>
    <w:rsid w:val="003D30CA"/>
    <w:rsid w:val="003D36C1"/>
    <w:rsid w:val="003D492C"/>
    <w:rsid w:val="003D50AF"/>
    <w:rsid w:val="003E0159"/>
    <w:rsid w:val="003E1867"/>
    <w:rsid w:val="003E18A3"/>
    <w:rsid w:val="003E193D"/>
    <w:rsid w:val="003E221B"/>
    <w:rsid w:val="003E25B7"/>
    <w:rsid w:val="003E38BA"/>
    <w:rsid w:val="003E3C7D"/>
    <w:rsid w:val="003E3FE0"/>
    <w:rsid w:val="003E5729"/>
    <w:rsid w:val="003E5C50"/>
    <w:rsid w:val="003E7755"/>
    <w:rsid w:val="003E7898"/>
    <w:rsid w:val="003F0235"/>
    <w:rsid w:val="003F0C64"/>
    <w:rsid w:val="003F11F8"/>
    <w:rsid w:val="003F1322"/>
    <w:rsid w:val="003F1A0D"/>
    <w:rsid w:val="003F44B9"/>
    <w:rsid w:val="003F4678"/>
    <w:rsid w:val="003F4EE0"/>
    <w:rsid w:val="003F5941"/>
    <w:rsid w:val="003F6031"/>
    <w:rsid w:val="003F6842"/>
    <w:rsid w:val="003F6F76"/>
    <w:rsid w:val="003F7065"/>
    <w:rsid w:val="003F7A5A"/>
    <w:rsid w:val="003F7AC1"/>
    <w:rsid w:val="00401696"/>
    <w:rsid w:val="0040178A"/>
    <w:rsid w:val="00401EFB"/>
    <w:rsid w:val="00402153"/>
    <w:rsid w:val="00402684"/>
    <w:rsid w:val="00402FC1"/>
    <w:rsid w:val="00403548"/>
    <w:rsid w:val="00403DB3"/>
    <w:rsid w:val="00410B90"/>
    <w:rsid w:val="00412203"/>
    <w:rsid w:val="004132F2"/>
    <w:rsid w:val="0041345A"/>
    <w:rsid w:val="004141F0"/>
    <w:rsid w:val="004145CB"/>
    <w:rsid w:val="00414AE8"/>
    <w:rsid w:val="00416729"/>
    <w:rsid w:val="00417795"/>
    <w:rsid w:val="00421AB3"/>
    <w:rsid w:val="0042268C"/>
    <w:rsid w:val="004233B6"/>
    <w:rsid w:val="00424235"/>
    <w:rsid w:val="00424BFE"/>
    <w:rsid w:val="00425082"/>
    <w:rsid w:val="00425273"/>
    <w:rsid w:val="00425EAA"/>
    <w:rsid w:val="004261BB"/>
    <w:rsid w:val="00431DEB"/>
    <w:rsid w:val="00432570"/>
    <w:rsid w:val="00432597"/>
    <w:rsid w:val="0043284E"/>
    <w:rsid w:val="004346B4"/>
    <w:rsid w:val="00434956"/>
    <w:rsid w:val="00436479"/>
    <w:rsid w:val="00436BED"/>
    <w:rsid w:val="00437192"/>
    <w:rsid w:val="004404FC"/>
    <w:rsid w:val="0044055B"/>
    <w:rsid w:val="004411E7"/>
    <w:rsid w:val="004427F6"/>
    <w:rsid w:val="00442FC4"/>
    <w:rsid w:val="00443FF2"/>
    <w:rsid w:val="00444F76"/>
    <w:rsid w:val="00445E2C"/>
    <w:rsid w:val="00445F03"/>
    <w:rsid w:val="004464AC"/>
    <w:rsid w:val="004468E8"/>
    <w:rsid w:val="00446B29"/>
    <w:rsid w:val="004517D9"/>
    <w:rsid w:val="00453AAA"/>
    <w:rsid w:val="00453F9A"/>
    <w:rsid w:val="00455E5C"/>
    <w:rsid w:val="00456111"/>
    <w:rsid w:val="004565F6"/>
    <w:rsid w:val="0045688F"/>
    <w:rsid w:val="00460F2A"/>
    <w:rsid w:val="004612C0"/>
    <w:rsid w:val="0046134C"/>
    <w:rsid w:val="00462409"/>
    <w:rsid w:val="0046303B"/>
    <w:rsid w:val="00463078"/>
    <w:rsid w:val="00464981"/>
    <w:rsid w:val="00464D58"/>
    <w:rsid w:val="00464D5D"/>
    <w:rsid w:val="00465F81"/>
    <w:rsid w:val="0046682D"/>
    <w:rsid w:val="004709CD"/>
    <w:rsid w:val="00471E91"/>
    <w:rsid w:val="00474269"/>
    <w:rsid w:val="00474675"/>
    <w:rsid w:val="0047470C"/>
    <w:rsid w:val="00475486"/>
    <w:rsid w:val="004772F3"/>
    <w:rsid w:val="00480D48"/>
    <w:rsid w:val="004821F0"/>
    <w:rsid w:val="004828CC"/>
    <w:rsid w:val="004828E5"/>
    <w:rsid w:val="00485599"/>
    <w:rsid w:val="00485777"/>
    <w:rsid w:val="00485B7C"/>
    <w:rsid w:val="00486687"/>
    <w:rsid w:val="004874E5"/>
    <w:rsid w:val="0049074C"/>
    <w:rsid w:val="00491A05"/>
    <w:rsid w:val="00491C27"/>
    <w:rsid w:val="00492A2C"/>
    <w:rsid w:val="004937A9"/>
    <w:rsid w:val="00494729"/>
    <w:rsid w:val="00495477"/>
    <w:rsid w:val="004A1EED"/>
    <w:rsid w:val="004A24A7"/>
    <w:rsid w:val="004A2707"/>
    <w:rsid w:val="004A2A0C"/>
    <w:rsid w:val="004A2EB6"/>
    <w:rsid w:val="004A35F9"/>
    <w:rsid w:val="004A42E1"/>
    <w:rsid w:val="004A47A9"/>
    <w:rsid w:val="004A5E20"/>
    <w:rsid w:val="004A66D8"/>
    <w:rsid w:val="004A72A2"/>
    <w:rsid w:val="004A7E2E"/>
    <w:rsid w:val="004B08DF"/>
    <w:rsid w:val="004B0C21"/>
    <w:rsid w:val="004B13CF"/>
    <w:rsid w:val="004B1930"/>
    <w:rsid w:val="004B19EB"/>
    <w:rsid w:val="004B1A80"/>
    <w:rsid w:val="004B2110"/>
    <w:rsid w:val="004B24C1"/>
    <w:rsid w:val="004B30BB"/>
    <w:rsid w:val="004B4874"/>
    <w:rsid w:val="004B7E30"/>
    <w:rsid w:val="004C0F33"/>
    <w:rsid w:val="004C292F"/>
    <w:rsid w:val="004C305F"/>
    <w:rsid w:val="004C3DFF"/>
    <w:rsid w:val="004C5779"/>
    <w:rsid w:val="004C6409"/>
    <w:rsid w:val="004D03F9"/>
    <w:rsid w:val="004D155F"/>
    <w:rsid w:val="004D3CB4"/>
    <w:rsid w:val="004D4CFB"/>
    <w:rsid w:val="004D63E4"/>
    <w:rsid w:val="004E02DB"/>
    <w:rsid w:val="004E1A19"/>
    <w:rsid w:val="004E1F42"/>
    <w:rsid w:val="004E24CC"/>
    <w:rsid w:val="004E3554"/>
    <w:rsid w:val="004E37DA"/>
    <w:rsid w:val="004E3E49"/>
    <w:rsid w:val="004E448F"/>
    <w:rsid w:val="004E4956"/>
    <w:rsid w:val="004E5B8C"/>
    <w:rsid w:val="004E6E14"/>
    <w:rsid w:val="004E7034"/>
    <w:rsid w:val="004E7FED"/>
    <w:rsid w:val="004F2758"/>
    <w:rsid w:val="004F455D"/>
    <w:rsid w:val="004F4AA4"/>
    <w:rsid w:val="004F4AB8"/>
    <w:rsid w:val="004F6309"/>
    <w:rsid w:val="004F738A"/>
    <w:rsid w:val="005016A1"/>
    <w:rsid w:val="005021A3"/>
    <w:rsid w:val="005028FA"/>
    <w:rsid w:val="00502B98"/>
    <w:rsid w:val="00503516"/>
    <w:rsid w:val="00503AF2"/>
    <w:rsid w:val="00504107"/>
    <w:rsid w:val="005044C9"/>
    <w:rsid w:val="00504828"/>
    <w:rsid w:val="00504B5A"/>
    <w:rsid w:val="005059D4"/>
    <w:rsid w:val="00506EC0"/>
    <w:rsid w:val="00507C73"/>
    <w:rsid w:val="00507EAF"/>
    <w:rsid w:val="005101AD"/>
    <w:rsid w:val="00510280"/>
    <w:rsid w:val="00511086"/>
    <w:rsid w:val="00511345"/>
    <w:rsid w:val="00512847"/>
    <w:rsid w:val="00513402"/>
    <w:rsid w:val="005134A7"/>
    <w:rsid w:val="00513D73"/>
    <w:rsid w:val="00514A43"/>
    <w:rsid w:val="00514F5C"/>
    <w:rsid w:val="00515080"/>
    <w:rsid w:val="005152A6"/>
    <w:rsid w:val="005169C5"/>
    <w:rsid w:val="005169F8"/>
    <w:rsid w:val="005174E5"/>
    <w:rsid w:val="00520199"/>
    <w:rsid w:val="0052193A"/>
    <w:rsid w:val="00522393"/>
    <w:rsid w:val="00522620"/>
    <w:rsid w:val="00522E8A"/>
    <w:rsid w:val="00523521"/>
    <w:rsid w:val="00523544"/>
    <w:rsid w:val="00525270"/>
    <w:rsid w:val="00525405"/>
    <w:rsid w:val="00525656"/>
    <w:rsid w:val="0052628A"/>
    <w:rsid w:val="005301F1"/>
    <w:rsid w:val="005302F6"/>
    <w:rsid w:val="00530667"/>
    <w:rsid w:val="00531871"/>
    <w:rsid w:val="00532D12"/>
    <w:rsid w:val="00532E0D"/>
    <w:rsid w:val="005335CA"/>
    <w:rsid w:val="00534C02"/>
    <w:rsid w:val="00534E90"/>
    <w:rsid w:val="005368BB"/>
    <w:rsid w:val="0053758C"/>
    <w:rsid w:val="00537A65"/>
    <w:rsid w:val="005413EB"/>
    <w:rsid w:val="005414CD"/>
    <w:rsid w:val="00541832"/>
    <w:rsid w:val="0054264B"/>
    <w:rsid w:val="00543786"/>
    <w:rsid w:val="00544C8D"/>
    <w:rsid w:val="00545275"/>
    <w:rsid w:val="00545C21"/>
    <w:rsid w:val="0054704D"/>
    <w:rsid w:val="005477D5"/>
    <w:rsid w:val="00552801"/>
    <w:rsid w:val="0055317E"/>
    <w:rsid w:val="005533D7"/>
    <w:rsid w:val="00560966"/>
    <w:rsid w:val="00560D94"/>
    <w:rsid w:val="00562D5A"/>
    <w:rsid w:val="00563435"/>
    <w:rsid w:val="00563563"/>
    <w:rsid w:val="00563C66"/>
    <w:rsid w:val="00563C8D"/>
    <w:rsid w:val="00564E77"/>
    <w:rsid w:val="0056703C"/>
    <w:rsid w:val="00567EFF"/>
    <w:rsid w:val="005703DE"/>
    <w:rsid w:val="005713F2"/>
    <w:rsid w:val="00572698"/>
    <w:rsid w:val="0057359F"/>
    <w:rsid w:val="005752B1"/>
    <w:rsid w:val="00577DB7"/>
    <w:rsid w:val="00580C2C"/>
    <w:rsid w:val="00580E29"/>
    <w:rsid w:val="005811F0"/>
    <w:rsid w:val="005815E3"/>
    <w:rsid w:val="00581C8F"/>
    <w:rsid w:val="00582652"/>
    <w:rsid w:val="005828AF"/>
    <w:rsid w:val="00583F49"/>
    <w:rsid w:val="0058464E"/>
    <w:rsid w:val="005860A6"/>
    <w:rsid w:val="005861AD"/>
    <w:rsid w:val="00587688"/>
    <w:rsid w:val="005901B3"/>
    <w:rsid w:val="00592291"/>
    <w:rsid w:val="00595BBD"/>
    <w:rsid w:val="00595CFB"/>
    <w:rsid w:val="00596EF1"/>
    <w:rsid w:val="00597D85"/>
    <w:rsid w:val="005A01CB"/>
    <w:rsid w:val="005A1423"/>
    <w:rsid w:val="005A2852"/>
    <w:rsid w:val="005A45E6"/>
    <w:rsid w:val="005A53B6"/>
    <w:rsid w:val="005A58FF"/>
    <w:rsid w:val="005A5EAF"/>
    <w:rsid w:val="005A5FCC"/>
    <w:rsid w:val="005A5FDC"/>
    <w:rsid w:val="005A64C0"/>
    <w:rsid w:val="005B090B"/>
    <w:rsid w:val="005B3C11"/>
    <w:rsid w:val="005B3F95"/>
    <w:rsid w:val="005B3FC8"/>
    <w:rsid w:val="005B428F"/>
    <w:rsid w:val="005B4390"/>
    <w:rsid w:val="005B4823"/>
    <w:rsid w:val="005B57F6"/>
    <w:rsid w:val="005B70B3"/>
    <w:rsid w:val="005B7FCA"/>
    <w:rsid w:val="005C1068"/>
    <w:rsid w:val="005C1C28"/>
    <w:rsid w:val="005C3AEF"/>
    <w:rsid w:val="005C5FF6"/>
    <w:rsid w:val="005C6DB5"/>
    <w:rsid w:val="005D154D"/>
    <w:rsid w:val="005D1847"/>
    <w:rsid w:val="005D236E"/>
    <w:rsid w:val="005D2687"/>
    <w:rsid w:val="005D27EF"/>
    <w:rsid w:val="005D5817"/>
    <w:rsid w:val="005D6D7D"/>
    <w:rsid w:val="005E00A8"/>
    <w:rsid w:val="005E00B6"/>
    <w:rsid w:val="005E069E"/>
    <w:rsid w:val="005E19E7"/>
    <w:rsid w:val="005E1AF7"/>
    <w:rsid w:val="005E24F9"/>
    <w:rsid w:val="005E40E9"/>
    <w:rsid w:val="005E45A5"/>
    <w:rsid w:val="005E4851"/>
    <w:rsid w:val="005E61AB"/>
    <w:rsid w:val="005E6CB0"/>
    <w:rsid w:val="005E7845"/>
    <w:rsid w:val="005E7A9C"/>
    <w:rsid w:val="005E7C47"/>
    <w:rsid w:val="005F120E"/>
    <w:rsid w:val="005F2897"/>
    <w:rsid w:val="005F39BA"/>
    <w:rsid w:val="005F3D0B"/>
    <w:rsid w:val="005F5009"/>
    <w:rsid w:val="005F55D4"/>
    <w:rsid w:val="005F6644"/>
    <w:rsid w:val="005F7206"/>
    <w:rsid w:val="005F72E3"/>
    <w:rsid w:val="006001E6"/>
    <w:rsid w:val="006014C7"/>
    <w:rsid w:val="0060290B"/>
    <w:rsid w:val="0060751F"/>
    <w:rsid w:val="0060776E"/>
    <w:rsid w:val="00610520"/>
    <w:rsid w:val="006106D7"/>
    <w:rsid w:val="006110F1"/>
    <w:rsid w:val="00611332"/>
    <w:rsid w:val="00612476"/>
    <w:rsid w:val="0061338B"/>
    <w:rsid w:val="006139F3"/>
    <w:rsid w:val="00616C55"/>
    <w:rsid w:val="0061716C"/>
    <w:rsid w:val="00617506"/>
    <w:rsid w:val="00620662"/>
    <w:rsid w:val="00621C3A"/>
    <w:rsid w:val="00621EDF"/>
    <w:rsid w:val="00622F07"/>
    <w:rsid w:val="006230D7"/>
    <w:rsid w:val="0062390B"/>
    <w:rsid w:val="00623B32"/>
    <w:rsid w:val="00623FF8"/>
    <w:rsid w:val="00624009"/>
    <w:rsid w:val="006243A1"/>
    <w:rsid w:val="00624A59"/>
    <w:rsid w:val="00624FFC"/>
    <w:rsid w:val="006256CC"/>
    <w:rsid w:val="0062694C"/>
    <w:rsid w:val="00627076"/>
    <w:rsid w:val="00627E1D"/>
    <w:rsid w:val="006313B9"/>
    <w:rsid w:val="00631D66"/>
    <w:rsid w:val="00632366"/>
    <w:rsid w:val="00632E56"/>
    <w:rsid w:val="00632F49"/>
    <w:rsid w:val="0063363B"/>
    <w:rsid w:val="00634CC9"/>
    <w:rsid w:val="006350C0"/>
    <w:rsid w:val="006359BB"/>
    <w:rsid w:val="00635CBA"/>
    <w:rsid w:val="006367C5"/>
    <w:rsid w:val="00636BC1"/>
    <w:rsid w:val="00636D2E"/>
    <w:rsid w:val="0063711A"/>
    <w:rsid w:val="00640960"/>
    <w:rsid w:val="00640ADC"/>
    <w:rsid w:val="006415B7"/>
    <w:rsid w:val="0064287B"/>
    <w:rsid w:val="00642FFF"/>
    <w:rsid w:val="0064338B"/>
    <w:rsid w:val="00644069"/>
    <w:rsid w:val="00645772"/>
    <w:rsid w:val="00646542"/>
    <w:rsid w:val="0064766F"/>
    <w:rsid w:val="006478AF"/>
    <w:rsid w:val="006503A7"/>
    <w:rsid w:val="006504F4"/>
    <w:rsid w:val="00650E18"/>
    <w:rsid w:val="00652153"/>
    <w:rsid w:val="006522BB"/>
    <w:rsid w:val="00654BC9"/>
    <w:rsid w:val="006552FD"/>
    <w:rsid w:val="00656241"/>
    <w:rsid w:val="0065732E"/>
    <w:rsid w:val="0066245B"/>
    <w:rsid w:val="00663AF3"/>
    <w:rsid w:val="00663EDC"/>
    <w:rsid w:val="00664098"/>
    <w:rsid w:val="00664693"/>
    <w:rsid w:val="0066469A"/>
    <w:rsid w:val="00665630"/>
    <w:rsid w:val="00665FDC"/>
    <w:rsid w:val="00666B6C"/>
    <w:rsid w:val="00667236"/>
    <w:rsid w:val="006673FA"/>
    <w:rsid w:val="006704A1"/>
    <w:rsid w:val="00673894"/>
    <w:rsid w:val="006742A8"/>
    <w:rsid w:val="006748DC"/>
    <w:rsid w:val="0067586B"/>
    <w:rsid w:val="006769AB"/>
    <w:rsid w:val="006779B4"/>
    <w:rsid w:val="006804CB"/>
    <w:rsid w:val="00680E72"/>
    <w:rsid w:val="00681FC3"/>
    <w:rsid w:val="00682416"/>
    <w:rsid w:val="00682682"/>
    <w:rsid w:val="00682702"/>
    <w:rsid w:val="006838A9"/>
    <w:rsid w:val="006838D1"/>
    <w:rsid w:val="00683BFB"/>
    <w:rsid w:val="00683EF0"/>
    <w:rsid w:val="006852FE"/>
    <w:rsid w:val="006854EF"/>
    <w:rsid w:val="00685804"/>
    <w:rsid w:val="00685EEC"/>
    <w:rsid w:val="006866C1"/>
    <w:rsid w:val="00686C95"/>
    <w:rsid w:val="00687F04"/>
    <w:rsid w:val="0069090F"/>
    <w:rsid w:val="00690A79"/>
    <w:rsid w:val="00690DDD"/>
    <w:rsid w:val="00692368"/>
    <w:rsid w:val="00692D7A"/>
    <w:rsid w:val="00693158"/>
    <w:rsid w:val="006935A3"/>
    <w:rsid w:val="00694B3F"/>
    <w:rsid w:val="00694C00"/>
    <w:rsid w:val="0069644F"/>
    <w:rsid w:val="006971E1"/>
    <w:rsid w:val="006A05F4"/>
    <w:rsid w:val="006A1857"/>
    <w:rsid w:val="006A2EBC"/>
    <w:rsid w:val="006A3BE2"/>
    <w:rsid w:val="006A4942"/>
    <w:rsid w:val="006A5EA0"/>
    <w:rsid w:val="006A783B"/>
    <w:rsid w:val="006A7907"/>
    <w:rsid w:val="006A7B33"/>
    <w:rsid w:val="006B1EED"/>
    <w:rsid w:val="006B1F8C"/>
    <w:rsid w:val="006B2073"/>
    <w:rsid w:val="006B32F6"/>
    <w:rsid w:val="006B4133"/>
    <w:rsid w:val="006B4E13"/>
    <w:rsid w:val="006B5A5C"/>
    <w:rsid w:val="006B61E6"/>
    <w:rsid w:val="006B62F7"/>
    <w:rsid w:val="006B6ECD"/>
    <w:rsid w:val="006B70FC"/>
    <w:rsid w:val="006B75DD"/>
    <w:rsid w:val="006B7823"/>
    <w:rsid w:val="006B7B25"/>
    <w:rsid w:val="006C062F"/>
    <w:rsid w:val="006C1A3D"/>
    <w:rsid w:val="006C1D0D"/>
    <w:rsid w:val="006C1F82"/>
    <w:rsid w:val="006C44F4"/>
    <w:rsid w:val="006C46C8"/>
    <w:rsid w:val="006C67E0"/>
    <w:rsid w:val="006C7491"/>
    <w:rsid w:val="006C7665"/>
    <w:rsid w:val="006C7ABA"/>
    <w:rsid w:val="006D044D"/>
    <w:rsid w:val="006D0D60"/>
    <w:rsid w:val="006D0EBF"/>
    <w:rsid w:val="006D0FFA"/>
    <w:rsid w:val="006D1122"/>
    <w:rsid w:val="006D1902"/>
    <w:rsid w:val="006D2A5B"/>
    <w:rsid w:val="006D2AAB"/>
    <w:rsid w:val="006D3C00"/>
    <w:rsid w:val="006D509F"/>
    <w:rsid w:val="006D5FBF"/>
    <w:rsid w:val="006D72A7"/>
    <w:rsid w:val="006E211D"/>
    <w:rsid w:val="006E2232"/>
    <w:rsid w:val="006E2F06"/>
    <w:rsid w:val="006E3675"/>
    <w:rsid w:val="006E3DE9"/>
    <w:rsid w:val="006E40B4"/>
    <w:rsid w:val="006E4A50"/>
    <w:rsid w:val="006E4A7F"/>
    <w:rsid w:val="006E7E8F"/>
    <w:rsid w:val="006F0AB3"/>
    <w:rsid w:val="006F2BCB"/>
    <w:rsid w:val="006F31F4"/>
    <w:rsid w:val="006F385B"/>
    <w:rsid w:val="006F48FC"/>
    <w:rsid w:val="006F5B66"/>
    <w:rsid w:val="006F5ED3"/>
    <w:rsid w:val="006F5FC1"/>
    <w:rsid w:val="006F669E"/>
    <w:rsid w:val="006F74B8"/>
    <w:rsid w:val="006F7F8F"/>
    <w:rsid w:val="00700280"/>
    <w:rsid w:val="00700FE2"/>
    <w:rsid w:val="00703C91"/>
    <w:rsid w:val="00704DF6"/>
    <w:rsid w:val="0070651C"/>
    <w:rsid w:val="00706675"/>
    <w:rsid w:val="00707EBA"/>
    <w:rsid w:val="0071154F"/>
    <w:rsid w:val="00711A7A"/>
    <w:rsid w:val="007132A3"/>
    <w:rsid w:val="0071339D"/>
    <w:rsid w:val="00713D24"/>
    <w:rsid w:val="007146BB"/>
    <w:rsid w:val="00714F28"/>
    <w:rsid w:val="00716421"/>
    <w:rsid w:val="00717BB5"/>
    <w:rsid w:val="00717C31"/>
    <w:rsid w:val="00717C89"/>
    <w:rsid w:val="007233C8"/>
    <w:rsid w:val="007245D5"/>
    <w:rsid w:val="007247F1"/>
    <w:rsid w:val="00724EFB"/>
    <w:rsid w:val="00726B4F"/>
    <w:rsid w:val="00727775"/>
    <w:rsid w:val="00731241"/>
    <w:rsid w:val="0073254A"/>
    <w:rsid w:val="0073334A"/>
    <w:rsid w:val="0073454C"/>
    <w:rsid w:val="00734D62"/>
    <w:rsid w:val="00734E75"/>
    <w:rsid w:val="0073716F"/>
    <w:rsid w:val="00737C8C"/>
    <w:rsid w:val="007401A3"/>
    <w:rsid w:val="00740532"/>
    <w:rsid w:val="007419C3"/>
    <w:rsid w:val="00743A3A"/>
    <w:rsid w:val="00743E9E"/>
    <w:rsid w:val="00745582"/>
    <w:rsid w:val="007467A7"/>
    <w:rsid w:val="00746997"/>
    <w:rsid w:val="007469DD"/>
    <w:rsid w:val="0074741B"/>
    <w:rsid w:val="0074759E"/>
    <w:rsid w:val="007478EA"/>
    <w:rsid w:val="00751C00"/>
    <w:rsid w:val="00751E85"/>
    <w:rsid w:val="00752994"/>
    <w:rsid w:val="0075415C"/>
    <w:rsid w:val="00755509"/>
    <w:rsid w:val="00760551"/>
    <w:rsid w:val="0076062A"/>
    <w:rsid w:val="007626F8"/>
    <w:rsid w:val="007634D9"/>
    <w:rsid w:val="00763502"/>
    <w:rsid w:val="00763D78"/>
    <w:rsid w:val="00764079"/>
    <w:rsid w:val="00765025"/>
    <w:rsid w:val="00772274"/>
    <w:rsid w:val="00772A7B"/>
    <w:rsid w:val="00773EB6"/>
    <w:rsid w:val="0077553C"/>
    <w:rsid w:val="00776424"/>
    <w:rsid w:val="00776AA6"/>
    <w:rsid w:val="00777439"/>
    <w:rsid w:val="00777C33"/>
    <w:rsid w:val="00780A5C"/>
    <w:rsid w:val="00782635"/>
    <w:rsid w:val="0078331B"/>
    <w:rsid w:val="00784FE8"/>
    <w:rsid w:val="007855DC"/>
    <w:rsid w:val="00785693"/>
    <w:rsid w:val="00786216"/>
    <w:rsid w:val="00786FA9"/>
    <w:rsid w:val="007912F2"/>
    <w:rsid w:val="007913AB"/>
    <w:rsid w:val="007914F7"/>
    <w:rsid w:val="00791A95"/>
    <w:rsid w:val="007925DC"/>
    <w:rsid w:val="00793831"/>
    <w:rsid w:val="007939B5"/>
    <w:rsid w:val="00793B50"/>
    <w:rsid w:val="0079413D"/>
    <w:rsid w:val="00794372"/>
    <w:rsid w:val="00794D69"/>
    <w:rsid w:val="0079592F"/>
    <w:rsid w:val="007A0493"/>
    <w:rsid w:val="007A05EB"/>
    <w:rsid w:val="007A216F"/>
    <w:rsid w:val="007A2699"/>
    <w:rsid w:val="007A29D8"/>
    <w:rsid w:val="007A3725"/>
    <w:rsid w:val="007A3946"/>
    <w:rsid w:val="007A3A9F"/>
    <w:rsid w:val="007A4179"/>
    <w:rsid w:val="007A419A"/>
    <w:rsid w:val="007A49D5"/>
    <w:rsid w:val="007A4E02"/>
    <w:rsid w:val="007A59C0"/>
    <w:rsid w:val="007A77F4"/>
    <w:rsid w:val="007B1625"/>
    <w:rsid w:val="007B1E4D"/>
    <w:rsid w:val="007B3B0C"/>
    <w:rsid w:val="007B3BA1"/>
    <w:rsid w:val="007B3EA5"/>
    <w:rsid w:val="007B50C8"/>
    <w:rsid w:val="007B6199"/>
    <w:rsid w:val="007B706E"/>
    <w:rsid w:val="007B71EB"/>
    <w:rsid w:val="007C26DF"/>
    <w:rsid w:val="007C3BD4"/>
    <w:rsid w:val="007C45F2"/>
    <w:rsid w:val="007C6205"/>
    <w:rsid w:val="007C686A"/>
    <w:rsid w:val="007C68BF"/>
    <w:rsid w:val="007C728E"/>
    <w:rsid w:val="007C75A3"/>
    <w:rsid w:val="007C7CFA"/>
    <w:rsid w:val="007D0411"/>
    <w:rsid w:val="007D0C7C"/>
    <w:rsid w:val="007D11BE"/>
    <w:rsid w:val="007D12F5"/>
    <w:rsid w:val="007D2C53"/>
    <w:rsid w:val="007D3175"/>
    <w:rsid w:val="007D321B"/>
    <w:rsid w:val="007D3D60"/>
    <w:rsid w:val="007D508D"/>
    <w:rsid w:val="007D5A99"/>
    <w:rsid w:val="007D761D"/>
    <w:rsid w:val="007E1980"/>
    <w:rsid w:val="007E29CE"/>
    <w:rsid w:val="007E37BF"/>
    <w:rsid w:val="007E4771"/>
    <w:rsid w:val="007E49D9"/>
    <w:rsid w:val="007E4B76"/>
    <w:rsid w:val="007E541E"/>
    <w:rsid w:val="007E5E57"/>
    <w:rsid w:val="007E5EA8"/>
    <w:rsid w:val="007E7245"/>
    <w:rsid w:val="007F0AC4"/>
    <w:rsid w:val="007F0CD7"/>
    <w:rsid w:val="007F0CF1"/>
    <w:rsid w:val="007F0F73"/>
    <w:rsid w:val="007F0FE4"/>
    <w:rsid w:val="007F12A5"/>
    <w:rsid w:val="007F1534"/>
    <w:rsid w:val="007F2AD6"/>
    <w:rsid w:val="007F3462"/>
    <w:rsid w:val="007F456D"/>
    <w:rsid w:val="007F4CF1"/>
    <w:rsid w:val="007F5C3D"/>
    <w:rsid w:val="007F74DB"/>
    <w:rsid w:val="007F7550"/>
    <w:rsid w:val="007F758D"/>
    <w:rsid w:val="007F7D52"/>
    <w:rsid w:val="008001BB"/>
    <w:rsid w:val="008010F0"/>
    <w:rsid w:val="008022D6"/>
    <w:rsid w:val="0080232C"/>
    <w:rsid w:val="00803A7B"/>
    <w:rsid w:val="00803B3C"/>
    <w:rsid w:val="008051EA"/>
    <w:rsid w:val="00805C06"/>
    <w:rsid w:val="00805C88"/>
    <w:rsid w:val="0080654C"/>
    <w:rsid w:val="0080658E"/>
    <w:rsid w:val="008070B9"/>
    <w:rsid w:val="008071C6"/>
    <w:rsid w:val="00807605"/>
    <w:rsid w:val="00812836"/>
    <w:rsid w:val="00812A8F"/>
    <w:rsid w:val="00813C31"/>
    <w:rsid w:val="00817A00"/>
    <w:rsid w:val="00817ADA"/>
    <w:rsid w:val="008208D8"/>
    <w:rsid w:val="008208FE"/>
    <w:rsid w:val="00820FE0"/>
    <w:rsid w:val="008211CF"/>
    <w:rsid w:val="0082254D"/>
    <w:rsid w:val="00822C77"/>
    <w:rsid w:val="00824C50"/>
    <w:rsid w:val="00825D59"/>
    <w:rsid w:val="00826EC4"/>
    <w:rsid w:val="00827394"/>
    <w:rsid w:val="008313F4"/>
    <w:rsid w:val="008319C4"/>
    <w:rsid w:val="00831E24"/>
    <w:rsid w:val="00831F7D"/>
    <w:rsid w:val="00835AEE"/>
    <w:rsid w:val="00835DB3"/>
    <w:rsid w:val="0083617B"/>
    <w:rsid w:val="00836443"/>
    <w:rsid w:val="00836DB0"/>
    <w:rsid w:val="0083700E"/>
    <w:rsid w:val="008371BD"/>
    <w:rsid w:val="0084006D"/>
    <w:rsid w:val="0084076D"/>
    <w:rsid w:val="008418EC"/>
    <w:rsid w:val="00841DEE"/>
    <w:rsid w:val="0084262B"/>
    <w:rsid w:val="00843072"/>
    <w:rsid w:val="00843C20"/>
    <w:rsid w:val="00843F2C"/>
    <w:rsid w:val="00845206"/>
    <w:rsid w:val="00846ED7"/>
    <w:rsid w:val="00847215"/>
    <w:rsid w:val="0084737E"/>
    <w:rsid w:val="00850492"/>
    <w:rsid w:val="008504A8"/>
    <w:rsid w:val="00850F8C"/>
    <w:rsid w:val="00851782"/>
    <w:rsid w:val="0085282E"/>
    <w:rsid w:val="008534D1"/>
    <w:rsid w:val="00853A37"/>
    <w:rsid w:val="00854025"/>
    <w:rsid w:val="00854AFE"/>
    <w:rsid w:val="00854E39"/>
    <w:rsid w:val="0085555C"/>
    <w:rsid w:val="00860198"/>
    <w:rsid w:val="00864984"/>
    <w:rsid w:val="00864B5C"/>
    <w:rsid w:val="00870312"/>
    <w:rsid w:val="0087198C"/>
    <w:rsid w:val="00872C1F"/>
    <w:rsid w:val="00872D17"/>
    <w:rsid w:val="00873B42"/>
    <w:rsid w:val="00874BFE"/>
    <w:rsid w:val="00874FA8"/>
    <w:rsid w:val="008752B8"/>
    <w:rsid w:val="008770AB"/>
    <w:rsid w:val="0087715A"/>
    <w:rsid w:val="00880E6A"/>
    <w:rsid w:val="00881D0D"/>
    <w:rsid w:val="0088359A"/>
    <w:rsid w:val="00883D4E"/>
    <w:rsid w:val="00884657"/>
    <w:rsid w:val="00884A33"/>
    <w:rsid w:val="008856D8"/>
    <w:rsid w:val="00887897"/>
    <w:rsid w:val="00890682"/>
    <w:rsid w:val="0089207F"/>
    <w:rsid w:val="008921E9"/>
    <w:rsid w:val="0089227F"/>
    <w:rsid w:val="00892E82"/>
    <w:rsid w:val="00896EF4"/>
    <w:rsid w:val="008A0884"/>
    <w:rsid w:val="008A2033"/>
    <w:rsid w:val="008A483E"/>
    <w:rsid w:val="008A65CE"/>
    <w:rsid w:val="008A6F4A"/>
    <w:rsid w:val="008A796A"/>
    <w:rsid w:val="008A7B91"/>
    <w:rsid w:val="008B0850"/>
    <w:rsid w:val="008B1FC1"/>
    <w:rsid w:val="008B2C8D"/>
    <w:rsid w:val="008B3222"/>
    <w:rsid w:val="008B5941"/>
    <w:rsid w:val="008B5C9D"/>
    <w:rsid w:val="008B7B39"/>
    <w:rsid w:val="008C0419"/>
    <w:rsid w:val="008C1B58"/>
    <w:rsid w:val="008C1DFD"/>
    <w:rsid w:val="008C3594"/>
    <w:rsid w:val="008C39AE"/>
    <w:rsid w:val="008C4146"/>
    <w:rsid w:val="008C4F1B"/>
    <w:rsid w:val="008C522D"/>
    <w:rsid w:val="008C52FD"/>
    <w:rsid w:val="008C590D"/>
    <w:rsid w:val="008C5990"/>
    <w:rsid w:val="008C5A4D"/>
    <w:rsid w:val="008C5E96"/>
    <w:rsid w:val="008C64F9"/>
    <w:rsid w:val="008C6AC9"/>
    <w:rsid w:val="008C767C"/>
    <w:rsid w:val="008D068B"/>
    <w:rsid w:val="008D0E69"/>
    <w:rsid w:val="008D1297"/>
    <w:rsid w:val="008D1B98"/>
    <w:rsid w:val="008D46CC"/>
    <w:rsid w:val="008D78DF"/>
    <w:rsid w:val="008E0295"/>
    <w:rsid w:val="008E031B"/>
    <w:rsid w:val="008E0C22"/>
    <w:rsid w:val="008E3CCD"/>
    <w:rsid w:val="008E4D46"/>
    <w:rsid w:val="008E6D48"/>
    <w:rsid w:val="008E7029"/>
    <w:rsid w:val="008E7EF6"/>
    <w:rsid w:val="008F1F98"/>
    <w:rsid w:val="008F25D1"/>
    <w:rsid w:val="008F430A"/>
    <w:rsid w:val="008F6758"/>
    <w:rsid w:val="00900679"/>
    <w:rsid w:val="00900910"/>
    <w:rsid w:val="00903317"/>
    <w:rsid w:val="009040DD"/>
    <w:rsid w:val="00904124"/>
    <w:rsid w:val="00904332"/>
    <w:rsid w:val="00905B47"/>
    <w:rsid w:val="00910AFF"/>
    <w:rsid w:val="0091331C"/>
    <w:rsid w:val="009142C5"/>
    <w:rsid w:val="00914862"/>
    <w:rsid w:val="009178F5"/>
    <w:rsid w:val="00917F0C"/>
    <w:rsid w:val="00920A04"/>
    <w:rsid w:val="00923DAA"/>
    <w:rsid w:val="00925123"/>
    <w:rsid w:val="00925AF7"/>
    <w:rsid w:val="009279DE"/>
    <w:rsid w:val="00927F93"/>
    <w:rsid w:val="00930116"/>
    <w:rsid w:val="00931711"/>
    <w:rsid w:val="00933501"/>
    <w:rsid w:val="00933A9C"/>
    <w:rsid w:val="00933DEF"/>
    <w:rsid w:val="009349F5"/>
    <w:rsid w:val="00935828"/>
    <w:rsid w:val="00937CB5"/>
    <w:rsid w:val="0094212C"/>
    <w:rsid w:val="00942511"/>
    <w:rsid w:val="00942D6B"/>
    <w:rsid w:val="0094415D"/>
    <w:rsid w:val="00945B11"/>
    <w:rsid w:val="00945D68"/>
    <w:rsid w:val="0095082A"/>
    <w:rsid w:val="00953549"/>
    <w:rsid w:val="00953B35"/>
    <w:rsid w:val="00953EBF"/>
    <w:rsid w:val="00954689"/>
    <w:rsid w:val="00954E1D"/>
    <w:rsid w:val="00955D2F"/>
    <w:rsid w:val="00955D78"/>
    <w:rsid w:val="00956E00"/>
    <w:rsid w:val="00957919"/>
    <w:rsid w:val="00957E40"/>
    <w:rsid w:val="009617C9"/>
    <w:rsid w:val="00961C93"/>
    <w:rsid w:val="00961CAE"/>
    <w:rsid w:val="00962B54"/>
    <w:rsid w:val="009643CE"/>
    <w:rsid w:val="00965324"/>
    <w:rsid w:val="009655BA"/>
    <w:rsid w:val="00965ECF"/>
    <w:rsid w:val="00966428"/>
    <w:rsid w:val="009702D0"/>
    <w:rsid w:val="0097091E"/>
    <w:rsid w:val="00972322"/>
    <w:rsid w:val="0097281E"/>
    <w:rsid w:val="0097293B"/>
    <w:rsid w:val="00972CB6"/>
    <w:rsid w:val="009738E1"/>
    <w:rsid w:val="009748ED"/>
    <w:rsid w:val="009760D3"/>
    <w:rsid w:val="00977132"/>
    <w:rsid w:val="00980B96"/>
    <w:rsid w:val="00981926"/>
    <w:rsid w:val="00981A4B"/>
    <w:rsid w:val="00982501"/>
    <w:rsid w:val="00982AC3"/>
    <w:rsid w:val="00982DFF"/>
    <w:rsid w:val="009877D3"/>
    <w:rsid w:val="00990733"/>
    <w:rsid w:val="00990A68"/>
    <w:rsid w:val="009919D1"/>
    <w:rsid w:val="00994276"/>
    <w:rsid w:val="00994E8F"/>
    <w:rsid w:val="00994F1D"/>
    <w:rsid w:val="009951DC"/>
    <w:rsid w:val="009954D7"/>
    <w:rsid w:val="009959BB"/>
    <w:rsid w:val="00997158"/>
    <w:rsid w:val="009A0341"/>
    <w:rsid w:val="009A1325"/>
    <w:rsid w:val="009A339B"/>
    <w:rsid w:val="009A3A7C"/>
    <w:rsid w:val="009A4A9C"/>
    <w:rsid w:val="009A4B75"/>
    <w:rsid w:val="009A5DA3"/>
    <w:rsid w:val="009A6379"/>
    <w:rsid w:val="009A63C0"/>
    <w:rsid w:val="009A76AB"/>
    <w:rsid w:val="009A77F2"/>
    <w:rsid w:val="009B08F1"/>
    <w:rsid w:val="009B18D4"/>
    <w:rsid w:val="009B28FB"/>
    <w:rsid w:val="009B2ADB"/>
    <w:rsid w:val="009B2E16"/>
    <w:rsid w:val="009B5730"/>
    <w:rsid w:val="009B5EA9"/>
    <w:rsid w:val="009B603A"/>
    <w:rsid w:val="009B6AB8"/>
    <w:rsid w:val="009C0BA1"/>
    <w:rsid w:val="009C0CFC"/>
    <w:rsid w:val="009C0D2E"/>
    <w:rsid w:val="009C1B16"/>
    <w:rsid w:val="009C20CB"/>
    <w:rsid w:val="009C2D0E"/>
    <w:rsid w:val="009C333F"/>
    <w:rsid w:val="009C3583"/>
    <w:rsid w:val="009C3DAC"/>
    <w:rsid w:val="009C42E0"/>
    <w:rsid w:val="009C610A"/>
    <w:rsid w:val="009D05D1"/>
    <w:rsid w:val="009D0F74"/>
    <w:rsid w:val="009D1AFB"/>
    <w:rsid w:val="009D34F5"/>
    <w:rsid w:val="009D517C"/>
    <w:rsid w:val="009D5362"/>
    <w:rsid w:val="009D634A"/>
    <w:rsid w:val="009D63DB"/>
    <w:rsid w:val="009E1415"/>
    <w:rsid w:val="009E1B93"/>
    <w:rsid w:val="009E2068"/>
    <w:rsid w:val="009E5BE5"/>
    <w:rsid w:val="009E5D0E"/>
    <w:rsid w:val="009E6116"/>
    <w:rsid w:val="009E70A8"/>
    <w:rsid w:val="009E714A"/>
    <w:rsid w:val="009E77D9"/>
    <w:rsid w:val="009F1271"/>
    <w:rsid w:val="009F1533"/>
    <w:rsid w:val="009F23A7"/>
    <w:rsid w:val="009F25F3"/>
    <w:rsid w:val="009F2B24"/>
    <w:rsid w:val="009F5236"/>
    <w:rsid w:val="009F52E6"/>
    <w:rsid w:val="009F54D9"/>
    <w:rsid w:val="009F6A9C"/>
    <w:rsid w:val="00A0104D"/>
    <w:rsid w:val="00A01578"/>
    <w:rsid w:val="00A02E43"/>
    <w:rsid w:val="00A04DAF"/>
    <w:rsid w:val="00A04E8F"/>
    <w:rsid w:val="00A065F9"/>
    <w:rsid w:val="00A07F34"/>
    <w:rsid w:val="00A1059D"/>
    <w:rsid w:val="00A10E8E"/>
    <w:rsid w:val="00A11540"/>
    <w:rsid w:val="00A11BD9"/>
    <w:rsid w:val="00A13503"/>
    <w:rsid w:val="00A13738"/>
    <w:rsid w:val="00A14858"/>
    <w:rsid w:val="00A14DF9"/>
    <w:rsid w:val="00A154BA"/>
    <w:rsid w:val="00A16C68"/>
    <w:rsid w:val="00A1752D"/>
    <w:rsid w:val="00A208D7"/>
    <w:rsid w:val="00A21225"/>
    <w:rsid w:val="00A214D5"/>
    <w:rsid w:val="00A21608"/>
    <w:rsid w:val="00A22154"/>
    <w:rsid w:val="00A2258C"/>
    <w:rsid w:val="00A2292F"/>
    <w:rsid w:val="00A22DF9"/>
    <w:rsid w:val="00A23CA8"/>
    <w:rsid w:val="00A24E9B"/>
    <w:rsid w:val="00A25BD1"/>
    <w:rsid w:val="00A25C38"/>
    <w:rsid w:val="00A30A28"/>
    <w:rsid w:val="00A311D2"/>
    <w:rsid w:val="00A32316"/>
    <w:rsid w:val="00A3314C"/>
    <w:rsid w:val="00A33F63"/>
    <w:rsid w:val="00A33F95"/>
    <w:rsid w:val="00A3589E"/>
    <w:rsid w:val="00A35A74"/>
    <w:rsid w:val="00A35F59"/>
    <w:rsid w:val="00A36BBE"/>
    <w:rsid w:val="00A406FB"/>
    <w:rsid w:val="00A40AA0"/>
    <w:rsid w:val="00A42112"/>
    <w:rsid w:val="00A4226C"/>
    <w:rsid w:val="00A422E2"/>
    <w:rsid w:val="00A42611"/>
    <w:rsid w:val="00A4307A"/>
    <w:rsid w:val="00A4356E"/>
    <w:rsid w:val="00A43AA1"/>
    <w:rsid w:val="00A44550"/>
    <w:rsid w:val="00A453FF"/>
    <w:rsid w:val="00A47EBB"/>
    <w:rsid w:val="00A507D6"/>
    <w:rsid w:val="00A51CDD"/>
    <w:rsid w:val="00A54C48"/>
    <w:rsid w:val="00A5566E"/>
    <w:rsid w:val="00A556C2"/>
    <w:rsid w:val="00A55B9A"/>
    <w:rsid w:val="00A55C30"/>
    <w:rsid w:val="00A57824"/>
    <w:rsid w:val="00A612B4"/>
    <w:rsid w:val="00A615C1"/>
    <w:rsid w:val="00A63BF6"/>
    <w:rsid w:val="00A64116"/>
    <w:rsid w:val="00A6730D"/>
    <w:rsid w:val="00A6743A"/>
    <w:rsid w:val="00A71625"/>
    <w:rsid w:val="00A71B9B"/>
    <w:rsid w:val="00A72562"/>
    <w:rsid w:val="00A728A4"/>
    <w:rsid w:val="00A72E03"/>
    <w:rsid w:val="00A72E85"/>
    <w:rsid w:val="00A72F61"/>
    <w:rsid w:val="00A751C7"/>
    <w:rsid w:val="00A75AEC"/>
    <w:rsid w:val="00A75FDB"/>
    <w:rsid w:val="00A767F0"/>
    <w:rsid w:val="00A77560"/>
    <w:rsid w:val="00A77921"/>
    <w:rsid w:val="00A77D19"/>
    <w:rsid w:val="00A80E78"/>
    <w:rsid w:val="00A8331C"/>
    <w:rsid w:val="00A8545B"/>
    <w:rsid w:val="00A85F47"/>
    <w:rsid w:val="00A87844"/>
    <w:rsid w:val="00A87AFA"/>
    <w:rsid w:val="00A9230E"/>
    <w:rsid w:val="00A94E34"/>
    <w:rsid w:val="00A960CD"/>
    <w:rsid w:val="00A96C88"/>
    <w:rsid w:val="00A97098"/>
    <w:rsid w:val="00AA038C"/>
    <w:rsid w:val="00AA0D24"/>
    <w:rsid w:val="00AA11F5"/>
    <w:rsid w:val="00AA1A4F"/>
    <w:rsid w:val="00AA24FE"/>
    <w:rsid w:val="00AA2D2C"/>
    <w:rsid w:val="00AA4C80"/>
    <w:rsid w:val="00AA7A09"/>
    <w:rsid w:val="00AB00DB"/>
    <w:rsid w:val="00AB0EBC"/>
    <w:rsid w:val="00AB160D"/>
    <w:rsid w:val="00AB3217"/>
    <w:rsid w:val="00AB3B50"/>
    <w:rsid w:val="00AB3F86"/>
    <w:rsid w:val="00AB4426"/>
    <w:rsid w:val="00AB4B85"/>
    <w:rsid w:val="00AB51CB"/>
    <w:rsid w:val="00AB5BF5"/>
    <w:rsid w:val="00AC05B1"/>
    <w:rsid w:val="00AC0C79"/>
    <w:rsid w:val="00AC103F"/>
    <w:rsid w:val="00AC16A3"/>
    <w:rsid w:val="00AC3002"/>
    <w:rsid w:val="00AC3467"/>
    <w:rsid w:val="00AC3BE7"/>
    <w:rsid w:val="00AC3E4A"/>
    <w:rsid w:val="00AC439E"/>
    <w:rsid w:val="00AC4CD0"/>
    <w:rsid w:val="00AC62D0"/>
    <w:rsid w:val="00AC63C6"/>
    <w:rsid w:val="00AC6CC7"/>
    <w:rsid w:val="00AC71CB"/>
    <w:rsid w:val="00AC7978"/>
    <w:rsid w:val="00AC7FE2"/>
    <w:rsid w:val="00AD1014"/>
    <w:rsid w:val="00AD178E"/>
    <w:rsid w:val="00AD206C"/>
    <w:rsid w:val="00AD356C"/>
    <w:rsid w:val="00AD3B62"/>
    <w:rsid w:val="00AD3F93"/>
    <w:rsid w:val="00AD4B26"/>
    <w:rsid w:val="00AD6051"/>
    <w:rsid w:val="00AD7AA3"/>
    <w:rsid w:val="00AE0B6C"/>
    <w:rsid w:val="00AE0D19"/>
    <w:rsid w:val="00AE27E3"/>
    <w:rsid w:val="00AE2914"/>
    <w:rsid w:val="00AE314B"/>
    <w:rsid w:val="00AE3A38"/>
    <w:rsid w:val="00AE3A99"/>
    <w:rsid w:val="00AE3BAE"/>
    <w:rsid w:val="00AE3D57"/>
    <w:rsid w:val="00AE5415"/>
    <w:rsid w:val="00AE6D15"/>
    <w:rsid w:val="00AF06E1"/>
    <w:rsid w:val="00AF1FC2"/>
    <w:rsid w:val="00AF31A2"/>
    <w:rsid w:val="00AF33B0"/>
    <w:rsid w:val="00AF60E8"/>
    <w:rsid w:val="00AF646C"/>
    <w:rsid w:val="00AF6BA8"/>
    <w:rsid w:val="00AF7D60"/>
    <w:rsid w:val="00B00049"/>
    <w:rsid w:val="00B023CE"/>
    <w:rsid w:val="00B039D0"/>
    <w:rsid w:val="00B04182"/>
    <w:rsid w:val="00B043CF"/>
    <w:rsid w:val="00B04E35"/>
    <w:rsid w:val="00B05513"/>
    <w:rsid w:val="00B07AE3"/>
    <w:rsid w:val="00B07C45"/>
    <w:rsid w:val="00B10C4E"/>
    <w:rsid w:val="00B11430"/>
    <w:rsid w:val="00B11518"/>
    <w:rsid w:val="00B12061"/>
    <w:rsid w:val="00B12822"/>
    <w:rsid w:val="00B133D3"/>
    <w:rsid w:val="00B13C3F"/>
    <w:rsid w:val="00B16312"/>
    <w:rsid w:val="00B16BA1"/>
    <w:rsid w:val="00B17096"/>
    <w:rsid w:val="00B1783B"/>
    <w:rsid w:val="00B178C7"/>
    <w:rsid w:val="00B23CF2"/>
    <w:rsid w:val="00B24419"/>
    <w:rsid w:val="00B25C23"/>
    <w:rsid w:val="00B261D9"/>
    <w:rsid w:val="00B26660"/>
    <w:rsid w:val="00B276BD"/>
    <w:rsid w:val="00B30268"/>
    <w:rsid w:val="00B321E8"/>
    <w:rsid w:val="00B32CB7"/>
    <w:rsid w:val="00B33DBE"/>
    <w:rsid w:val="00B34ED5"/>
    <w:rsid w:val="00B352F4"/>
    <w:rsid w:val="00B353EB"/>
    <w:rsid w:val="00B369C9"/>
    <w:rsid w:val="00B412F4"/>
    <w:rsid w:val="00B41519"/>
    <w:rsid w:val="00B42052"/>
    <w:rsid w:val="00B423D0"/>
    <w:rsid w:val="00B439C4"/>
    <w:rsid w:val="00B44268"/>
    <w:rsid w:val="00B44D8B"/>
    <w:rsid w:val="00B4535E"/>
    <w:rsid w:val="00B4617E"/>
    <w:rsid w:val="00B46BA3"/>
    <w:rsid w:val="00B47549"/>
    <w:rsid w:val="00B47C1F"/>
    <w:rsid w:val="00B506BC"/>
    <w:rsid w:val="00B52A8C"/>
    <w:rsid w:val="00B52CC7"/>
    <w:rsid w:val="00B549F1"/>
    <w:rsid w:val="00B54A4E"/>
    <w:rsid w:val="00B55267"/>
    <w:rsid w:val="00B60DB9"/>
    <w:rsid w:val="00B6279D"/>
    <w:rsid w:val="00B636A8"/>
    <w:rsid w:val="00B65A5B"/>
    <w:rsid w:val="00B6600C"/>
    <w:rsid w:val="00B665C6"/>
    <w:rsid w:val="00B66C02"/>
    <w:rsid w:val="00B66E57"/>
    <w:rsid w:val="00B66F7A"/>
    <w:rsid w:val="00B70BB4"/>
    <w:rsid w:val="00B72A0F"/>
    <w:rsid w:val="00B73DFA"/>
    <w:rsid w:val="00B75C5C"/>
    <w:rsid w:val="00B77970"/>
    <w:rsid w:val="00B805AF"/>
    <w:rsid w:val="00B8149B"/>
    <w:rsid w:val="00B81BB7"/>
    <w:rsid w:val="00B8239D"/>
    <w:rsid w:val="00B844E7"/>
    <w:rsid w:val="00B85880"/>
    <w:rsid w:val="00B861DB"/>
    <w:rsid w:val="00B869EC"/>
    <w:rsid w:val="00B86A34"/>
    <w:rsid w:val="00B86E8F"/>
    <w:rsid w:val="00B86F1A"/>
    <w:rsid w:val="00B8732F"/>
    <w:rsid w:val="00B87CA6"/>
    <w:rsid w:val="00B9291C"/>
    <w:rsid w:val="00B9397A"/>
    <w:rsid w:val="00B94EA5"/>
    <w:rsid w:val="00B95622"/>
    <w:rsid w:val="00B956F8"/>
    <w:rsid w:val="00B9633D"/>
    <w:rsid w:val="00B9645E"/>
    <w:rsid w:val="00B964D1"/>
    <w:rsid w:val="00B96611"/>
    <w:rsid w:val="00B97451"/>
    <w:rsid w:val="00BA1E19"/>
    <w:rsid w:val="00BA26AF"/>
    <w:rsid w:val="00BA29FE"/>
    <w:rsid w:val="00BA2DC2"/>
    <w:rsid w:val="00BA2EBE"/>
    <w:rsid w:val="00BA30AE"/>
    <w:rsid w:val="00BA33D2"/>
    <w:rsid w:val="00BA4329"/>
    <w:rsid w:val="00BA433D"/>
    <w:rsid w:val="00BA6465"/>
    <w:rsid w:val="00BB0F28"/>
    <w:rsid w:val="00BB1220"/>
    <w:rsid w:val="00BB223C"/>
    <w:rsid w:val="00BB34C7"/>
    <w:rsid w:val="00BB41FA"/>
    <w:rsid w:val="00BB458A"/>
    <w:rsid w:val="00BB4A3F"/>
    <w:rsid w:val="00BB4A47"/>
    <w:rsid w:val="00BB4CB1"/>
    <w:rsid w:val="00BB645D"/>
    <w:rsid w:val="00BB7443"/>
    <w:rsid w:val="00BC2AF6"/>
    <w:rsid w:val="00BC359C"/>
    <w:rsid w:val="00BC4FAD"/>
    <w:rsid w:val="00BC5E9C"/>
    <w:rsid w:val="00BC6B8B"/>
    <w:rsid w:val="00BC728F"/>
    <w:rsid w:val="00BD00D3"/>
    <w:rsid w:val="00BD0C4A"/>
    <w:rsid w:val="00BD1659"/>
    <w:rsid w:val="00BD1D87"/>
    <w:rsid w:val="00BD2D4A"/>
    <w:rsid w:val="00BD3AA9"/>
    <w:rsid w:val="00BD47F0"/>
    <w:rsid w:val="00BD4A18"/>
    <w:rsid w:val="00BD512E"/>
    <w:rsid w:val="00BD64EA"/>
    <w:rsid w:val="00BD6591"/>
    <w:rsid w:val="00BD6DB2"/>
    <w:rsid w:val="00BE11CF"/>
    <w:rsid w:val="00BE21AB"/>
    <w:rsid w:val="00BE3B30"/>
    <w:rsid w:val="00BE4342"/>
    <w:rsid w:val="00BE4D50"/>
    <w:rsid w:val="00BE55CB"/>
    <w:rsid w:val="00BE5CC1"/>
    <w:rsid w:val="00BE75E0"/>
    <w:rsid w:val="00BE7DF7"/>
    <w:rsid w:val="00BF0420"/>
    <w:rsid w:val="00BF1674"/>
    <w:rsid w:val="00BF2508"/>
    <w:rsid w:val="00BF3A35"/>
    <w:rsid w:val="00BF54C9"/>
    <w:rsid w:val="00BF60A8"/>
    <w:rsid w:val="00BF617A"/>
    <w:rsid w:val="00BF6AB4"/>
    <w:rsid w:val="00C00277"/>
    <w:rsid w:val="00C00584"/>
    <w:rsid w:val="00C00B91"/>
    <w:rsid w:val="00C00FCB"/>
    <w:rsid w:val="00C016CC"/>
    <w:rsid w:val="00C030A3"/>
    <w:rsid w:val="00C0379D"/>
    <w:rsid w:val="00C03931"/>
    <w:rsid w:val="00C04B79"/>
    <w:rsid w:val="00C05FE3"/>
    <w:rsid w:val="00C06565"/>
    <w:rsid w:val="00C06A10"/>
    <w:rsid w:val="00C077ED"/>
    <w:rsid w:val="00C124FE"/>
    <w:rsid w:val="00C13A63"/>
    <w:rsid w:val="00C144A9"/>
    <w:rsid w:val="00C14D3E"/>
    <w:rsid w:val="00C21113"/>
    <w:rsid w:val="00C2136D"/>
    <w:rsid w:val="00C214EE"/>
    <w:rsid w:val="00C21D6A"/>
    <w:rsid w:val="00C22C6B"/>
    <w:rsid w:val="00C2314B"/>
    <w:rsid w:val="00C23389"/>
    <w:rsid w:val="00C2365F"/>
    <w:rsid w:val="00C23997"/>
    <w:rsid w:val="00C24038"/>
    <w:rsid w:val="00C24551"/>
    <w:rsid w:val="00C2473D"/>
    <w:rsid w:val="00C24971"/>
    <w:rsid w:val="00C24BBE"/>
    <w:rsid w:val="00C26BE5"/>
    <w:rsid w:val="00C26C30"/>
    <w:rsid w:val="00C26E4D"/>
    <w:rsid w:val="00C27458"/>
    <w:rsid w:val="00C27909"/>
    <w:rsid w:val="00C27B03"/>
    <w:rsid w:val="00C30413"/>
    <w:rsid w:val="00C3091E"/>
    <w:rsid w:val="00C30CFE"/>
    <w:rsid w:val="00C314E1"/>
    <w:rsid w:val="00C32DEF"/>
    <w:rsid w:val="00C34397"/>
    <w:rsid w:val="00C34737"/>
    <w:rsid w:val="00C4007D"/>
    <w:rsid w:val="00C4095D"/>
    <w:rsid w:val="00C416BF"/>
    <w:rsid w:val="00C4241C"/>
    <w:rsid w:val="00C42748"/>
    <w:rsid w:val="00C434F9"/>
    <w:rsid w:val="00C438F8"/>
    <w:rsid w:val="00C43AF0"/>
    <w:rsid w:val="00C46587"/>
    <w:rsid w:val="00C511B5"/>
    <w:rsid w:val="00C52CC7"/>
    <w:rsid w:val="00C536E9"/>
    <w:rsid w:val="00C53E7C"/>
    <w:rsid w:val="00C56B8A"/>
    <w:rsid w:val="00C57017"/>
    <w:rsid w:val="00C57601"/>
    <w:rsid w:val="00C601D2"/>
    <w:rsid w:val="00C603A0"/>
    <w:rsid w:val="00C605E4"/>
    <w:rsid w:val="00C60E77"/>
    <w:rsid w:val="00C61712"/>
    <w:rsid w:val="00C618BF"/>
    <w:rsid w:val="00C61A6B"/>
    <w:rsid w:val="00C61F10"/>
    <w:rsid w:val="00C63674"/>
    <w:rsid w:val="00C646FE"/>
    <w:rsid w:val="00C64BE2"/>
    <w:rsid w:val="00C657AB"/>
    <w:rsid w:val="00C65BCC"/>
    <w:rsid w:val="00C66970"/>
    <w:rsid w:val="00C66E6D"/>
    <w:rsid w:val="00C70874"/>
    <w:rsid w:val="00C71759"/>
    <w:rsid w:val="00C72D8B"/>
    <w:rsid w:val="00C73A23"/>
    <w:rsid w:val="00C75661"/>
    <w:rsid w:val="00C763DD"/>
    <w:rsid w:val="00C77E7A"/>
    <w:rsid w:val="00C81266"/>
    <w:rsid w:val="00C83DDC"/>
    <w:rsid w:val="00C8691C"/>
    <w:rsid w:val="00C86E2E"/>
    <w:rsid w:val="00C91E8E"/>
    <w:rsid w:val="00C949F1"/>
    <w:rsid w:val="00C94DA0"/>
    <w:rsid w:val="00C96400"/>
    <w:rsid w:val="00C97267"/>
    <w:rsid w:val="00C9760D"/>
    <w:rsid w:val="00C97B0D"/>
    <w:rsid w:val="00CA0487"/>
    <w:rsid w:val="00CA168A"/>
    <w:rsid w:val="00CA19A6"/>
    <w:rsid w:val="00CA357E"/>
    <w:rsid w:val="00CA3629"/>
    <w:rsid w:val="00CA395C"/>
    <w:rsid w:val="00CA4345"/>
    <w:rsid w:val="00CA44F9"/>
    <w:rsid w:val="00CA4A69"/>
    <w:rsid w:val="00CA50E4"/>
    <w:rsid w:val="00CA5587"/>
    <w:rsid w:val="00CA5828"/>
    <w:rsid w:val="00CB25F3"/>
    <w:rsid w:val="00CB3245"/>
    <w:rsid w:val="00CB375A"/>
    <w:rsid w:val="00CB4117"/>
    <w:rsid w:val="00CB4989"/>
    <w:rsid w:val="00CB4ED8"/>
    <w:rsid w:val="00CB510A"/>
    <w:rsid w:val="00CB54EB"/>
    <w:rsid w:val="00CB5BC1"/>
    <w:rsid w:val="00CB6EA8"/>
    <w:rsid w:val="00CB7667"/>
    <w:rsid w:val="00CC08B3"/>
    <w:rsid w:val="00CC0B4B"/>
    <w:rsid w:val="00CC0F5D"/>
    <w:rsid w:val="00CC1385"/>
    <w:rsid w:val="00CC1E8B"/>
    <w:rsid w:val="00CC358E"/>
    <w:rsid w:val="00CC3E0C"/>
    <w:rsid w:val="00CC4C57"/>
    <w:rsid w:val="00CC58D3"/>
    <w:rsid w:val="00CC5B58"/>
    <w:rsid w:val="00CC784D"/>
    <w:rsid w:val="00CC7866"/>
    <w:rsid w:val="00CD00C5"/>
    <w:rsid w:val="00CD0647"/>
    <w:rsid w:val="00CD07B0"/>
    <w:rsid w:val="00CD1BF0"/>
    <w:rsid w:val="00CD3738"/>
    <w:rsid w:val="00CD6B5B"/>
    <w:rsid w:val="00CD71F0"/>
    <w:rsid w:val="00CD7297"/>
    <w:rsid w:val="00CD78C4"/>
    <w:rsid w:val="00CD7F57"/>
    <w:rsid w:val="00CE3FD0"/>
    <w:rsid w:val="00CE4C32"/>
    <w:rsid w:val="00CE5D12"/>
    <w:rsid w:val="00CE6629"/>
    <w:rsid w:val="00CE7994"/>
    <w:rsid w:val="00CF2656"/>
    <w:rsid w:val="00CF3DCD"/>
    <w:rsid w:val="00CF4EB0"/>
    <w:rsid w:val="00CF70FC"/>
    <w:rsid w:val="00D0337B"/>
    <w:rsid w:val="00D046FE"/>
    <w:rsid w:val="00D051BD"/>
    <w:rsid w:val="00D079B2"/>
    <w:rsid w:val="00D10D96"/>
    <w:rsid w:val="00D114E9"/>
    <w:rsid w:val="00D12A16"/>
    <w:rsid w:val="00D12E0B"/>
    <w:rsid w:val="00D1497B"/>
    <w:rsid w:val="00D14FAD"/>
    <w:rsid w:val="00D1536D"/>
    <w:rsid w:val="00D156BE"/>
    <w:rsid w:val="00D1655A"/>
    <w:rsid w:val="00D177E7"/>
    <w:rsid w:val="00D17BF7"/>
    <w:rsid w:val="00D2095D"/>
    <w:rsid w:val="00D23137"/>
    <w:rsid w:val="00D24D94"/>
    <w:rsid w:val="00D25D78"/>
    <w:rsid w:val="00D30BBB"/>
    <w:rsid w:val="00D314ED"/>
    <w:rsid w:val="00D31607"/>
    <w:rsid w:val="00D3170C"/>
    <w:rsid w:val="00D3196A"/>
    <w:rsid w:val="00D31AEB"/>
    <w:rsid w:val="00D323A7"/>
    <w:rsid w:val="00D338ED"/>
    <w:rsid w:val="00D33D7E"/>
    <w:rsid w:val="00D3444B"/>
    <w:rsid w:val="00D35734"/>
    <w:rsid w:val="00D35D1C"/>
    <w:rsid w:val="00D36641"/>
    <w:rsid w:val="00D379E9"/>
    <w:rsid w:val="00D40A30"/>
    <w:rsid w:val="00D40A95"/>
    <w:rsid w:val="00D429C6"/>
    <w:rsid w:val="00D44AEE"/>
    <w:rsid w:val="00D451D5"/>
    <w:rsid w:val="00D45A9A"/>
    <w:rsid w:val="00D47748"/>
    <w:rsid w:val="00D501C9"/>
    <w:rsid w:val="00D50D10"/>
    <w:rsid w:val="00D52D3A"/>
    <w:rsid w:val="00D53382"/>
    <w:rsid w:val="00D5372B"/>
    <w:rsid w:val="00D53FC4"/>
    <w:rsid w:val="00D54CC3"/>
    <w:rsid w:val="00D565F6"/>
    <w:rsid w:val="00D573CD"/>
    <w:rsid w:val="00D6041A"/>
    <w:rsid w:val="00D60B75"/>
    <w:rsid w:val="00D612DD"/>
    <w:rsid w:val="00D6130C"/>
    <w:rsid w:val="00D633EB"/>
    <w:rsid w:val="00D63465"/>
    <w:rsid w:val="00D63E53"/>
    <w:rsid w:val="00D64C10"/>
    <w:rsid w:val="00D65E74"/>
    <w:rsid w:val="00D660CE"/>
    <w:rsid w:val="00D667D3"/>
    <w:rsid w:val="00D67144"/>
    <w:rsid w:val="00D7084A"/>
    <w:rsid w:val="00D717BB"/>
    <w:rsid w:val="00D71D24"/>
    <w:rsid w:val="00D71FBF"/>
    <w:rsid w:val="00D720B4"/>
    <w:rsid w:val="00D7281D"/>
    <w:rsid w:val="00D762A3"/>
    <w:rsid w:val="00D76780"/>
    <w:rsid w:val="00D76D56"/>
    <w:rsid w:val="00D8017A"/>
    <w:rsid w:val="00D806B6"/>
    <w:rsid w:val="00D82ED6"/>
    <w:rsid w:val="00D82FF7"/>
    <w:rsid w:val="00D847FE"/>
    <w:rsid w:val="00D84FB8"/>
    <w:rsid w:val="00D8539C"/>
    <w:rsid w:val="00D85DD1"/>
    <w:rsid w:val="00D86436"/>
    <w:rsid w:val="00D870C9"/>
    <w:rsid w:val="00D906D2"/>
    <w:rsid w:val="00D91989"/>
    <w:rsid w:val="00D91EFB"/>
    <w:rsid w:val="00D964EA"/>
    <w:rsid w:val="00D966D0"/>
    <w:rsid w:val="00D96E4A"/>
    <w:rsid w:val="00D96E7A"/>
    <w:rsid w:val="00DA0C59"/>
    <w:rsid w:val="00DA1375"/>
    <w:rsid w:val="00DA1A60"/>
    <w:rsid w:val="00DA244B"/>
    <w:rsid w:val="00DA2F37"/>
    <w:rsid w:val="00DA34F9"/>
    <w:rsid w:val="00DA358F"/>
    <w:rsid w:val="00DA3991"/>
    <w:rsid w:val="00DA3F4F"/>
    <w:rsid w:val="00DA401F"/>
    <w:rsid w:val="00DA51F4"/>
    <w:rsid w:val="00DA5526"/>
    <w:rsid w:val="00DA58D1"/>
    <w:rsid w:val="00DB0FA1"/>
    <w:rsid w:val="00DB2770"/>
    <w:rsid w:val="00DB2D9B"/>
    <w:rsid w:val="00DB2DD8"/>
    <w:rsid w:val="00DB3908"/>
    <w:rsid w:val="00DB3C84"/>
    <w:rsid w:val="00DB4577"/>
    <w:rsid w:val="00DB4F7F"/>
    <w:rsid w:val="00DB56CA"/>
    <w:rsid w:val="00DB725A"/>
    <w:rsid w:val="00DB7E6C"/>
    <w:rsid w:val="00DB7F75"/>
    <w:rsid w:val="00DC1660"/>
    <w:rsid w:val="00DC25F2"/>
    <w:rsid w:val="00DC4B2A"/>
    <w:rsid w:val="00DC4DDD"/>
    <w:rsid w:val="00DC5679"/>
    <w:rsid w:val="00DC617B"/>
    <w:rsid w:val="00DD1886"/>
    <w:rsid w:val="00DD2721"/>
    <w:rsid w:val="00DD2A8F"/>
    <w:rsid w:val="00DD33C7"/>
    <w:rsid w:val="00DD3AC1"/>
    <w:rsid w:val="00DD4036"/>
    <w:rsid w:val="00DD512B"/>
    <w:rsid w:val="00DD5A29"/>
    <w:rsid w:val="00DD5D9D"/>
    <w:rsid w:val="00DD6666"/>
    <w:rsid w:val="00DE00A6"/>
    <w:rsid w:val="00DE0867"/>
    <w:rsid w:val="00DE1C4D"/>
    <w:rsid w:val="00DE3119"/>
    <w:rsid w:val="00DE35CB"/>
    <w:rsid w:val="00DE55CE"/>
    <w:rsid w:val="00DE67D2"/>
    <w:rsid w:val="00DF0BCD"/>
    <w:rsid w:val="00DF18C1"/>
    <w:rsid w:val="00DF21E9"/>
    <w:rsid w:val="00DF576C"/>
    <w:rsid w:val="00DF6359"/>
    <w:rsid w:val="00DF6738"/>
    <w:rsid w:val="00DF68C7"/>
    <w:rsid w:val="00DF7A4C"/>
    <w:rsid w:val="00E00F14"/>
    <w:rsid w:val="00E027EA"/>
    <w:rsid w:val="00E02BAF"/>
    <w:rsid w:val="00E06386"/>
    <w:rsid w:val="00E071D1"/>
    <w:rsid w:val="00E07A17"/>
    <w:rsid w:val="00E12CC0"/>
    <w:rsid w:val="00E132C7"/>
    <w:rsid w:val="00E134A3"/>
    <w:rsid w:val="00E1353B"/>
    <w:rsid w:val="00E13FCB"/>
    <w:rsid w:val="00E15A16"/>
    <w:rsid w:val="00E15ED4"/>
    <w:rsid w:val="00E170F0"/>
    <w:rsid w:val="00E17CA7"/>
    <w:rsid w:val="00E2098B"/>
    <w:rsid w:val="00E216C8"/>
    <w:rsid w:val="00E21892"/>
    <w:rsid w:val="00E22362"/>
    <w:rsid w:val="00E2237F"/>
    <w:rsid w:val="00E241D5"/>
    <w:rsid w:val="00E24EB4"/>
    <w:rsid w:val="00E27D54"/>
    <w:rsid w:val="00E305BE"/>
    <w:rsid w:val="00E3167E"/>
    <w:rsid w:val="00E31A1C"/>
    <w:rsid w:val="00E31B66"/>
    <w:rsid w:val="00E320ED"/>
    <w:rsid w:val="00E336F2"/>
    <w:rsid w:val="00E33946"/>
    <w:rsid w:val="00E33AFB"/>
    <w:rsid w:val="00E34218"/>
    <w:rsid w:val="00E3425B"/>
    <w:rsid w:val="00E3449B"/>
    <w:rsid w:val="00E35751"/>
    <w:rsid w:val="00E37021"/>
    <w:rsid w:val="00E37B55"/>
    <w:rsid w:val="00E42467"/>
    <w:rsid w:val="00E43F1C"/>
    <w:rsid w:val="00E46282"/>
    <w:rsid w:val="00E46508"/>
    <w:rsid w:val="00E47629"/>
    <w:rsid w:val="00E4778D"/>
    <w:rsid w:val="00E47D27"/>
    <w:rsid w:val="00E51523"/>
    <w:rsid w:val="00E5216E"/>
    <w:rsid w:val="00E52931"/>
    <w:rsid w:val="00E52E44"/>
    <w:rsid w:val="00E52EC9"/>
    <w:rsid w:val="00E53FF4"/>
    <w:rsid w:val="00E54BAD"/>
    <w:rsid w:val="00E56EA7"/>
    <w:rsid w:val="00E606AE"/>
    <w:rsid w:val="00E62681"/>
    <w:rsid w:val="00E62CEA"/>
    <w:rsid w:val="00E67EC8"/>
    <w:rsid w:val="00E67F37"/>
    <w:rsid w:val="00E67F3A"/>
    <w:rsid w:val="00E7495B"/>
    <w:rsid w:val="00E75835"/>
    <w:rsid w:val="00E75911"/>
    <w:rsid w:val="00E82344"/>
    <w:rsid w:val="00E835B5"/>
    <w:rsid w:val="00E8449E"/>
    <w:rsid w:val="00E84BB4"/>
    <w:rsid w:val="00E84C82"/>
    <w:rsid w:val="00E84D64"/>
    <w:rsid w:val="00E852DC"/>
    <w:rsid w:val="00E87408"/>
    <w:rsid w:val="00E87E02"/>
    <w:rsid w:val="00E90D4F"/>
    <w:rsid w:val="00E914C4"/>
    <w:rsid w:val="00E91E2C"/>
    <w:rsid w:val="00E934F5"/>
    <w:rsid w:val="00E93E7F"/>
    <w:rsid w:val="00E9535C"/>
    <w:rsid w:val="00E96961"/>
    <w:rsid w:val="00EA13EB"/>
    <w:rsid w:val="00EA156B"/>
    <w:rsid w:val="00EA4C8B"/>
    <w:rsid w:val="00EA661C"/>
    <w:rsid w:val="00EA72EC"/>
    <w:rsid w:val="00EB11CB"/>
    <w:rsid w:val="00EB1E71"/>
    <w:rsid w:val="00EB22AA"/>
    <w:rsid w:val="00EB275A"/>
    <w:rsid w:val="00EB2FC4"/>
    <w:rsid w:val="00EB3273"/>
    <w:rsid w:val="00EB52CF"/>
    <w:rsid w:val="00EB58AA"/>
    <w:rsid w:val="00EB70A3"/>
    <w:rsid w:val="00EB786A"/>
    <w:rsid w:val="00EB7FE5"/>
    <w:rsid w:val="00EC0C4B"/>
    <w:rsid w:val="00EC1578"/>
    <w:rsid w:val="00EC1796"/>
    <w:rsid w:val="00EC1C72"/>
    <w:rsid w:val="00EC31E7"/>
    <w:rsid w:val="00EC3CC9"/>
    <w:rsid w:val="00EC5289"/>
    <w:rsid w:val="00EC62F8"/>
    <w:rsid w:val="00EC6801"/>
    <w:rsid w:val="00EC680A"/>
    <w:rsid w:val="00EC6AEA"/>
    <w:rsid w:val="00EC7463"/>
    <w:rsid w:val="00EC74FD"/>
    <w:rsid w:val="00EC79A6"/>
    <w:rsid w:val="00ED08A3"/>
    <w:rsid w:val="00ED1F91"/>
    <w:rsid w:val="00ED22EC"/>
    <w:rsid w:val="00ED2F96"/>
    <w:rsid w:val="00ED67E5"/>
    <w:rsid w:val="00ED699B"/>
    <w:rsid w:val="00EE0D43"/>
    <w:rsid w:val="00EE1470"/>
    <w:rsid w:val="00EE18D8"/>
    <w:rsid w:val="00EE2A64"/>
    <w:rsid w:val="00EE2B57"/>
    <w:rsid w:val="00EE2BED"/>
    <w:rsid w:val="00EE2F82"/>
    <w:rsid w:val="00EE374B"/>
    <w:rsid w:val="00EE49F4"/>
    <w:rsid w:val="00EE501F"/>
    <w:rsid w:val="00EE7698"/>
    <w:rsid w:val="00EE789D"/>
    <w:rsid w:val="00EE7FB1"/>
    <w:rsid w:val="00EF07D9"/>
    <w:rsid w:val="00EF19A0"/>
    <w:rsid w:val="00EF241C"/>
    <w:rsid w:val="00EF26DF"/>
    <w:rsid w:val="00EF3EA7"/>
    <w:rsid w:val="00EF4F99"/>
    <w:rsid w:val="00EF5A06"/>
    <w:rsid w:val="00EF6AB1"/>
    <w:rsid w:val="00EF754F"/>
    <w:rsid w:val="00F006ED"/>
    <w:rsid w:val="00F015C7"/>
    <w:rsid w:val="00F01B78"/>
    <w:rsid w:val="00F022E1"/>
    <w:rsid w:val="00F037DB"/>
    <w:rsid w:val="00F03CBF"/>
    <w:rsid w:val="00F0407F"/>
    <w:rsid w:val="00F0461A"/>
    <w:rsid w:val="00F06792"/>
    <w:rsid w:val="00F114E9"/>
    <w:rsid w:val="00F11A38"/>
    <w:rsid w:val="00F11BB5"/>
    <w:rsid w:val="00F1325C"/>
    <w:rsid w:val="00F13F2E"/>
    <w:rsid w:val="00F1417B"/>
    <w:rsid w:val="00F14A50"/>
    <w:rsid w:val="00F153C7"/>
    <w:rsid w:val="00F269E8"/>
    <w:rsid w:val="00F27826"/>
    <w:rsid w:val="00F309ED"/>
    <w:rsid w:val="00F30E5F"/>
    <w:rsid w:val="00F30FE2"/>
    <w:rsid w:val="00F31087"/>
    <w:rsid w:val="00F32A51"/>
    <w:rsid w:val="00F32D2F"/>
    <w:rsid w:val="00F33E88"/>
    <w:rsid w:val="00F3476D"/>
    <w:rsid w:val="00F34B99"/>
    <w:rsid w:val="00F34DD1"/>
    <w:rsid w:val="00F3520D"/>
    <w:rsid w:val="00F35492"/>
    <w:rsid w:val="00F36961"/>
    <w:rsid w:val="00F37632"/>
    <w:rsid w:val="00F412B9"/>
    <w:rsid w:val="00F41BB9"/>
    <w:rsid w:val="00F43406"/>
    <w:rsid w:val="00F4589E"/>
    <w:rsid w:val="00F46BBA"/>
    <w:rsid w:val="00F50FB0"/>
    <w:rsid w:val="00F51A3E"/>
    <w:rsid w:val="00F52DAB"/>
    <w:rsid w:val="00F543F0"/>
    <w:rsid w:val="00F555FD"/>
    <w:rsid w:val="00F562F8"/>
    <w:rsid w:val="00F56ED4"/>
    <w:rsid w:val="00F60751"/>
    <w:rsid w:val="00F61204"/>
    <w:rsid w:val="00F617C1"/>
    <w:rsid w:val="00F61975"/>
    <w:rsid w:val="00F61BCB"/>
    <w:rsid w:val="00F666F3"/>
    <w:rsid w:val="00F67187"/>
    <w:rsid w:val="00F67303"/>
    <w:rsid w:val="00F67456"/>
    <w:rsid w:val="00F67669"/>
    <w:rsid w:val="00F677D5"/>
    <w:rsid w:val="00F67862"/>
    <w:rsid w:val="00F67DE3"/>
    <w:rsid w:val="00F7196C"/>
    <w:rsid w:val="00F72766"/>
    <w:rsid w:val="00F728CF"/>
    <w:rsid w:val="00F7405A"/>
    <w:rsid w:val="00F75066"/>
    <w:rsid w:val="00F7620F"/>
    <w:rsid w:val="00F76FF8"/>
    <w:rsid w:val="00F8123F"/>
    <w:rsid w:val="00F81619"/>
    <w:rsid w:val="00F81D29"/>
    <w:rsid w:val="00F82B59"/>
    <w:rsid w:val="00F83317"/>
    <w:rsid w:val="00F83410"/>
    <w:rsid w:val="00F838F7"/>
    <w:rsid w:val="00F839A3"/>
    <w:rsid w:val="00F85C73"/>
    <w:rsid w:val="00F86F5C"/>
    <w:rsid w:val="00F87F63"/>
    <w:rsid w:val="00F87FBC"/>
    <w:rsid w:val="00F91C4D"/>
    <w:rsid w:val="00F925B3"/>
    <w:rsid w:val="00F92FD9"/>
    <w:rsid w:val="00F93D1C"/>
    <w:rsid w:val="00F9431D"/>
    <w:rsid w:val="00F95068"/>
    <w:rsid w:val="00F95A74"/>
    <w:rsid w:val="00F97BFE"/>
    <w:rsid w:val="00F97CB5"/>
    <w:rsid w:val="00FA163A"/>
    <w:rsid w:val="00FA3F27"/>
    <w:rsid w:val="00FA42AB"/>
    <w:rsid w:val="00FA5821"/>
    <w:rsid w:val="00FA6171"/>
    <w:rsid w:val="00FA6684"/>
    <w:rsid w:val="00FA6740"/>
    <w:rsid w:val="00FA6B53"/>
    <w:rsid w:val="00FA6EB7"/>
    <w:rsid w:val="00FA731E"/>
    <w:rsid w:val="00FA790D"/>
    <w:rsid w:val="00FB0605"/>
    <w:rsid w:val="00FB1A51"/>
    <w:rsid w:val="00FB2B38"/>
    <w:rsid w:val="00FB3387"/>
    <w:rsid w:val="00FB3AC1"/>
    <w:rsid w:val="00FB51A7"/>
    <w:rsid w:val="00FB5948"/>
    <w:rsid w:val="00FB6572"/>
    <w:rsid w:val="00FC07CC"/>
    <w:rsid w:val="00FC08CA"/>
    <w:rsid w:val="00FC19DC"/>
    <w:rsid w:val="00FC2028"/>
    <w:rsid w:val="00FC2A8E"/>
    <w:rsid w:val="00FC3FDC"/>
    <w:rsid w:val="00FC4E9C"/>
    <w:rsid w:val="00FC54BA"/>
    <w:rsid w:val="00FC6358"/>
    <w:rsid w:val="00FD0AD3"/>
    <w:rsid w:val="00FD0BD5"/>
    <w:rsid w:val="00FD114D"/>
    <w:rsid w:val="00FD2AE5"/>
    <w:rsid w:val="00FD320D"/>
    <w:rsid w:val="00FD4C2D"/>
    <w:rsid w:val="00FD60C0"/>
    <w:rsid w:val="00FE0053"/>
    <w:rsid w:val="00FE0331"/>
    <w:rsid w:val="00FE1AF2"/>
    <w:rsid w:val="00FE23DE"/>
    <w:rsid w:val="00FE3FAA"/>
    <w:rsid w:val="00FE5649"/>
    <w:rsid w:val="00FE6AB6"/>
    <w:rsid w:val="00FE6F0E"/>
    <w:rsid w:val="00FF0702"/>
    <w:rsid w:val="00FF0D05"/>
    <w:rsid w:val="00FF22B0"/>
    <w:rsid w:val="00FF464D"/>
    <w:rsid w:val="00FF4CB2"/>
    <w:rsid w:val="00FF5DAB"/>
    <w:rsid w:val="00FF6DCD"/>
    <w:rsid w:val="00FF70C1"/>
    <w:rsid w:val="01101675"/>
    <w:rsid w:val="034C108A"/>
    <w:rsid w:val="05104339"/>
    <w:rsid w:val="06CD3785"/>
    <w:rsid w:val="0C180511"/>
    <w:rsid w:val="115F06D1"/>
    <w:rsid w:val="1499035F"/>
    <w:rsid w:val="169052DA"/>
    <w:rsid w:val="178F5592"/>
    <w:rsid w:val="1C031D21"/>
    <w:rsid w:val="1F3F2E83"/>
    <w:rsid w:val="2ACD3FAF"/>
    <w:rsid w:val="2D4C1B03"/>
    <w:rsid w:val="2D5E2683"/>
    <w:rsid w:val="2E0C3040"/>
    <w:rsid w:val="2E8778A4"/>
    <w:rsid w:val="310E70CF"/>
    <w:rsid w:val="32F83B93"/>
    <w:rsid w:val="36AF3103"/>
    <w:rsid w:val="39FC21BB"/>
    <w:rsid w:val="3D1E68EC"/>
    <w:rsid w:val="3E894239"/>
    <w:rsid w:val="4E7949E8"/>
    <w:rsid w:val="4FB21842"/>
    <w:rsid w:val="503C735D"/>
    <w:rsid w:val="53560736"/>
    <w:rsid w:val="547F1FC8"/>
    <w:rsid w:val="58F06F37"/>
    <w:rsid w:val="5B44356A"/>
    <w:rsid w:val="5C1D0043"/>
    <w:rsid w:val="60B4390F"/>
    <w:rsid w:val="60B665BB"/>
    <w:rsid w:val="61FC06FB"/>
    <w:rsid w:val="62E309E9"/>
    <w:rsid w:val="65827169"/>
    <w:rsid w:val="6EF8049C"/>
    <w:rsid w:val="6F06705D"/>
    <w:rsid w:val="72964259"/>
    <w:rsid w:val="7548217D"/>
    <w:rsid w:val="77075720"/>
    <w:rsid w:val="790524FE"/>
    <w:rsid w:val="79F503F9"/>
    <w:rsid w:val="7C5960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6">
    <w:name w:val="Default Paragraph Font"/>
    <w:semiHidden/>
    <w:unhideWhenUsed/>
    <w:qFormat/>
    <w:uiPriority w:val="1"/>
  </w:style>
  <w:style w:type="table" w:default="1" w:styleId="3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sz w:val="20"/>
      <w:szCs w:val="20"/>
    </w:rPr>
    <w:tblPr>
      <w:tblCellMar>
        <w:top w:w="0" w:type="dxa"/>
        <w:left w:w="108" w:type="dxa"/>
        <w:bottom w:w="0" w:type="dxa"/>
        <w:right w:w="108" w:type="dxa"/>
      </w:tblCellMar>
    </w:tblPr>
  </w:style>
  <w:style w:type="paragraph" w:styleId="2">
    <w:name w:val="toc 7"/>
    <w:basedOn w:val="1"/>
    <w:next w:val="1"/>
    <w:semiHidden/>
    <w:qFormat/>
    <w:uiPriority w:val="0"/>
    <w:pPr>
      <w:tabs>
        <w:tab w:val="right" w:leader="dot" w:pos="9241"/>
      </w:tabs>
      <w:ind w:firstLine="505" w:firstLineChars="500"/>
      <w:jc w:val="left"/>
    </w:pPr>
    <w:rPr>
      <w:rFonts w:ascii="宋体"/>
      <w:szCs w:val="21"/>
    </w:rPr>
  </w:style>
  <w:style w:type="paragraph" w:styleId="3">
    <w:name w:val="index 8"/>
    <w:basedOn w:val="1"/>
    <w:next w:val="1"/>
    <w:qFormat/>
    <w:uiPriority w:val="0"/>
    <w:pPr>
      <w:ind w:left="1680" w:hanging="210"/>
      <w:jc w:val="left"/>
    </w:pPr>
    <w:rPr>
      <w:rFonts w:ascii="Calibri" w:hAnsi="Calibri"/>
      <w:sz w:val="20"/>
      <w:szCs w:val="20"/>
    </w:rPr>
  </w:style>
  <w:style w:type="paragraph" w:styleId="4">
    <w:name w:val="caption"/>
    <w:basedOn w:val="1"/>
    <w:next w:val="1"/>
    <w:qFormat/>
    <w:uiPriority w:val="0"/>
    <w:pPr>
      <w:spacing w:before="152" w:after="160"/>
    </w:pPr>
    <w:rPr>
      <w:rFonts w:ascii="Arial" w:hAnsi="Arial" w:eastAsia="黑体" w:cs="Arial"/>
      <w:sz w:val="20"/>
      <w:szCs w:val="20"/>
    </w:rPr>
  </w:style>
  <w:style w:type="paragraph" w:styleId="5">
    <w:name w:val="index 5"/>
    <w:basedOn w:val="1"/>
    <w:next w:val="1"/>
    <w:qFormat/>
    <w:uiPriority w:val="0"/>
    <w:pPr>
      <w:ind w:left="1050" w:hanging="210"/>
      <w:jc w:val="left"/>
    </w:pPr>
    <w:rPr>
      <w:rFonts w:ascii="Calibri" w:hAnsi="Calibri"/>
      <w:sz w:val="20"/>
      <w:szCs w:val="20"/>
    </w:rPr>
  </w:style>
  <w:style w:type="paragraph" w:styleId="6">
    <w:name w:val="Document Map"/>
    <w:basedOn w:val="1"/>
    <w:semiHidden/>
    <w:qFormat/>
    <w:uiPriority w:val="0"/>
    <w:pPr>
      <w:shd w:val="clear" w:color="auto" w:fill="000080"/>
    </w:pPr>
  </w:style>
  <w:style w:type="paragraph" w:styleId="7">
    <w:name w:val="annotation text"/>
    <w:basedOn w:val="1"/>
    <w:link w:val="146"/>
    <w:qFormat/>
    <w:uiPriority w:val="0"/>
    <w:pPr>
      <w:jc w:val="left"/>
    </w:pPr>
  </w:style>
  <w:style w:type="paragraph" w:styleId="8">
    <w:name w:val="index 6"/>
    <w:basedOn w:val="1"/>
    <w:next w:val="1"/>
    <w:qFormat/>
    <w:uiPriority w:val="0"/>
    <w:pPr>
      <w:ind w:left="1260" w:hanging="210"/>
      <w:jc w:val="left"/>
    </w:pPr>
    <w:rPr>
      <w:rFonts w:ascii="Calibri" w:hAnsi="Calibri"/>
      <w:sz w:val="20"/>
      <w:szCs w:val="20"/>
    </w:rPr>
  </w:style>
  <w:style w:type="paragraph" w:styleId="9">
    <w:name w:val="index 4"/>
    <w:basedOn w:val="1"/>
    <w:next w:val="1"/>
    <w:qFormat/>
    <w:uiPriority w:val="0"/>
    <w:pPr>
      <w:ind w:left="840" w:hanging="210"/>
      <w:jc w:val="left"/>
    </w:pPr>
    <w:rPr>
      <w:rFonts w:ascii="Calibri" w:hAnsi="Calibri"/>
      <w:sz w:val="20"/>
      <w:szCs w:val="20"/>
    </w:rPr>
  </w:style>
  <w:style w:type="paragraph" w:styleId="10">
    <w:name w:val="toc 5"/>
    <w:basedOn w:val="1"/>
    <w:next w:val="1"/>
    <w:semiHidden/>
    <w:qFormat/>
    <w:uiPriority w:val="0"/>
    <w:pPr>
      <w:tabs>
        <w:tab w:val="right" w:leader="dot" w:pos="9241"/>
      </w:tabs>
      <w:ind w:firstLine="300" w:firstLineChars="300"/>
      <w:jc w:val="left"/>
    </w:pPr>
    <w:rPr>
      <w:rFonts w:ascii="宋体"/>
      <w:szCs w:val="21"/>
    </w:rPr>
  </w:style>
  <w:style w:type="paragraph" w:styleId="11">
    <w:name w:val="toc 3"/>
    <w:basedOn w:val="1"/>
    <w:next w:val="1"/>
    <w:semiHidden/>
    <w:qFormat/>
    <w:uiPriority w:val="0"/>
    <w:pPr>
      <w:tabs>
        <w:tab w:val="right" w:leader="dot" w:pos="9241"/>
      </w:tabs>
      <w:ind w:firstLine="102" w:firstLineChars="100"/>
      <w:jc w:val="left"/>
    </w:pPr>
    <w:rPr>
      <w:rFonts w:ascii="宋体"/>
      <w:szCs w:val="21"/>
    </w:rPr>
  </w:style>
  <w:style w:type="paragraph" w:styleId="12">
    <w:name w:val="Plain Text"/>
    <w:basedOn w:val="1"/>
    <w:link w:val="151"/>
    <w:qFormat/>
    <w:uiPriority w:val="0"/>
    <w:rPr>
      <w:rFonts w:ascii="宋体" w:hAnsi="Courier New"/>
      <w:szCs w:val="20"/>
    </w:rPr>
  </w:style>
  <w:style w:type="paragraph" w:styleId="13">
    <w:name w:val="toc 8"/>
    <w:basedOn w:val="1"/>
    <w:next w:val="1"/>
    <w:semiHidden/>
    <w:qFormat/>
    <w:uiPriority w:val="0"/>
    <w:pPr>
      <w:tabs>
        <w:tab w:val="right" w:leader="dot" w:pos="9241"/>
      </w:tabs>
      <w:ind w:firstLine="607" w:firstLineChars="600"/>
      <w:jc w:val="left"/>
    </w:pPr>
    <w:rPr>
      <w:rFonts w:ascii="宋体"/>
      <w:szCs w:val="21"/>
    </w:rPr>
  </w:style>
  <w:style w:type="paragraph" w:styleId="14">
    <w:name w:val="index 3"/>
    <w:basedOn w:val="1"/>
    <w:next w:val="1"/>
    <w:qFormat/>
    <w:uiPriority w:val="0"/>
    <w:pPr>
      <w:ind w:left="630" w:hanging="210"/>
      <w:jc w:val="left"/>
    </w:pPr>
    <w:rPr>
      <w:rFonts w:ascii="Calibri" w:hAnsi="Calibri"/>
      <w:sz w:val="20"/>
      <w:szCs w:val="20"/>
    </w:rPr>
  </w:style>
  <w:style w:type="paragraph" w:styleId="15">
    <w:name w:val="Date"/>
    <w:basedOn w:val="1"/>
    <w:next w:val="1"/>
    <w:link w:val="143"/>
    <w:qFormat/>
    <w:uiPriority w:val="0"/>
    <w:pPr>
      <w:ind w:left="100" w:leftChars="2500"/>
    </w:pPr>
  </w:style>
  <w:style w:type="paragraph" w:styleId="16">
    <w:name w:val="endnote text"/>
    <w:basedOn w:val="1"/>
    <w:semiHidden/>
    <w:qFormat/>
    <w:uiPriority w:val="0"/>
    <w:pPr>
      <w:snapToGrid w:val="0"/>
      <w:jc w:val="left"/>
    </w:pPr>
  </w:style>
  <w:style w:type="paragraph" w:styleId="17">
    <w:name w:val="Balloon Text"/>
    <w:basedOn w:val="1"/>
    <w:semiHidden/>
    <w:qFormat/>
    <w:uiPriority w:val="0"/>
    <w:rPr>
      <w:sz w:val="18"/>
      <w:szCs w:val="18"/>
    </w:rPr>
  </w:style>
  <w:style w:type="paragraph" w:styleId="18">
    <w:name w:val="footer"/>
    <w:basedOn w:val="1"/>
    <w:link w:val="159"/>
    <w:qFormat/>
    <w:uiPriority w:val="99"/>
    <w:pPr>
      <w:snapToGrid w:val="0"/>
      <w:ind w:right="210" w:rightChars="100"/>
      <w:jc w:val="right"/>
    </w:pPr>
    <w:rPr>
      <w:sz w:val="18"/>
      <w:szCs w:val="18"/>
    </w:rPr>
  </w:style>
  <w:style w:type="paragraph" w:styleId="19">
    <w:name w:val="header"/>
    <w:basedOn w:val="1"/>
    <w:link w:val="148"/>
    <w:qFormat/>
    <w:uiPriority w:val="0"/>
    <w:pPr>
      <w:snapToGrid w:val="0"/>
      <w:jc w:val="left"/>
    </w:pPr>
    <w:rPr>
      <w:sz w:val="18"/>
      <w:szCs w:val="18"/>
    </w:rPr>
  </w:style>
  <w:style w:type="paragraph" w:styleId="20">
    <w:name w:val="toc 1"/>
    <w:basedOn w:val="1"/>
    <w:next w:val="1"/>
    <w:qFormat/>
    <w:uiPriority w:val="39"/>
    <w:pPr>
      <w:tabs>
        <w:tab w:val="right" w:leader="dot" w:pos="9241"/>
      </w:tabs>
      <w:spacing w:beforeLines="25" w:afterLines="25"/>
      <w:jc w:val="left"/>
    </w:pPr>
    <w:rPr>
      <w:rFonts w:ascii="宋体"/>
      <w:szCs w:val="21"/>
    </w:rPr>
  </w:style>
  <w:style w:type="paragraph" w:styleId="21">
    <w:name w:val="toc 4"/>
    <w:basedOn w:val="1"/>
    <w:next w:val="1"/>
    <w:semiHidden/>
    <w:qFormat/>
    <w:uiPriority w:val="0"/>
    <w:pPr>
      <w:tabs>
        <w:tab w:val="right" w:leader="dot" w:pos="9241"/>
      </w:tabs>
      <w:ind w:firstLine="198" w:firstLineChars="200"/>
      <w:jc w:val="left"/>
    </w:pPr>
    <w:rPr>
      <w:rFonts w:ascii="宋体"/>
      <w:szCs w:val="21"/>
    </w:rPr>
  </w:style>
  <w:style w:type="paragraph" w:styleId="22">
    <w:name w:val="index heading"/>
    <w:basedOn w:val="1"/>
    <w:next w:val="23"/>
    <w:qFormat/>
    <w:uiPriority w:val="0"/>
    <w:pPr>
      <w:spacing w:before="120" w:after="120"/>
      <w:jc w:val="center"/>
    </w:pPr>
    <w:rPr>
      <w:rFonts w:ascii="Calibri" w:hAnsi="Calibri"/>
      <w:b/>
      <w:bCs/>
      <w:iCs/>
      <w:szCs w:val="20"/>
    </w:rPr>
  </w:style>
  <w:style w:type="paragraph" w:styleId="23">
    <w:name w:val="index 1"/>
    <w:basedOn w:val="1"/>
    <w:next w:val="24"/>
    <w:qFormat/>
    <w:uiPriority w:val="0"/>
    <w:pPr>
      <w:tabs>
        <w:tab w:val="right" w:leader="dot" w:pos="9299"/>
      </w:tabs>
      <w:jc w:val="left"/>
    </w:pPr>
    <w:rPr>
      <w:rFonts w:ascii="宋体"/>
      <w:szCs w:val="21"/>
    </w:rPr>
  </w:style>
  <w:style w:type="paragraph" w:customStyle="1" w:styleId="24">
    <w:name w:val="段"/>
    <w:link w:val="45"/>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25">
    <w:name w:val="footnote text"/>
    <w:basedOn w:val="1"/>
    <w:qFormat/>
    <w:uiPriority w:val="0"/>
    <w:pPr>
      <w:numPr>
        <w:ilvl w:val="0"/>
        <w:numId w:val="1"/>
      </w:numPr>
      <w:snapToGrid w:val="0"/>
      <w:jc w:val="left"/>
    </w:pPr>
    <w:rPr>
      <w:rFonts w:ascii="宋体"/>
      <w:sz w:val="18"/>
      <w:szCs w:val="18"/>
    </w:rPr>
  </w:style>
  <w:style w:type="paragraph" w:styleId="26">
    <w:name w:val="toc 6"/>
    <w:basedOn w:val="1"/>
    <w:next w:val="1"/>
    <w:semiHidden/>
    <w:qFormat/>
    <w:uiPriority w:val="0"/>
    <w:pPr>
      <w:tabs>
        <w:tab w:val="right" w:leader="dot" w:pos="9241"/>
      </w:tabs>
      <w:ind w:firstLine="403" w:firstLineChars="400"/>
      <w:jc w:val="left"/>
    </w:pPr>
    <w:rPr>
      <w:rFonts w:ascii="宋体"/>
      <w:szCs w:val="21"/>
    </w:rPr>
  </w:style>
  <w:style w:type="paragraph" w:styleId="27">
    <w:name w:val="index 7"/>
    <w:basedOn w:val="1"/>
    <w:next w:val="1"/>
    <w:qFormat/>
    <w:uiPriority w:val="0"/>
    <w:pPr>
      <w:ind w:left="1470" w:hanging="210"/>
      <w:jc w:val="left"/>
    </w:pPr>
    <w:rPr>
      <w:rFonts w:ascii="Calibri" w:hAnsi="Calibri"/>
      <w:sz w:val="20"/>
      <w:szCs w:val="20"/>
    </w:rPr>
  </w:style>
  <w:style w:type="paragraph" w:styleId="28">
    <w:name w:val="index 9"/>
    <w:basedOn w:val="1"/>
    <w:next w:val="1"/>
    <w:qFormat/>
    <w:uiPriority w:val="0"/>
    <w:pPr>
      <w:ind w:left="1890" w:hanging="210"/>
      <w:jc w:val="left"/>
    </w:pPr>
    <w:rPr>
      <w:rFonts w:ascii="Calibri" w:hAnsi="Calibri"/>
      <w:sz w:val="20"/>
      <w:szCs w:val="20"/>
    </w:rPr>
  </w:style>
  <w:style w:type="paragraph" w:styleId="29">
    <w:name w:val="toc 2"/>
    <w:basedOn w:val="1"/>
    <w:next w:val="1"/>
    <w:semiHidden/>
    <w:qFormat/>
    <w:uiPriority w:val="0"/>
    <w:pPr>
      <w:tabs>
        <w:tab w:val="right" w:leader="dot" w:pos="9241"/>
      </w:tabs>
    </w:pPr>
    <w:rPr>
      <w:rFonts w:ascii="宋体"/>
      <w:szCs w:val="21"/>
    </w:rPr>
  </w:style>
  <w:style w:type="paragraph" w:styleId="30">
    <w:name w:val="toc 9"/>
    <w:basedOn w:val="1"/>
    <w:next w:val="1"/>
    <w:semiHidden/>
    <w:qFormat/>
    <w:uiPriority w:val="0"/>
    <w:pPr>
      <w:ind w:left="1470"/>
      <w:jc w:val="left"/>
    </w:pPr>
    <w:rPr>
      <w:sz w:val="20"/>
      <w:szCs w:val="20"/>
    </w:rPr>
  </w:style>
  <w:style w:type="paragraph" w:styleId="31">
    <w:name w:val="Normal (Web)"/>
    <w:basedOn w:val="1"/>
    <w:unhideWhenUsed/>
    <w:qFormat/>
    <w:uiPriority w:val="0"/>
    <w:pPr>
      <w:widowControl/>
      <w:spacing w:before="100" w:beforeAutospacing="1" w:after="100" w:afterAutospacing="1"/>
      <w:jc w:val="left"/>
    </w:pPr>
    <w:rPr>
      <w:rFonts w:ascii="宋体" w:hAnsi="宋体" w:cs="宋体"/>
      <w:color w:val="000000"/>
      <w:kern w:val="0"/>
      <w:sz w:val="24"/>
    </w:rPr>
  </w:style>
  <w:style w:type="paragraph" w:styleId="32">
    <w:name w:val="index 2"/>
    <w:basedOn w:val="1"/>
    <w:next w:val="1"/>
    <w:qFormat/>
    <w:uiPriority w:val="0"/>
    <w:pPr>
      <w:ind w:left="420" w:hanging="210"/>
      <w:jc w:val="left"/>
    </w:pPr>
    <w:rPr>
      <w:rFonts w:ascii="Calibri" w:hAnsi="Calibri"/>
      <w:sz w:val="20"/>
      <w:szCs w:val="20"/>
    </w:rPr>
  </w:style>
  <w:style w:type="paragraph" w:styleId="33">
    <w:name w:val="annotation subject"/>
    <w:basedOn w:val="7"/>
    <w:next w:val="7"/>
    <w:link w:val="147"/>
    <w:qFormat/>
    <w:uiPriority w:val="0"/>
    <w:rPr>
      <w:b/>
      <w:bCs/>
    </w:rPr>
  </w:style>
  <w:style w:type="table" w:styleId="35">
    <w:name w:val="Table Grid"/>
    <w:basedOn w:val="34"/>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Strong"/>
    <w:basedOn w:val="36"/>
    <w:qFormat/>
    <w:uiPriority w:val="0"/>
    <w:rPr>
      <w:b/>
    </w:rPr>
  </w:style>
  <w:style w:type="character" w:styleId="38">
    <w:name w:val="endnote reference"/>
    <w:semiHidden/>
    <w:qFormat/>
    <w:uiPriority w:val="0"/>
    <w:rPr>
      <w:vertAlign w:val="superscript"/>
    </w:rPr>
  </w:style>
  <w:style w:type="character" w:styleId="39">
    <w:name w:val="page number"/>
    <w:qFormat/>
    <w:uiPriority w:val="0"/>
    <w:rPr>
      <w:rFonts w:ascii="Times New Roman" w:hAnsi="Times New Roman" w:eastAsia="宋体"/>
      <w:sz w:val="18"/>
    </w:rPr>
  </w:style>
  <w:style w:type="character" w:styleId="40">
    <w:name w:val="FollowedHyperlink"/>
    <w:qFormat/>
    <w:uiPriority w:val="0"/>
    <w:rPr>
      <w:color w:val="800080"/>
      <w:u w:val="single"/>
    </w:rPr>
  </w:style>
  <w:style w:type="character" w:styleId="41">
    <w:name w:val="Emphasis"/>
    <w:basedOn w:val="36"/>
    <w:qFormat/>
    <w:uiPriority w:val="0"/>
    <w:rPr>
      <w:i/>
      <w:iCs/>
    </w:rPr>
  </w:style>
  <w:style w:type="character" w:styleId="42">
    <w:name w:val="Hyperlink"/>
    <w:qFormat/>
    <w:uiPriority w:val="99"/>
    <w:rPr>
      <w:color w:val="0000FF"/>
      <w:spacing w:val="0"/>
      <w:w w:val="100"/>
      <w:szCs w:val="21"/>
      <w:u w:val="single"/>
    </w:rPr>
  </w:style>
  <w:style w:type="character" w:styleId="43">
    <w:name w:val="annotation reference"/>
    <w:qFormat/>
    <w:uiPriority w:val="0"/>
    <w:rPr>
      <w:sz w:val="21"/>
      <w:szCs w:val="21"/>
    </w:rPr>
  </w:style>
  <w:style w:type="character" w:styleId="44">
    <w:name w:val="footnote reference"/>
    <w:semiHidden/>
    <w:qFormat/>
    <w:uiPriority w:val="0"/>
    <w:rPr>
      <w:vertAlign w:val="superscript"/>
    </w:rPr>
  </w:style>
  <w:style w:type="character" w:customStyle="1" w:styleId="45">
    <w:name w:val="段 Char"/>
    <w:link w:val="24"/>
    <w:qFormat/>
    <w:uiPriority w:val="0"/>
    <w:rPr>
      <w:rFonts w:ascii="宋体"/>
      <w:sz w:val="21"/>
      <w:lang w:val="en-US" w:eastAsia="zh-CN" w:bidi="ar-SA"/>
    </w:rPr>
  </w:style>
  <w:style w:type="paragraph" w:customStyle="1" w:styleId="46">
    <w:name w:val="一级条标题"/>
    <w:next w:val="24"/>
    <w:link w:val="144"/>
    <w:qFormat/>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47">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48">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9">
    <w:name w:val="章标题"/>
    <w:next w:val="24"/>
    <w:qFormat/>
    <w:uiPriority w:val="0"/>
    <w:pPr>
      <w:numPr>
        <w:ilvl w:val="0"/>
        <w:numId w:val="2"/>
      </w:numPr>
      <w:spacing w:beforeLines="100" w:afterLines="100"/>
      <w:jc w:val="both"/>
      <w:outlineLvl w:val="1"/>
    </w:pPr>
    <w:rPr>
      <w:rFonts w:ascii="黑体" w:hAnsi="Times New Roman" w:eastAsia="黑体" w:cs="Times New Roman"/>
      <w:sz w:val="21"/>
      <w:lang w:val="en-US" w:eastAsia="zh-CN" w:bidi="ar-SA"/>
    </w:rPr>
  </w:style>
  <w:style w:type="paragraph" w:customStyle="1" w:styleId="50">
    <w:name w:val="二级条标题"/>
    <w:basedOn w:val="46"/>
    <w:next w:val="24"/>
    <w:link w:val="145"/>
    <w:qFormat/>
    <w:uiPriority w:val="0"/>
    <w:pPr>
      <w:numPr>
        <w:ilvl w:val="2"/>
      </w:numPr>
      <w:spacing w:before="50" w:after="50"/>
      <w:outlineLvl w:val="3"/>
    </w:pPr>
  </w:style>
  <w:style w:type="paragraph" w:customStyle="1" w:styleId="51">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52">
    <w:name w:val="列项——（一级）"/>
    <w:qFormat/>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53">
    <w:name w:val="列项●（二级）"/>
    <w:qFormat/>
    <w:uiPriority w:val="0"/>
    <w:pPr>
      <w:numPr>
        <w:ilvl w:val="1"/>
        <w:numId w:val="4"/>
      </w:numPr>
      <w:tabs>
        <w:tab w:val="left" w:pos="840"/>
      </w:tabs>
      <w:jc w:val="both"/>
    </w:pPr>
    <w:rPr>
      <w:rFonts w:ascii="宋体" w:hAnsi="Times New Roman" w:eastAsia="宋体" w:cs="Times New Roman"/>
      <w:sz w:val="21"/>
      <w:lang w:val="en-US" w:eastAsia="zh-CN" w:bidi="ar-SA"/>
    </w:rPr>
  </w:style>
  <w:style w:type="paragraph" w:customStyle="1" w:styleId="54">
    <w:name w:val="目次、标准名称标题"/>
    <w:basedOn w:val="1"/>
    <w:next w:val="24"/>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55">
    <w:name w:val="三级条标题"/>
    <w:basedOn w:val="50"/>
    <w:next w:val="24"/>
    <w:qFormat/>
    <w:uiPriority w:val="0"/>
    <w:pPr>
      <w:numPr>
        <w:ilvl w:val="3"/>
      </w:numPr>
      <w:outlineLvl w:val="4"/>
    </w:pPr>
  </w:style>
  <w:style w:type="paragraph" w:customStyle="1" w:styleId="56">
    <w:name w:val="示例"/>
    <w:next w:val="57"/>
    <w:qFormat/>
    <w:uiPriority w:val="0"/>
    <w:pPr>
      <w:widowControl w:val="0"/>
      <w:ind w:firstLine="363"/>
      <w:jc w:val="both"/>
    </w:pPr>
    <w:rPr>
      <w:rFonts w:ascii="宋体" w:hAnsi="Times New Roman" w:eastAsia="宋体" w:cs="Times New Roman"/>
      <w:sz w:val="18"/>
      <w:szCs w:val="18"/>
      <w:lang w:val="en-US" w:eastAsia="zh-CN" w:bidi="ar-SA"/>
    </w:rPr>
  </w:style>
  <w:style w:type="paragraph" w:customStyle="1" w:styleId="57">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58">
    <w:name w:val="数字编号列项（二级）"/>
    <w:qFormat/>
    <w:uiPriority w:val="0"/>
    <w:pPr>
      <w:numPr>
        <w:ilvl w:val="1"/>
        <w:numId w:val="5"/>
      </w:numPr>
      <w:jc w:val="both"/>
    </w:pPr>
    <w:rPr>
      <w:rFonts w:ascii="宋体" w:hAnsi="Times New Roman" w:eastAsia="宋体" w:cs="Times New Roman"/>
      <w:sz w:val="21"/>
      <w:lang w:val="en-US" w:eastAsia="zh-CN" w:bidi="ar-SA"/>
    </w:rPr>
  </w:style>
  <w:style w:type="paragraph" w:customStyle="1" w:styleId="59">
    <w:name w:val="四级条标题"/>
    <w:basedOn w:val="55"/>
    <w:next w:val="24"/>
    <w:qFormat/>
    <w:uiPriority w:val="0"/>
    <w:pPr>
      <w:numPr>
        <w:ilvl w:val="4"/>
      </w:numPr>
      <w:outlineLvl w:val="5"/>
    </w:pPr>
  </w:style>
  <w:style w:type="paragraph" w:customStyle="1" w:styleId="60">
    <w:name w:val="五级条标题"/>
    <w:basedOn w:val="59"/>
    <w:next w:val="24"/>
    <w:qFormat/>
    <w:uiPriority w:val="0"/>
    <w:pPr>
      <w:numPr>
        <w:ilvl w:val="5"/>
      </w:numPr>
      <w:outlineLvl w:val="6"/>
    </w:pPr>
  </w:style>
  <w:style w:type="paragraph" w:customStyle="1" w:styleId="61">
    <w:name w:val="注："/>
    <w:next w:val="24"/>
    <w:qFormat/>
    <w:uiPriority w:val="0"/>
    <w:pPr>
      <w:widowControl w:val="0"/>
      <w:numPr>
        <w:ilvl w:val="0"/>
        <w:numId w:val="6"/>
      </w:numPr>
      <w:autoSpaceDE w:val="0"/>
      <w:autoSpaceDN w:val="0"/>
      <w:jc w:val="both"/>
    </w:pPr>
    <w:rPr>
      <w:rFonts w:ascii="宋体" w:hAnsi="Times New Roman" w:eastAsia="宋体" w:cs="Times New Roman"/>
      <w:sz w:val="18"/>
      <w:szCs w:val="18"/>
      <w:lang w:val="en-US" w:eastAsia="zh-CN" w:bidi="ar-SA"/>
    </w:rPr>
  </w:style>
  <w:style w:type="paragraph" w:customStyle="1" w:styleId="62">
    <w:name w:val="注×："/>
    <w:qFormat/>
    <w:uiPriority w:val="0"/>
    <w:pPr>
      <w:widowControl w:val="0"/>
      <w:autoSpaceDE w:val="0"/>
      <w:autoSpaceDN w:val="0"/>
      <w:ind w:left="811" w:hanging="448"/>
      <w:jc w:val="both"/>
    </w:pPr>
    <w:rPr>
      <w:rFonts w:ascii="宋体" w:hAnsi="Times New Roman" w:eastAsia="宋体" w:cs="Times New Roman"/>
      <w:sz w:val="18"/>
      <w:szCs w:val="18"/>
      <w:lang w:val="en-US" w:eastAsia="zh-CN" w:bidi="ar-SA"/>
    </w:rPr>
  </w:style>
  <w:style w:type="paragraph" w:customStyle="1" w:styleId="63">
    <w:name w:val="字母编号列项（一级）"/>
    <w:qFormat/>
    <w:uiPriority w:val="0"/>
    <w:pPr>
      <w:numPr>
        <w:ilvl w:val="0"/>
        <w:numId w:val="5"/>
      </w:numPr>
      <w:jc w:val="both"/>
    </w:pPr>
    <w:rPr>
      <w:rFonts w:ascii="宋体" w:hAnsi="Times New Roman" w:eastAsia="宋体" w:cs="Times New Roman"/>
      <w:sz w:val="21"/>
      <w:lang w:val="en-US" w:eastAsia="zh-CN" w:bidi="ar-SA"/>
    </w:rPr>
  </w:style>
  <w:style w:type="paragraph" w:customStyle="1" w:styleId="64">
    <w:name w:val="列项◆（三级）"/>
    <w:basedOn w:val="1"/>
    <w:qFormat/>
    <w:uiPriority w:val="0"/>
    <w:pPr>
      <w:numPr>
        <w:ilvl w:val="2"/>
        <w:numId w:val="4"/>
      </w:numPr>
    </w:pPr>
    <w:rPr>
      <w:rFonts w:ascii="宋体"/>
      <w:szCs w:val="21"/>
    </w:rPr>
  </w:style>
  <w:style w:type="paragraph" w:customStyle="1" w:styleId="65">
    <w:name w:val="编号列项（三级）"/>
    <w:qFormat/>
    <w:uiPriority w:val="0"/>
    <w:pPr>
      <w:numPr>
        <w:ilvl w:val="2"/>
        <w:numId w:val="5"/>
      </w:numPr>
    </w:pPr>
    <w:rPr>
      <w:rFonts w:ascii="宋体" w:hAnsi="Times New Roman" w:eastAsia="宋体" w:cs="Times New Roman"/>
      <w:sz w:val="21"/>
      <w:lang w:val="en-US" w:eastAsia="zh-CN" w:bidi="ar-SA"/>
    </w:rPr>
  </w:style>
  <w:style w:type="paragraph" w:customStyle="1" w:styleId="66">
    <w:name w:val="示例×："/>
    <w:basedOn w:val="49"/>
    <w:qFormat/>
    <w:uiPriority w:val="0"/>
    <w:pPr>
      <w:numPr>
        <w:numId w:val="0"/>
      </w:numPr>
      <w:spacing w:beforeLines="0" w:afterLines="0"/>
      <w:ind w:firstLine="363"/>
      <w:outlineLvl w:val="9"/>
    </w:pPr>
    <w:rPr>
      <w:rFonts w:ascii="宋体" w:eastAsia="宋体"/>
      <w:sz w:val="18"/>
      <w:szCs w:val="18"/>
    </w:rPr>
  </w:style>
  <w:style w:type="paragraph" w:customStyle="1" w:styleId="67">
    <w:name w:val="二级无"/>
    <w:basedOn w:val="50"/>
    <w:qFormat/>
    <w:uiPriority w:val="0"/>
    <w:pPr>
      <w:spacing w:beforeLines="0" w:afterLines="0"/>
    </w:pPr>
    <w:rPr>
      <w:rFonts w:ascii="宋体" w:eastAsia="宋体"/>
    </w:rPr>
  </w:style>
  <w:style w:type="paragraph" w:customStyle="1" w:styleId="68">
    <w:name w:val="注：（正文）"/>
    <w:basedOn w:val="61"/>
    <w:next w:val="24"/>
    <w:qFormat/>
    <w:uiPriority w:val="0"/>
  </w:style>
  <w:style w:type="paragraph" w:customStyle="1" w:styleId="69">
    <w:name w:val="注×：（正文）"/>
    <w:qFormat/>
    <w:uiPriority w:val="0"/>
    <w:pPr>
      <w:numPr>
        <w:ilvl w:val="0"/>
        <w:numId w:val="7"/>
      </w:numPr>
      <w:jc w:val="both"/>
    </w:pPr>
    <w:rPr>
      <w:rFonts w:ascii="宋体" w:hAnsi="Times New Roman" w:eastAsia="宋体" w:cs="Times New Roman"/>
      <w:sz w:val="18"/>
      <w:szCs w:val="18"/>
      <w:lang w:val="en-US" w:eastAsia="zh-CN" w:bidi="ar-SA"/>
    </w:rPr>
  </w:style>
  <w:style w:type="paragraph" w:customStyle="1" w:styleId="70">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71">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72">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73">
    <w:name w:val="标准书眉_偶数页"/>
    <w:basedOn w:val="48"/>
    <w:next w:val="1"/>
    <w:qFormat/>
    <w:uiPriority w:val="0"/>
    <w:pPr>
      <w:jc w:val="left"/>
    </w:pPr>
  </w:style>
  <w:style w:type="paragraph" w:customStyle="1" w:styleId="74">
    <w:name w:val="标准书眉一"/>
    <w:qFormat/>
    <w:uiPriority w:val="0"/>
    <w:pPr>
      <w:jc w:val="both"/>
    </w:pPr>
    <w:rPr>
      <w:rFonts w:ascii="Times New Roman" w:hAnsi="Times New Roman" w:eastAsia="宋体" w:cs="Times New Roman"/>
      <w:lang w:val="en-US" w:eastAsia="zh-CN" w:bidi="ar-SA"/>
    </w:rPr>
  </w:style>
  <w:style w:type="paragraph" w:customStyle="1" w:styleId="75">
    <w:name w:val="参考文献"/>
    <w:basedOn w:val="1"/>
    <w:next w:val="24"/>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76">
    <w:name w:val="参考文献、索引标题"/>
    <w:basedOn w:val="1"/>
    <w:next w:val="24"/>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77">
    <w:name w:val="发布"/>
    <w:qFormat/>
    <w:uiPriority w:val="0"/>
    <w:rPr>
      <w:rFonts w:ascii="黑体" w:eastAsia="黑体"/>
      <w:spacing w:val="85"/>
      <w:w w:val="100"/>
      <w:position w:val="3"/>
      <w:sz w:val="28"/>
      <w:szCs w:val="28"/>
    </w:rPr>
  </w:style>
  <w:style w:type="paragraph" w:customStyle="1" w:styleId="78">
    <w:name w:val="发布部门"/>
    <w:next w:val="24"/>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79">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80">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8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2">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3">
    <w:name w:val="封面标准英文名称"/>
    <w:basedOn w:val="82"/>
    <w:qFormat/>
    <w:uiPriority w:val="0"/>
    <w:pPr>
      <w:framePr w:wrap="around"/>
      <w:spacing w:before="370" w:line="400" w:lineRule="exact"/>
    </w:pPr>
    <w:rPr>
      <w:rFonts w:ascii="Times New Roman"/>
      <w:sz w:val="28"/>
      <w:szCs w:val="28"/>
    </w:rPr>
  </w:style>
  <w:style w:type="paragraph" w:customStyle="1" w:styleId="84">
    <w:name w:val="封面一致性程度标识"/>
    <w:basedOn w:val="83"/>
    <w:qFormat/>
    <w:uiPriority w:val="0"/>
    <w:pPr>
      <w:framePr w:wrap="around"/>
      <w:spacing w:before="440"/>
    </w:pPr>
    <w:rPr>
      <w:rFonts w:ascii="宋体" w:eastAsia="宋体"/>
    </w:rPr>
  </w:style>
  <w:style w:type="paragraph" w:customStyle="1" w:styleId="85">
    <w:name w:val="封面标准文稿类别"/>
    <w:basedOn w:val="84"/>
    <w:qFormat/>
    <w:uiPriority w:val="0"/>
    <w:pPr>
      <w:framePr w:wrap="around"/>
      <w:spacing w:after="160" w:line="240" w:lineRule="auto"/>
    </w:pPr>
    <w:rPr>
      <w:sz w:val="24"/>
    </w:rPr>
  </w:style>
  <w:style w:type="paragraph" w:customStyle="1" w:styleId="86">
    <w:name w:val="封面标准文稿编辑信息"/>
    <w:basedOn w:val="85"/>
    <w:qFormat/>
    <w:uiPriority w:val="0"/>
    <w:pPr>
      <w:framePr w:wrap="around"/>
      <w:spacing w:before="180" w:line="180" w:lineRule="exact"/>
    </w:pPr>
    <w:rPr>
      <w:sz w:val="21"/>
    </w:rPr>
  </w:style>
  <w:style w:type="paragraph" w:customStyle="1" w:styleId="87">
    <w:name w:val="封面正文"/>
    <w:qFormat/>
    <w:uiPriority w:val="0"/>
    <w:pPr>
      <w:jc w:val="both"/>
    </w:pPr>
    <w:rPr>
      <w:rFonts w:ascii="Times New Roman" w:hAnsi="Times New Roman" w:eastAsia="宋体" w:cs="Times New Roman"/>
      <w:lang w:val="en-US" w:eastAsia="zh-CN" w:bidi="ar-SA"/>
    </w:rPr>
  </w:style>
  <w:style w:type="paragraph" w:customStyle="1" w:styleId="88">
    <w:name w:val="附录标识"/>
    <w:basedOn w:val="1"/>
    <w:next w:val="24"/>
    <w:qFormat/>
    <w:uiPriority w:val="0"/>
    <w:pPr>
      <w:keepNext/>
      <w:widowControl/>
      <w:numPr>
        <w:ilvl w:val="0"/>
        <w:numId w:val="8"/>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89">
    <w:name w:val="附录标题"/>
    <w:basedOn w:val="24"/>
    <w:next w:val="24"/>
    <w:qFormat/>
    <w:uiPriority w:val="0"/>
    <w:pPr>
      <w:ind w:firstLine="0" w:firstLineChars="0"/>
      <w:jc w:val="center"/>
    </w:pPr>
    <w:rPr>
      <w:rFonts w:ascii="黑体" w:eastAsia="黑体"/>
    </w:rPr>
  </w:style>
  <w:style w:type="paragraph" w:customStyle="1" w:styleId="90">
    <w:name w:val="附录表标号"/>
    <w:basedOn w:val="1"/>
    <w:next w:val="24"/>
    <w:qFormat/>
    <w:uiPriority w:val="0"/>
    <w:pPr>
      <w:numPr>
        <w:ilvl w:val="0"/>
        <w:numId w:val="9"/>
      </w:numPr>
      <w:tabs>
        <w:tab w:val="clear" w:pos="0"/>
      </w:tabs>
      <w:spacing w:line="14" w:lineRule="exact"/>
      <w:ind w:left="811" w:hanging="448"/>
      <w:jc w:val="center"/>
      <w:outlineLvl w:val="0"/>
    </w:pPr>
    <w:rPr>
      <w:color w:val="FFFFFF"/>
    </w:rPr>
  </w:style>
  <w:style w:type="paragraph" w:customStyle="1" w:styleId="91">
    <w:name w:val="附录表标题"/>
    <w:basedOn w:val="1"/>
    <w:next w:val="24"/>
    <w:qFormat/>
    <w:uiPriority w:val="0"/>
    <w:pPr>
      <w:numPr>
        <w:ilvl w:val="1"/>
        <w:numId w:val="9"/>
      </w:numPr>
      <w:tabs>
        <w:tab w:val="left" w:pos="180"/>
      </w:tabs>
      <w:spacing w:beforeLines="50" w:afterLines="50"/>
      <w:ind w:left="0" w:firstLine="0"/>
      <w:jc w:val="center"/>
    </w:pPr>
    <w:rPr>
      <w:rFonts w:ascii="黑体" w:eastAsia="黑体"/>
      <w:szCs w:val="21"/>
    </w:rPr>
  </w:style>
  <w:style w:type="paragraph" w:customStyle="1" w:styleId="92">
    <w:name w:val="附录二级条标题"/>
    <w:basedOn w:val="1"/>
    <w:next w:val="24"/>
    <w:qFormat/>
    <w:uiPriority w:val="0"/>
    <w:pPr>
      <w:widowControl/>
      <w:numPr>
        <w:ilvl w:val="3"/>
        <w:numId w:val="8"/>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93">
    <w:name w:val="附录二级无"/>
    <w:basedOn w:val="92"/>
    <w:qFormat/>
    <w:uiPriority w:val="0"/>
    <w:pPr>
      <w:tabs>
        <w:tab w:val="clear" w:pos="360"/>
      </w:tabs>
      <w:spacing w:beforeLines="0" w:afterLines="0"/>
    </w:pPr>
    <w:rPr>
      <w:rFonts w:ascii="宋体" w:eastAsia="宋体"/>
      <w:szCs w:val="21"/>
    </w:rPr>
  </w:style>
  <w:style w:type="paragraph" w:customStyle="1" w:styleId="94">
    <w:name w:val="附录公式"/>
    <w:basedOn w:val="24"/>
    <w:next w:val="24"/>
    <w:link w:val="95"/>
    <w:qFormat/>
    <w:uiPriority w:val="0"/>
  </w:style>
  <w:style w:type="character" w:customStyle="1" w:styleId="95">
    <w:name w:val="附录公式 Char"/>
    <w:basedOn w:val="45"/>
    <w:link w:val="94"/>
    <w:qFormat/>
    <w:uiPriority w:val="0"/>
    <w:rPr>
      <w:rFonts w:ascii="宋体"/>
      <w:sz w:val="21"/>
      <w:lang w:val="en-US" w:eastAsia="zh-CN" w:bidi="ar-SA"/>
    </w:rPr>
  </w:style>
  <w:style w:type="paragraph" w:customStyle="1" w:styleId="96">
    <w:name w:val="附录公式编号制表符"/>
    <w:basedOn w:val="1"/>
    <w:next w:val="24"/>
    <w:qFormat/>
    <w:uiPriority w:val="0"/>
    <w:pPr>
      <w:widowControl/>
      <w:tabs>
        <w:tab w:val="center" w:pos="4201"/>
        <w:tab w:val="right" w:leader="dot" w:pos="9298"/>
      </w:tabs>
      <w:autoSpaceDE w:val="0"/>
      <w:autoSpaceDN w:val="0"/>
    </w:pPr>
    <w:rPr>
      <w:rFonts w:ascii="宋体"/>
      <w:kern w:val="0"/>
      <w:szCs w:val="20"/>
    </w:rPr>
  </w:style>
  <w:style w:type="paragraph" w:customStyle="1" w:styleId="97">
    <w:name w:val="附录三级条标题"/>
    <w:basedOn w:val="92"/>
    <w:next w:val="24"/>
    <w:qFormat/>
    <w:uiPriority w:val="0"/>
    <w:pPr>
      <w:numPr>
        <w:ilvl w:val="4"/>
      </w:numPr>
      <w:outlineLvl w:val="4"/>
    </w:pPr>
  </w:style>
  <w:style w:type="paragraph" w:customStyle="1" w:styleId="98">
    <w:name w:val="附录三级无"/>
    <w:basedOn w:val="97"/>
    <w:qFormat/>
    <w:uiPriority w:val="0"/>
    <w:pPr>
      <w:tabs>
        <w:tab w:val="clear" w:pos="360"/>
      </w:tabs>
      <w:spacing w:beforeLines="0" w:afterLines="0"/>
    </w:pPr>
    <w:rPr>
      <w:rFonts w:ascii="宋体" w:eastAsia="宋体"/>
      <w:szCs w:val="21"/>
    </w:rPr>
  </w:style>
  <w:style w:type="paragraph" w:customStyle="1" w:styleId="99">
    <w:name w:val="附录数字编号列项（二级）"/>
    <w:qFormat/>
    <w:uiPriority w:val="0"/>
    <w:pPr>
      <w:numPr>
        <w:ilvl w:val="1"/>
        <w:numId w:val="10"/>
      </w:numPr>
    </w:pPr>
    <w:rPr>
      <w:rFonts w:ascii="宋体" w:hAnsi="Times New Roman" w:eastAsia="宋体" w:cs="Times New Roman"/>
      <w:sz w:val="21"/>
      <w:lang w:val="en-US" w:eastAsia="zh-CN" w:bidi="ar-SA"/>
    </w:rPr>
  </w:style>
  <w:style w:type="paragraph" w:customStyle="1" w:styleId="100">
    <w:name w:val="附录四级条标题"/>
    <w:basedOn w:val="97"/>
    <w:next w:val="24"/>
    <w:qFormat/>
    <w:uiPriority w:val="0"/>
    <w:pPr>
      <w:numPr>
        <w:ilvl w:val="5"/>
      </w:numPr>
      <w:outlineLvl w:val="5"/>
    </w:pPr>
  </w:style>
  <w:style w:type="paragraph" w:customStyle="1" w:styleId="101">
    <w:name w:val="附录四级无"/>
    <w:basedOn w:val="100"/>
    <w:qFormat/>
    <w:uiPriority w:val="0"/>
    <w:pPr>
      <w:tabs>
        <w:tab w:val="clear" w:pos="360"/>
      </w:tabs>
      <w:spacing w:beforeLines="0" w:afterLines="0"/>
    </w:pPr>
    <w:rPr>
      <w:rFonts w:ascii="宋体" w:eastAsia="宋体"/>
      <w:szCs w:val="21"/>
    </w:rPr>
  </w:style>
  <w:style w:type="paragraph" w:customStyle="1" w:styleId="102">
    <w:name w:val="附录图标号"/>
    <w:basedOn w:val="1"/>
    <w:qFormat/>
    <w:uiPriority w:val="0"/>
    <w:pPr>
      <w:keepNext/>
      <w:pageBreakBefore/>
      <w:widowControl/>
      <w:numPr>
        <w:ilvl w:val="0"/>
        <w:numId w:val="11"/>
      </w:numPr>
      <w:spacing w:line="14" w:lineRule="exact"/>
      <w:ind w:left="0" w:firstLine="363"/>
      <w:jc w:val="center"/>
      <w:outlineLvl w:val="0"/>
    </w:pPr>
    <w:rPr>
      <w:color w:val="FFFFFF"/>
    </w:rPr>
  </w:style>
  <w:style w:type="paragraph" w:customStyle="1" w:styleId="103">
    <w:name w:val="附录图标题"/>
    <w:basedOn w:val="1"/>
    <w:next w:val="24"/>
    <w:qFormat/>
    <w:uiPriority w:val="0"/>
    <w:pPr>
      <w:numPr>
        <w:ilvl w:val="1"/>
        <w:numId w:val="11"/>
      </w:numPr>
      <w:tabs>
        <w:tab w:val="left" w:pos="363"/>
      </w:tabs>
      <w:spacing w:beforeLines="50" w:afterLines="50"/>
      <w:ind w:left="0" w:firstLine="0"/>
      <w:jc w:val="center"/>
    </w:pPr>
    <w:rPr>
      <w:rFonts w:ascii="黑体" w:eastAsia="黑体"/>
      <w:szCs w:val="21"/>
    </w:rPr>
  </w:style>
  <w:style w:type="paragraph" w:customStyle="1" w:styleId="104">
    <w:name w:val="附录五级条标题"/>
    <w:basedOn w:val="100"/>
    <w:next w:val="24"/>
    <w:qFormat/>
    <w:uiPriority w:val="0"/>
    <w:pPr>
      <w:numPr>
        <w:ilvl w:val="6"/>
      </w:numPr>
      <w:outlineLvl w:val="6"/>
    </w:pPr>
  </w:style>
  <w:style w:type="paragraph" w:customStyle="1" w:styleId="105">
    <w:name w:val="附录五级无"/>
    <w:basedOn w:val="104"/>
    <w:qFormat/>
    <w:uiPriority w:val="0"/>
    <w:pPr>
      <w:tabs>
        <w:tab w:val="clear" w:pos="360"/>
      </w:tabs>
      <w:spacing w:beforeLines="0" w:afterLines="0"/>
    </w:pPr>
    <w:rPr>
      <w:rFonts w:ascii="宋体" w:eastAsia="宋体"/>
      <w:szCs w:val="21"/>
    </w:rPr>
  </w:style>
  <w:style w:type="paragraph" w:customStyle="1" w:styleId="106">
    <w:name w:val="附录章标题"/>
    <w:next w:val="24"/>
    <w:qFormat/>
    <w:uiPriority w:val="0"/>
    <w:pPr>
      <w:numPr>
        <w:ilvl w:val="1"/>
        <w:numId w:val="8"/>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07">
    <w:name w:val="附录一级条标题"/>
    <w:basedOn w:val="106"/>
    <w:next w:val="24"/>
    <w:qFormat/>
    <w:uiPriority w:val="0"/>
    <w:pPr>
      <w:numPr>
        <w:ilvl w:val="2"/>
      </w:numPr>
      <w:autoSpaceDN w:val="0"/>
      <w:spacing w:beforeLines="50" w:afterLines="50"/>
      <w:outlineLvl w:val="2"/>
    </w:pPr>
  </w:style>
  <w:style w:type="paragraph" w:customStyle="1" w:styleId="108">
    <w:name w:val="附录一级无"/>
    <w:basedOn w:val="107"/>
    <w:qFormat/>
    <w:uiPriority w:val="0"/>
    <w:pPr>
      <w:tabs>
        <w:tab w:val="clear" w:pos="360"/>
      </w:tabs>
      <w:spacing w:beforeLines="0" w:afterLines="0"/>
    </w:pPr>
    <w:rPr>
      <w:rFonts w:ascii="宋体" w:eastAsia="宋体"/>
      <w:szCs w:val="21"/>
    </w:rPr>
  </w:style>
  <w:style w:type="paragraph" w:customStyle="1" w:styleId="109">
    <w:name w:val="附录字母编号列项（一级）"/>
    <w:qFormat/>
    <w:uiPriority w:val="0"/>
    <w:pPr>
      <w:numPr>
        <w:ilvl w:val="0"/>
        <w:numId w:val="10"/>
      </w:numPr>
    </w:pPr>
    <w:rPr>
      <w:rFonts w:ascii="宋体" w:hAnsi="Times New Roman" w:eastAsia="宋体" w:cs="Times New Roman"/>
      <w:sz w:val="21"/>
      <w:lang w:val="en-US" w:eastAsia="zh-CN" w:bidi="ar-SA"/>
    </w:rPr>
  </w:style>
  <w:style w:type="paragraph" w:customStyle="1" w:styleId="110">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11">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12">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13">
    <w:name w:val="其他标准标志"/>
    <w:basedOn w:val="70"/>
    <w:qFormat/>
    <w:uiPriority w:val="0"/>
    <w:pPr>
      <w:framePr w:w="6101" w:wrap="around" w:vAnchor="page" w:hAnchor="page" w:x="4673" w:y="942"/>
    </w:pPr>
    <w:rPr>
      <w:w w:val="130"/>
    </w:rPr>
  </w:style>
  <w:style w:type="paragraph" w:customStyle="1" w:styleId="114">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15">
    <w:name w:val="其他发布部门"/>
    <w:basedOn w:val="78"/>
    <w:qFormat/>
    <w:uiPriority w:val="0"/>
    <w:pPr>
      <w:framePr w:wrap="around" w:y="15310"/>
      <w:spacing w:line="0" w:lineRule="atLeast"/>
    </w:pPr>
    <w:rPr>
      <w:rFonts w:ascii="黑体" w:eastAsia="黑体"/>
      <w:b w:val="0"/>
    </w:rPr>
  </w:style>
  <w:style w:type="paragraph" w:customStyle="1" w:styleId="116">
    <w:name w:val="前言、引言标题"/>
    <w:next w:val="24"/>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17">
    <w:name w:val="三级无"/>
    <w:basedOn w:val="55"/>
    <w:qFormat/>
    <w:uiPriority w:val="0"/>
    <w:pPr>
      <w:spacing w:beforeLines="0" w:afterLines="0"/>
    </w:pPr>
    <w:rPr>
      <w:rFonts w:ascii="宋体" w:eastAsia="宋体"/>
    </w:rPr>
  </w:style>
  <w:style w:type="paragraph" w:customStyle="1" w:styleId="118">
    <w:name w:val="实施日期"/>
    <w:basedOn w:val="79"/>
    <w:qFormat/>
    <w:uiPriority w:val="0"/>
    <w:pPr>
      <w:framePr w:wrap="around" w:vAnchor="page" w:hAnchor="text"/>
      <w:jc w:val="right"/>
    </w:pPr>
  </w:style>
  <w:style w:type="paragraph" w:customStyle="1" w:styleId="119">
    <w:name w:val="示例后文字"/>
    <w:basedOn w:val="24"/>
    <w:next w:val="24"/>
    <w:qFormat/>
    <w:uiPriority w:val="0"/>
    <w:pPr>
      <w:ind w:firstLine="360"/>
    </w:pPr>
    <w:rPr>
      <w:sz w:val="18"/>
    </w:rPr>
  </w:style>
  <w:style w:type="paragraph" w:customStyle="1" w:styleId="120">
    <w:name w:val="首示例"/>
    <w:next w:val="24"/>
    <w:link w:val="121"/>
    <w:qFormat/>
    <w:uiPriority w:val="0"/>
    <w:pPr>
      <w:tabs>
        <w:tab w:val="left" w:pos="360"/>
      </w:tabs>
    </w:pPr>
    <w:rPr>
      <w:rFonts w:ascii="宋体" w:hAnsi="宋体" w:eastAsia="宋体" w:cs="Times New Roman"/>
      <w:kern w:val="2"/>
      <w:sz w:val="18"/>
      <w:szCs w:val="18"/>
      <w:lang w:val="en-US" w:eastAsia="zh-CN" w:bidi="ar-SA"/>
    </w:rPr>
  </w:style>
  <w:style w:type="character" w:customStyle="1" w:styleId="121">
    <w:name w:val="首示例 Char"/>
    <w:link w:val="120"/>
    <w:qFormat/>
    <w:uiPriority w:val="0"/>
    <w:rPr>
      <w:rFonts w:ascii="宋体" w:hAnsi="宋体"/>
      <w:kern w:val="2"/>
      <w:sz w:val="18"/>
      <w:szCs w:val="18"/>
    </w:rPr>
  </w:style>
  <w:style w:type="paragraph" w:customStyle="1" w:styleId="122">
    <w:name w:val="四级无"/>
    <w:basedOn w:val="59"/>
    <w:qFormat/>
    <w:uiPriority w:val="0"/>
    <w:pPr>
      <w:spacing w:beforeLines="0" w:afterLines="0"/>
    </w:pPr>
    <w:rPr>
      <w:rFonts w:ascii="宋体" w:eastAsia="宋体"/>
    </w:rPr>
  </w:style>
  <w:style w:type="paragraph" w:customStyle="1" w:styleId="123">
    <w:name w:val="条文脚注"/>
    <w:basedOn w:val="25"/>
    <w:qFormat/>
    <w:uiPriority w:val="0"/>
    <w:pPr>
      <w:numPr>
        <w:numId w:val="0"/>
      </w:numPr>
      <w:jc w:val="both"/>
    </w:pPr>
  </w:style>
  <w:style w:type="paragraph" w:customStyle="1" w:styleId="124">
    <w:name w:val="图标脚注说明"/>
    <w:basedOn w:val="24"/>
    <w:qFormat/>
    <w:uiPriority w:val="0"/>
    <w:pPr>
      <w:ind w:left="840" w:hanging="420" w:firstLineChars="0"/>
    </w:pPr>
    <w:rPr>
      <w:sz w:val="18"/>
      <w:szCs w:val="18"/>
    </w:rPr>
  </w:style>
  <w:style w:type="paragraph" w:customStyle="1" w:styleId="125">
    <w:name w:val="图表脚注说明"/>
    <w:basedOn w:val="1"/>
    <w:qFormat/>
    <w:uiPriority w:val="0"/>
    <w:pPr>
      <w:ind w:left="544" w:hanging="181"/>
    </w:pPr>
    <w:rPr>
      <w:rFonts w:ascii="宋体"/>
      <w:sz w:val="18"/>
      <w:szCs w:val="18"/>
    </w:rPr>
  </w:style>
  <w:style w:type="paragraph" w:customStyle="1" w:styleId="126">
    <w:name w:val="图的脚注"/>
    <w:next w:val="24"/>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27">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28">
    <w:name w:val="五级无"/>
    <w:basedOn w:val="60"/>
    <w:qFormat/>
    <w:uiPriority w:val="0"/>
    <w:pPr>
      <w:spacing w:beforeLines="0" w:afterLines="0"/>
    </w:pPr>
    <w:rPr>
      <w:rFonts w:ascii="宋体" w:eastAsia="宋体"/>
    </w:rPr>
  </w:style>
  <w:style w:type="paragraph" w:customStyle="1" w:styleId="129">
    <w:name w:val="一级无"/>
    <w:basedOn w:val="46"/>
    <w:qFormat/>
    <w:uiPriority w:val="0"/>
    <w:pPr>
      <w:spacing w:beforeLines="0" w:afterLines="0"/>
    </w:pPr>
    <w:rPr>
      <w:rFonts w:ascii="宋体" w:eastAsia="宋体"/>
    </w:rPr>
  </w:style>
  <w:style w:type="paragraph" w:customStyle="1" w:styleId="130">
    <w:name w:val="正文表标题"/>
    <w:next w:val="24"/>
    <w:qFormat/>
    <w:uiPriority w:val="0"/>
    <w:p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1">
    <w:name w:val="正文公式编号制表符"/>
    <w:basedOn w:val="24"/>
    <w:next w:val="24"/>
    <w:qFormat/>
    <w:uiPriority w:val="0"/>
    <w:pPr>
      <w:ind w:firstLine="0" w:firstLineChars="0"/>
    </w:pPr>
  </w:style>
  <w:style w:type="paragraph" w:customStyle="1" w:styleId="132">
    <w:name w:val="正文图标题"/>
    <w:next w:val="24"/>
    <w:qFormat/>
    <w:uiPriority w:val="0"/>
    <w:p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3">
    <w:name w:val="终结线"/>
    <w:basedOn w:val="1"/>
    <w:qFormat/>
    <w:uiPriority w:val="0"/>
    <w:pPr>
      <w:framePr w:hSpace="181" w:vSpace="181" w:wrap="around" w:vAnchor="text" w:hAnchor="margin" w:xAlign="center" w:y="285"/>
    </w:pPr>
  </w:style>
  <w:style w:type="paragraph" w:customStyle="1" w:styleId="134">
    <w:name w:val="其他发布日期"/>
    <w:basedOn w:val="79"/>
    <w:qFormat/>
    <w:uiPriority w:val="0"/>
    <w:pPr>
      <w:framePr w:wrap="around" w:vAnchor="page" w:hAnchor="text" w:x="1419"/>
    </w:pPr>
  </w:style>
  <w:style w:type="paragraph" w:customStyle="1" w:styleId="135">
    <w:name w:val="其他实施日期"/>
    <w:basedOn w:val="118"/>
    <w:qFormat/>
    <w:uiPriority w:val="0"/>
    <w:pPr>
      <w:framePr w:wrap="around"/>
    </w:pPr>
  </w:style>
  <w:style w:type="paragraph" w:customStyle="1" w:styleId="136">
    <w:name w:val="封面标准名称2"/>
    <w:basedOn w:val="82"/>
    <w:qFormat/>
    <w:uiPriority w:val="0"/>
    <w:pPr>
      <w:framePr w:wrap="around" w:y="4469"/>
      <w:spacing w:beforeLines="630"/>
    </w:pPr>
  </w:style>
  <w:style w:type="paragraph" w:customStyle="1" w:styleId="137">
    <w:name w:val="封面标准英文名称2"/>
    <w:basedOn w:val="83"/>
    <w:qFormat/>
    <w:uiPriority w:val="0"/>
    <w:pPr>
      <w:framePr w:wrap="around" w:y="4469"/>
    </w:pPr>
  </w:style>
  <w:style w:type="paragraph" w:customStyle="1" w:styleId="138">
    <w:name w:val="封面一致性程度标识2"/>
    <w:basedOn w:val="84"/>
    <w:qFormat/>
    <w:uiPriority w:val="0"/>
    <w:pPr>
      <w:framePr w:wrap="around" w:y="4469"/>
    </w:pPr>
  </w:style>
  <w:style w:type="paragraph" w:customStyle="1" w:styleId="139">
    <w:name w:val="封面标准文稿类别2"/>
    <w:basedOn w:val="85"/>
    <w:qFormat/>
    <w:uiPriority w:val="0"/>
    <w:pPr>
      <w:framePr w:wrap="around" w:y="4469"/>
    </w:pPr>
  </w:style>
  <w:style w:type="paragraph" w:customStyle="1" w:styleId="140">
    <w:name w:val="封面标准文稿编辑信息2"/>
    <w:basedOn w:val="86"/>
    <w:qFormat/>
    <w:uiPriority w:val="0"/>
    <w:pPr>
      <w:framePr w:wrap="around" w:y="4469"/>
    </w:pPr>
  </w:style>
  <w:style w:type="character" w:customStyle="1" w:styleId="141">
    <w:name w:val="apple-style-span"/>
    <w:basedOn w:val="36"/>
    <w:qFormat/>
    <w:uiPriority w:val="0"/>
  </w:style>
  <w:style w:type="character" w:customStyle="1" w:styleId="142">
    <w:name w:val="footnote_number"/>
    <w:basedOn w:val="36"/>
    <w:qFormat/>
    <w:uiPriority w:val="0"/>
  </w:style>
  <w:style w:type="character" w:customStyle="1" w:styleId="143">
    <w:name w:val="日期 字符"/>
    <w:link w:val="15"/>
    <w:qFormat/>
    <w:uiPriority w:val="0"/>
    <w:rPr>
      <w:kern w:val="2"/>
      <w:sz w:val="21"/>
      <w:szCs w:val="24"/>
    </w:rPr>
  </w:style>
  <w:style w:type="character" w:customStyle="1" w:styleId="144">
    <w:name w:val="一级条标题 Char"/>
    <w:link w:val="46"/>
    <w:qFormat/>
    <w:uiPriority w:val="0"/>
    <w:rPr>
      <w:rFonts w:ascii="黑体" w:eastAsia="黑体"/>
      <w:sz w:val="21"/>
      <w:szCs w:val="21"/>
    </w:rPr>
  </w:style>
  <w:style w:type="character" w:customStyle="1" w:styleId="145">
    <w:name w:val="二级条标题 Char"/>
    <w:basedOn w:val="144"/>
    <w:link w:val="50"/>
    <w:qFormat/>
    <w:uiPriority w:val="0"/>
    <w:rPr>
      <w:rFonts w:ascii="黑体" w:eastAsia="黑体"/>
      <w:sz w:val="21"/>
      <w:szCs w:val="21"/>
    </w:rPr>
  </w:style>
  <w:style w:type="character" w:customStyle="1" w:styleId="146">
    <w:name w:val="批注文字 字符"/>
    <w:link w:val="7"/>
    <w:qFormat/>
    <w:uiPriority w:val="0"/>
    <w:rPr>
      <w:kern w:val="2"/>
      <w:sz w:val="21"/>
      <w:szCs w:val="24"/>
    </w:rPr>
  </w:style>
  <w:style w:type="character" w:customStyle="1" w:styleId="147">
    <w:name w:val="批注主题 字符"/>
    <w:link w:val="33"/>
    <w:qFormat/>
    <w:uiPriority w:val="0"/>
    <w:rPr>
      <w:b/>
      <w:bCs/>
      <w:kern w:val="2"/>
      <w:sz w:val="21"/>
      <w:szCs w:val="24"/>
    </w:rPr>
  </w:style>
  <w:style w:type="character" w:customStyle="1" w:styleId="148">
    <w:name w:val="页眉 字符"/>
    <w:link w:val="19"/>
    <w:qFormat/>
    <w:uiPriority w:val="0"/>
    <w:rPr>
      <w:kern w:val="2"/>
      <w:sz w:val="18"/>
      <w:szCs w:val="18"/>
    </w:rPr>
  </w:style>
  <w:style w:type="paragraph" w:customStyle="1" w:styleId="14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150">
    <w:name w:val="high-light-bg"/>
    <w:basedOn w:val="36"/>
    <w:qFormat/>
    <w:uiPriority w:val="0"/>
  </w:style>
  <w:style w:type="character" w:customStyle="1" w:styleId="151">
    <w:name w:val="纯文本 字符"/>
    <w:basedOn w:val="36"/>
    <w:link w:val="12"/>
    <w:qFormat/>
    <w:uiPriority w:val="0"/>
    <w:rPr>
      <w:rFonts w:ascii="宋体" w:hAnsi="Courier New"/>
      <w:kern w:val="2"/>
      <w:sz w:val="21"/>
    </w:rPr>
  </w:style>
  <w:style w:type="paragraph" w:customStyle="1" w:styleId="152">
    <w:name w:val="图表脚注"/>
    <w:next w:val="24"/>
    <w:qFormat/>
    <w:uiPriority w:val="0"/>
    <w:pPr>
      <w:ind w:left="300" w:leftChars="200" w:hanging="100" w:hangingChars="100"/>
      <w:jc w:val="both"/>
    </w:pPr>
    <w:rPr>
      <w:rFonts w:ascii="宋体" w:hAnsi="Times New Roman" w:eastAsia="宋体" w:cs="Times New Roman"/>
      <w:sz w:val="18"/>
      <w:lang w:val="en-US" w:eastAsia="zh-CN" w:bidi="ar-SA"/>
    </w:rPr>
  </w:style>
  <w:style w:type="paragraph" w:styleId="153">
    <w:name w:val="List Paragraph"/>
    <w:basedOn w:val="1"/>
    <w:qFormat/>
    <w:uiPriority w:val="34"/>
    <w:pPr>
      <w:ind w:firstLine="420" w:firstLineChars="200"/>
    </w:pPr>
  </w:style>
  <w:style w:type="paragraph" w:customStyle="1" w:styleId="154">
    <w:name w:val="列项——"/>
    <w:qFormat/>
    <w:uiPriority w:val="0"/>
    <w:pPr>
      <w:widowControl w:val="0"/>
      <w:numPr>
        <w:ilvl w:val="0"/>
        <w:numId w:val="12"/>
      </w:numPr>
      <w:jc w:val="both"/>
    </w:pPr>
    <w:rPr>
      <w:rFonts w:ascii="宋体" w:hAnsi="Times New Roman" w:eastAsia="宋体" w:cs="Times New Roman"/>
      <w:sz w:val="21"/>
      <w:lang w:val="en-US" w:eastAsia="zh-CN" w:bidi="ar-SA"/>
    </w:rPr>
  </w:style>
  <w:style w:type="paragraph" w:customStyle="1" w:styleId="155">
    <w:name w:val="样式 章标题 + 段前: 0.5 行 段后: 0.5 行"/>
    <w:basedOn w:val="49"/>
    <w:qFormat/>
    <w:uiPriority w:val="0"/>
    <w:pPr>
      <w:numPr>
        <w:ilvl w:val="1"/>
        <w:numId w:val="0"/>
      </w:numPr>
      <w:spacing w:beforeLines="50" w:afterLines="50"/>
    </w:pPr>
    <w:rPr>
      <w:rFonts w:cs="宋体"/>
    </w:rPr>
  </w:style>
  <w:style w:type="character" w:customStyle="1" w:styleId="156">
    <w:name w:val="fontstyle01"/>
    <w:basedOn w:val="36"/>
    <w:qFormat/>
    <w:uiPriority w:val="0"/>
    <w:rPr>
      <w:rFonts w:hint="eastAsia" w:ascii="宋体" w:hAnsi="宋体" w:eastAsia="宋体"/>
      <w:color w:val="000000"/>
      <w:sz w:val="22"/>
      <w:szCs w:val="22"/>
    </w:rPr>
  </w:style>
  <w:style w:type="character" w:styleId="157">
    <w:name w:val="Placeholder Text"/>
    <w:basedOn w:val="36"/>
    <w:semiHidden/>
    <w:qFormat/>
    <w:uiPriority w:val="99"/>
    <w:rPr>
      <w:color w:val="808080"/>
    </w:rPr>
  </w:style>
  <w:style w:type="character" w:customStyle="1" w:styleId="158">
    <w:name w:val="一级条标题 Char Char"/>
    <w:qFormat/>
    <w:locked/>
    <w:uiPriority w:val="0"/>
    <w:rPr>
      <w:rFonts w:ascii="黑体" w:eastAsia="黑体"/>
      <w:sz w:val="21"/>
      <w:szCs w:val="21"/>
      <w:lang w:val="en-US" w:eastAsia="zh-CN" w:bidi="ar-SA"/>
    </w:rPr>
  </w:style>
  <w:style w:type="character" w:customStyle="1" w:styleId="159">
    <w:name w:val="页脚 字符"/>
    <w:basedOn w:val="36"/>
    <w:link w:val="18"/>
    <w:qFormat/>
    <w:uiPriority w:val="99"/>
    <w:rPr>
      <w:kern w:val="2"/>
      <w:sz w:val="18"/>
      <w:szCs w:val="18"/>
    </w:rPr>
  </w:style>
  <w:style w:type="paragraph" w:customStyle="1" w:styleId="160">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61">
    <w:name w:val="标准文件_文件编号"/>
    <w:basedOn w:val="160"/>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62">
    <w:name w:val="标准文件_替换文件编号"/>
    <w:basedOn w:val="161"/>
    <w:qFormat/>
    <w:uiPriority w:val="0"/>
    <w:pPr>
      <w:spacing w:before="57"/>
    </w:pPr>
    <w:rPr>
      <w:sz w:val="21"/>
    </w:rPr>
  </w:style>
  <w:style w:type="paragraph" w:customStyle="1" w:styleId="163">
    <w:name w:val="标准文件_正文图标题"/>
    <w:basedOn w:val="1"/>
    <w:qFormat/>
    <w:uiPriority w:val="0"/>
    <w:pPr>
      <w:keepNext w:val="0"/>
      <w:keepLines w:val="0"/>
      <w:widowControl/>
      <w:numPr>
        <w:ilvl w:val="0"/>
        <w:numId w:val="13"/>
      </w:numPr>
      <w:suppressLineNumbers w:val="0"/>
      <w:adjustRightInd/>
      <w:spacing w:before="50" w:beforeLines="50" w:beforeAutospacing="0" w:after="50" w:afterLines="50" w:afterAutospacing="0" w:line="240" w:lineRule="auto"/>
      <w:ind w:left="0" w:right="0" w:firstLine="0"/>
      <w:jc w:val="center"/>
    </w:pPr>
    <w:rPr>
      <w:rFonts w:hint="eastAsia" w:ascii="黑体" w:hAnsi="Times New Roman" w:eastAsia="黑体" w:cs="Times New Roman"/>
      <w:kern w:val="0"/>
      <w:sz w:val="21"/>
      <w:szCs w:val="20"/>
      <w:lang w:val="en-US" w:eastAsia="zh-CN" w:bidi="ar"/>
    </w:rPr>
  </w:style>
  <w:style w:type="character" w:customStyle="1" w:styleId="164">
    <w:name w:val="标准文件_段 Char"/>
    <w:basedOn w:val="36"/>
    <w:qFormat/>
    <w:uiPriority w:val="0"/>
    <w:rPr>
      <w:rFonts w:hint="eastAsia" w:ascii="宋体" w:hAnsi="Times New Roman" w:eastAsia="宋体" w:cs="宋体"/>
      <w:sz w:val="21"/>
    </w:rPr>
  </w:style>
  <w:style w:type="paragraph" w:customStyle="1" w:styleId="165">
    <w:name w:val="标准文件_字母编号列项（一级）"/>
    <w:qFormat/>
    <w:uiPriority w:val="0"/>
    <w:pPr>
      <w:numPr>
        <w:ilvl w:val="0"/>
        <w:numId w:val="5"/>
      </w:numPr>
      <w:jc w:val="both"/>
    </w:pPr>
    <w:rPr>
      <w:rFonts w:ascii="宋体" w:hAnsi="Times New Roman" w:eastAsia="宋体" w:cs="Times New Roman"/>
      <w:sz w:val="21"/>
      <w:lang w:val="en-US" w:eastAsia="zh-CN" w:bidi="ar-SA"/>
    </w:rPr>
  </w:style>
  <w:style w:type="paragraph" w:customStyle="1" w:styleId="166">
    <w:name w:val="标准文件_附录图标题"/>
    <w:next w:val="160"/>
    <w:qFormat/>
    <w:uiPriority w:val="0"/>
    <w:pPr>
      <w:numPr>
        <w:ilvl w:val="1"/>
        <w:numId w:val="14"/>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167">
    <w:name w:val="标准文件_附录一级条标题"/>
    <w:next w:val="160"/>
    <w:qFormat/>
    <w:uiPriority w:val="0"/>
    <w:pPr>
      <w:widowControl w:val="0"/>
      <w:numPr>
        <w:ilvl w:val="1"/>
        <w:numId w:val="8"/>
      </w:numPr>
      <w:spacing w:before="50" w:beforeLines="50" w:after="50" w:afterLines="50"/>
      <w:jc w:val="both"/>
      <w:outlineLvl w:val="2"/>
    </w:pPr>
    <w:rPr>
      <w:rFonts w:ascii="黑体" w:hAnsi="Times New Roman" w:eastAsia="黑体" w:cs="Times New Roman"/>
      <w:kern w:val="21"/>
      <w:sz w:val="21"/>
      <w:lang w:val="en-US" w:eastAsia="zh-CN"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microsoft.com/office/2006/relationships/keyMapCustomizations" Target="customizations.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2E29DF-747C-45F5-9B12-BB9C22ACF923}">
  <ds:schemaRefs/>
</ds:datastoreItem>
</file>

<file path=docProps/app.xml><?xml version="1.0" encoding="utf-8"?>
<Properties xmlns="http://schemas.openxmlformats.org/officeDocument/2006/extended-properties" xmlns:vt="http://schemas.openxmlformats.org/officeDocument/2006/docPropsVTypes">
  <Template>Normal</Template>
  <Pages>15</Pages>
  <Words>4480</Words>
  <Characters>7034</Characters>
  <Lines>12</Lines>
  <Paragraphs>3</Paragraphs>
  <TotalTime>22</TotalTime>
  <ScaleCrop>false</ScaleCrop>
  <LinksUpToDate>false</LinksUpToDate>
  <CharactersWithSpaces>7525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2019-06-11T07:35:00Z</dcterms:created>
  <cp:lastPrinted>2013-11-12T08:38:00Z</cp:lastPrinted>
  <dcterms:modified xsi:type="dcterms:W3CDTF">2026-10-16T02:46:33Z</dcterms:modified>
  <dc:title>标准名称</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eyJoZGlkIjoiOGI4NjI5OTBmMDM1ODFlMDkzNDFlZTFiMWNhZWU5ZTMiLCJ1c2VySWQiOiIzMDk3NTI4ODEifQ==</vt:lpwstr>
  </property>
  <property fmtid="{D5CDD505-2E9C-101B-9397-08002B2CF9AE}" pid="4" name="ICV">
    <vt:lpwstr>8677BBFF46B6427EBF0EF490E43DEA76_13</vt:lpwstr>
  </property>
</Properties>
</file>