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3DBC6B">
      <w:pPr>
        <w:keepNext/>
        <w:keepLines/>
        <w:spacing w:before="100" w:beforeAutospacing="1" w:after="100" w:afterAutospacing="1"/>
        <w:jc w:val="center"/>
        <w:outlineLvl w:val="0"/>
        <w:rPr>
          <w:rFonts w:hint="eastAsia" w:ascii="黑体" w:hAnsi="黑体" w:eastAsia="黑体" w:cs="黑体"/>
          <w:kern w:val="44"/>
          <w:sz w:val="32"/>
          <w:szCs w:val="32"/>
        </w:rPr>
      </w:pPr>
      <w:r>
        <w:rPr>
          <w:rFonts w:hint="eastAsia" w:ascii="黑体" w:hAnsi="黑体" w:eastAsia="黑体" w:cs="黑体"/>
          <w:b/>
          <w:sz w:val="32"/>
          <w:szCs w:val="32"/>
        </w:rPr>
        <w:t>《医用重组弹性蛋白原料（征求意见稿）》编制说明</w:t>
      </w:r>
    </w:p>
    <w:p w14:paraId="28A495D0">
      <w:pPr>
        <w:keepNext/>
        <w:keepLines/>
        <w:spacing w:before="100" w:beforeAutospacing="1" w:after="100" w:afterAutospacing="1"/>
        <w:outlineLvl w:val="1"/>
        <w:rPr>
          <w:rFonts w:hint="default" w:ascii="Times New Roman" w:hAnsi="Times New Roman" w:eastAsia="仿宋" w:cs="Times New Roman"/>
          <w:b/>
          <w:bCs w:val="0"/>
          <w:sz w:val="28"/>
          <w:szCs w:val="28"/>
        </w:rPr>
      </w:pPr>
      <w:r>
        <w:rPr>
          <w:rFonts w:hint="default" w:ascii="Times New Roman" w:hAnsi="Times New Roman" w:eastAsia="仿宋" w:cs="Times New Roman"/>
          <w:b/>
          <w:bCs w:val="0"/>
          <w:sz w:val="28"/>
          <w:szCs w:val="28"/>
        </w:rPr>
        <w:t>一、工作简况</w:t>
      </w:r>
    </w:p>
    <w:p w14:paraId="1A6B915C">
      <w:pPr>
        <w:keepNext/>
        <w:keepLines/>
        <w:spacing w:before="100" w:beforeAutospacing="1" w:after="100" w:afterAutospacing="1"/>
        <w:outlineLvl w:val="2"/>
        <w:rPr>
          <w:rFonts w:hint="default" w:ascii="Times New Roman" w:hAnsi="Times New Roman" w:eastAsia="仿宋" w:cs="Times New Roman"/>
          <w:b w:val="0"/>
          <w:bCs/>
          <w:sz w:val="28"/>
          <w:szCs w:val="28"/>
        </w:rPr>
      </w:pPr>
      <w:r>
        <w:rPr>
          <w:rFonts w:hint="default" w:ascii="Times New Roman" w:hAnsi="Times New Roman" w:eastAsia="仿宋" w:cs="Times New Roman"/>
          <w:b w:val="0"/>
          <w:bCs/>
          <w:sz w:val="28"/>
          <w:szCs w:val="28"/>
        </w:rPr>
        <w:t>1. 任务来源</w:t>
      </w:r>
    </w:p>
    <w:p w14:paraId="144AEB58">
      <w:pPr>
        <w:spacing w:line="360" w:lineRule="auto"/>
        <w:ind w:firstLine="560" w:firstLineChars="200"/>
        <w:rPr>
          <w:rFonts w:hint="default" w:ascii="Times New Roman" w:hAnsi="Times New Roman" w:eastAsia="仿宋" w:cs="Times New Roman"/>
          <w:kern w:val="2"/>
          <w:sz w:val="28"/>
          <w:szCs w:val="28"/>
          <w:lang w:val="en-US" w:eastAsia="zh-CN" w:bidi="ar-SA"/>
        </w:rPr>
      </w:pPr>
      <w:r>
        <w:rPr>
          <w:rFonts w:hint="default" w:ascii="Times New Roman" w:hAnsi="Times New Roman" w:eastAsia="仿宋" w:cs="Times New Roman"/>
          <w:kern w:val="2"/>
          <w:sz w:val="28"/>
          <w:szCs w:val="28"/>
          <w:lang w:val="en-US" w:eastAsia="zh-CN" w:bidi="ar-SA"/>
        </w:rPr>
        <w:t>弹性蛋白是人体细胞外基质的关键结构蛋白，赋予皮肤、血管、韧带、肺、软骨等组织弹性、回弹与力学缓冲能力，在维持组织功能与修复再生中具有不可替代的作用。天然弹性蛋白主要从牛颈韧带、猪主动脉等动物组织中提取，存在来源有限、纯度偏低、不可溶性、批次差异大、动物源免疫原性风险等固有缺陷，难以满足高端医用材料与再生医学的质量及安全性要求。</w:t>
      </w:r>
    </w:p>
    <w:p w14:paraId="7AA47567">
      <w:pPr>
        <w:spacing w:line="360" w:lineRule="auto"/>
        <w:ind w:firstLine="560" w:firstLineChars="200"/>
        <w:rPr>
          <w:rFonts w:hint="default" w:ascii="Times New Roman" w:hAnsi="Times New Roman" w:eastAsia="仿宋" w:cs="Times New Roman"/>
          <w:kern w:val="2"/>
          <w:sz w:val="28"/>
          <w:szCs w:val="28"/>
          <w:lang w:val="en-US" w:eastAsia="zh-CN" w:bidi="ar-SA"/>
        </w:rPr>
      </w:pPr>
      <w:r>
        <w:rPr>
          <w:rFonts w:hint="default" w:ascii="Times New Roman" w:hAnsi="Times New Roman" w:eastAsia="仿宋" w:cs="Times New Roman"/>
          <w:kern w:val="2"/>
          <w:sz w:val="28"/>
          <w:szCs w:val="28"/>
          <w:lang w:val="en-US" w:eastAsia="zh-CN" w:bidi="ar-SA"/>
        </w:rPr>
        <w:t>重组人源化弹性蛋白通过基因工程技术实现人源序列的精准表达，具有纯度高、可溶性表达、无动物源污染、免疫原性低、相变温度精确可控、热稳定性与储存稳定性显著提升等优势，是再生医学、组织工程、医美修复、血管修复、伤口敷料、骨科修复等领域的核心生物活性原料。目前国内仅有少数企业发布企业标准，已有相关团体标准（T/CEAC 067—2024《重组弹性蛋白》）未涵盖"高稳定性""高纯原料"等关键技术指标，行业缺乏统一的术语定义、质量指标、鉴别方法、纯度标准、杂质控制、高稳定性评价、生物活性评价及包装运输规范，导致产品质量参差不齐、稳定性差异明显、临床转化风险高、监管无据。</w:t>
      </w:r>
    </w:p>
    <w:p w14:paraId="5680DE61">
      <w:pPr>
        <w:spacing w:line="360" w:lineRule="auto"/>
        <w:ind w:firstLine="560" w:firstLineChars="200"/>
        <w:rPr>
          <w:rFonts w:hint="default" w:ascii="Times New Roman" w:hAnsi="Times New Roman" w:eastAsia="仿宋" w:cs="Times New Roman"/>
          <w:kern w:val="2"/>
          <w:sz w:val="28"/>
          <w:szCs w:val="28"/>
          <w:lang w:val="en-US" w:eastAsia="zh-CN" w:bidi="ar-SA"/>
        </w:rPr>
      </w:pPr>
      <w:r>
        <w:rPr>
          <w:rFonts w:hint="default" w:ascii="Times New Roman" w:hAnsi="Times New Roman" w:eastAsia="仿宋" w:cs="Times New Roman"/>
          <w:kern w:val="2"/>
          <w:sz w:val="28"/>
          <w:szCs w:val="28"/>
          <w:lang w:val="en-US" w:eastAsia="zh-CN" w:bidi="ar-SA"/>
        </w:rPr>
        <w:t>《医用重组弹性蛋白原料》团体标准由中国生物材料学会标准工作委员会归口，由广西璟炜生物技术有限公司牵头起草，中绍宣科技集团有限公司为提案单位。起草工作组于2026年5月10日提交了立项申请。在标准归口单位中国生物材料学会标准工作委员会的指导下，本标准第一起草单位广西璟炜生物技术有限公司于2026年6月28日在腾讯会议网络平台参加了中国生物材料学会2026年第三次团体标准立项评审会议，经专家评审予以立项。2026年7月15日，中国生物材料学会发布关于《外科植入物可吸收接骨板弯曲疲劳测试方法》等3项团体标准立项公示结束，其中，《医用重组弹性蛋白原料》被列入中国生物材料学会2026年第Ⅲ批团体标准批准立项清单，正式立项。</w:t>
      </w:r>
    </w:p>
    <w:p w14:paraId="7F81CF8A">
      <w:pPr>
        <w:keepNext/>
        <w:keepLines/>
        <w:spacing w:before="100" w:beforeAutospacing="1" w:after="100" w:afterAutospacing="1"/>
        <w:outlineLvl w:val="2"/>
        <w:rPr>
          <w:rFonts w:hint="default" w:ascii="Times New Roman" w:hAnsi="Times New Roman" w:eastAsia="仿宋" w:cs="Times New Roman"/>
          <w:b w:val="0"/>
          <w:bCs/>
          <w:sz w:val="28"/>
          <w:szCs w:val="28"/>
        </w:rPr>
      </w:pPr>
      <w:r>
        <w:rPr>
          <w:rFonts w:hint="default" w:ascii="Times New Roman" w:hAnsi="Times New Roman" w:eastAsia="仿宋" w:cs="Times New Roman"/>
          <w:b w:val="0"/>
          <w:bCs/>
          <w:sz w:val="28"/>
          <w:szCs w:val="28"/>
        </w:rPr>
        <w:t>2. 标准起草单位及起草人</w:t>
      </w:r>
    </w:p>
    <w:p w14:paraId="2F2D2D0D">
      <w:pPr>
        <w:spacing w:line="360" w:lineRule="auto"/>
        <w:ind w:firstLine="560" w:firstLineChars="200"/>
        <w:rPr>
          <w:rFonts w:hint="default" w:ascii="Times New Roman" w:hAnsi="Times New Roman" w:eastAsia="仿宋" w:cs="Times New Roman"/>
          <w:kern w:val="2"/>
          <w:sz w:val="28"/>
          <w:szCs w:val="28"/>
          <w:lang w:val="en-US" w:eastAsia="zh-CN" w:bidi="ar-SA"/>
        </w:rPr>
      </w:pPr>
      <w:r>
        <w:rPr>
          <w:rFonts w:hint="default" w:ascii="Times New Roman" w:hAnsi="Times New Roman" w:eastAsia="仿宋" w:cs="Times New Roman"/>
          <w:kern w:val="2"/>
          <w:sz w:val="28"/>
          <w:szCs w:val="28"/>
          <w:lang w:val="en-US" w:eastAsia="zh-CN" w:bidi="ar-SA"/>
        </w:rPr>
        <w:t>本文件起草单位：广西璟炜生物技术有限公司、广西壮族自治区食品药品审评查验中心、国家军事医学研究院、广西大学、浙江大学医学院附属邵逸夫医院、中国海洋大学、北京工业大学、南方医科大学、广西医科大学、西南大学、广西壮族自治区医疗器械检测中心、玉林市食品药品检验检测中心、广西医科大学附属武鸣医院、广东璟炜生物科技有限公司、广西壮族自治区药品监督管理局、中绍宣科技集团有限公司、华熙生物科技股份有限公司。</w:t>
      </w:r>
    </w:p>
    <w:p w14:paraId="17804E21">
      <w:pPr>
        <w:spacing w:line="360" w:lineRule="auto"/>
        <w:ind w:firstLine="560" w:firstLineChars="200"/>
        <w:rPr>
          <w:rFonts w:hint="default" w:ascii="Times New Roman" w:hAnsi="Times New Roman" w:eastAsia="仿宋" w:cs="Times New Roman"/>
          <w:kern w:val="2"/>
          <w:sz w:val="28"/>
          <w:szCs w:val="28"/>
          <w:lang w:val="en-US" w:eastAsia="zh-CN" w:bidi="ar-SA"/>
        </w:rPr>
      </w:pPr>
      <w:r>
        <w:rPr>
          <w:rFonts w:hint="default" w:ascii="Times New Roman" w:hAnsi="Times New Roman" w:eastAsia="仿宋" w:cs="Times New Roman"/>
          <w:kern w:val="2"/>
          <w:sz w:val="28"/>
          <w:szCs w:val="28"/>
          <w:lang w:val="en-US" w:eastAsia="zh-CN" w:bidi="ar-SA"/>
        </w:rPr>
        <w:t>本文件主要起草人：梁奕福、陆梅元、王华、王成华、谈伟强、赵雪、贾润清、于梦、许胜、徐立、唐青平、黎强、周颖、周晓婷、吴寅、彭皖春、李小燕等。</w:t>
      </w:r>
    </w:p>
    <w:p w14:paraId="05592E3D">
      <w:pPr>
        <w:keepNext/>
        <w:keepLines/>
        <w:spacing w:before="100" w:beforeAutospacing="1" w:after="100" w:afterAutospacing="1"/>
        <w:outlineLvl w:val="2"/>
        <w:rPr>
          <w:rFonts w:hint="default" w:ascii="Times New Roman" w:hAnsi="Times New Roman" w:eastAsia="仿宋" w:cs="Times New Roman"/>
          <w:b w:val="0"/>
          <w:bCs/>
          <w:sz w:val="28"/>
          <w:szCs w:val="28"/>
        </w:rPr>
      </w:pPr>
      <w:r>
        <w:rPr>
          <w:rFonts w:hint="default" w:ascii="Times New Roman" w:hAnsi="Times New Roman" w:eastAsia="仿宋" w:cs="Times New Roman"/>
          <w:b w:val="0"/>
          <w:bCs/>
          <w:sz w:val="28"/>
          <w:szCs w:val="28"/>
        </w:rPr>
        <w:t>3. 工作过程</w:t>
      </w:r>
    </w:p>
    <w:p w14:paraId="2F33E422">
      <w:pPr>
        <w:spacing w:line="360" w:lineRule="auto"/>
        <w:ind w:firstLine="560" w:firstLineChars="200"/>
        <w:rPr>
          <w:rFonts w:hint="default" w:ascii="Times New Roman" w:hAnsi="Times New Roman" w:eastAsia="仿宋" w:cs="Times New Roman"/>
          <w:kern w:val="2"/>
          <w:sz w:val="28"/>
          <w:szCs w:val="28"/>
          <w:lang w:val="en-US" w:eastAsia="zh-CN" w:bidi="ar-SA"/>
        </w:rPr>
      </w:pPr>
      <w:r>
        <w:rPr>
          <w:rFonts w:hint="default" w:ascii="Times New Roman" w:hAnsi="Times New Roman" w:eastAsia="仿宋" w:cs="Times New Roman"/>
          <w:kern w:val="2"/>
          <w:sz w:val="28"/>
          <w:szCs w:val="28"/>
          <w:lang w:val="en-US" w:eastAsia="zh-CN" w:bidi="ar-SA"/>
        </w:rPr>
        <w:t>接到标准起草任务后，依照《中国生物材料学会团体标准管理办法》，标准起草单位严格按照相关要求及进度安排组织实施，在中国生物材料学会标准工作委员会指导下成立了标准起草工作组，工作组由产、学、研、检、医各方共16家单位的17名专家组成，对标准关键问题进行初步探讨，同时部署标准起草工作组的任务分工和标准制定工作时间安排。</w:t>
      </w:r>
    </w:p>
    <w:p w14:paraId="1D2ED554">
      <w:pPr>
        <w:spacing w:line="360" w:lineRule="auto"/>
        <w:ind w:firstLine="560" w:firstLineChars="200"/>
        <w:rPr>
          <w:rFonts w:hint="default" w:ascii="Times New Roman" w:hAnsi="Times New Roman" w:eastAsia="仿宋" w:cs="Times New Roman"/>
          <w:kern w:val="2"/>
          <w:sz w:val="28"/>
          <w:szCs w:val="28"/>
          <w:lang w:val="en-US" w:eastAsia="zh-CN" w:bidi="ar-SA"/>
        </w:rPr>
      </w:pPr>
      <w:r>
        <w:rPr>
          <w:rFonts w:hint="default" w:ascii="Times New Roman" w:hAnsi="Times New Roman" w:eastAsia="仿宋" w:cs="Times New Roman"/>
          <w:kern w:val="2"/>
          <w:sz w:val="28"/>
          <w:szCs w:val="28"/>
          <w:lang w:val="en-US" w:eastAsia="zh-CN" w:bidi="ar-SA"/>
        </w:rPr>
        <w:t>起草工作组按照"文献调研—行业调研—实验验证—专家咨询—标准审查"的技术路线开展工作：系统收集国内外重组蛋白及生物材料相关法规、标准与研究文献，形成标准框架；对重组弹性蛋白产业现状、产品形态与临床应用需求开展调研，确定技术指标；牵头单位利用自有GMP生产线和多批次产品检验数据，对标准中各项指标和检验方法进行实测验证；各高校、科研院所负责结构表征与生物学功能评价方法的论证，检测与审评机构负责合规性与质量控制要求论证，医疗机构负责临床适用性反馈。</w:t>
      </w:r>
    </w:p>
    <w:p w14:paraId="6EEB017E">
      <w:pPr>
        <w:spacing w:line="360" w:lineRule="auto"/>
        <w:ind w:firstLine="560" w:firstLineChars="200"/>
        <w:rPr>
          <w:rFonts w:hint="default" w:ascii="Times New Roman" w:hAnsi="Times New Roman" w:eastAsia="仿宋" w:cs="Times New Roman"/>
          <w:kern w:val="2"/>
          <w:sz w:val="28"/>
          <w:szCs w:val="28"/>
          <w:lang w:val="en-US" w:eastAsia="zh-CN" w:bidi="ar-SA"/>
        </w:rPr>
      </w:pPr>
      <w:r>
        <w:rPr>
          <w:rFonts w:hint="default" w:ascii="Times New Roman" w:hAnsi="Times New Roman" w:eastAsia="仿宋" w:cs="Times New Roman"/>
          <w:kern w:val="2"/>
          <w:sz w:val="28"/>
          <w:szCs w:val="28"/>
          <w:lang w:val="en-US" w:eastAsia="zh-CN" w:bidi="ar-SA"/>
        </w:rPr>
        <w:t>2026年9月，标准起草工作组根据前期工作情况，对标准草案相关内容进行了深入讨论，从不同角度提出了具备科学性、实用性和可操作性的修改意见，形成标准最终的征求意见稿，并形成标准编制说明，提交中国生物材料学会标准工作委员会进行形式审查。</w:t>
      </w:r>
    </w:p>
    <w:p w14:paraId="4A922687">
      <w:pPr>
        <w:keepNext/>
        <w:keepLines/>
        <w:spacing w:before="100" w:beforeAutospacing="1" w:after="100" w:afterAutospacing="1"/>
        <w:outlineLvl w:val="1"/>
        <w:rPr>
          <w:rFonts w:hint="default" w:ascii="Times New Roman" w:hAnsi="Times New Roman" w:eastAsia="仿宋" w:cs="Times New Roman"/>
          <w:sz w:val="28"/>
          <w:szCs w:val="28"/>
        </w:rPr>
      </w:pPr>
      <w:r>
        <w:rPr>
          <w:rFonts w:hint="default" w:ascii="Times New Roman" w:hAnsi="Times New Roman" w:eastAsia="仿宋" w:cs="Times New Roman"/>
          <w:b/>
          <w:sz w:val="28"/>
          <w:szCs w:val="28"/>
        </w:rPr>
        <w:t>二、标准编制原则、主要内容及其确定依据</w:t>
      </w:r>
    </w:p>
    <w:p w14:paraId="423B0FAE">
      <w:pPr>
        <w:spacing w:line="360" w:lineRule="auto"/>
        <w:ind w:firstLine="560" w:firstLineChars="200"/>
        <w:rPr>
          <w:rFonts w:hint="default" w:ascii="Times New Roman" w:hAnsi="Times New Roman" w:eastAsia="仿宋" w:cs="Times New Roman"/>
          <w:kern w:val="2"/>
          <w:sz w:val="28"/>
          <w:szCs w:val="28"/>
          <w:lang w:val="en-US" w:eastAsia="zh-CN" w:bidi="ar-SA"/>
        </w:rPr>
      </w:pPr>
      <w:r>
        <w:rPr>
          <w:rFonts w:hint="default" w:ascii="Times New Roman" w:hAnsi="Times New Roman" w:eastAsia="仿宋" w:cs="Times New Roman"/>
          <w:kern w:val="2"/>
          <w:sz w:val="28"/>
          <w:szCs w:val="28"/>
          <w:lang w:val="en-US" w:eastAsia="zh-CN" w:bidi="ar-SA"/>
        </w:rPr>
        <w:t>本团体标准严格按照GB/T 1.1—2020《标准化工作导则 第1部分：标准化文件的结构和起草规则》的规则起草。本文件规定了医用重组弹性蛋白原料的质量控制、技术要求、试验方法、生物学评价、检验规则、标志、包装、运输、贮存及有效期等内容，适用于作为医疗器械原材料的医用重组弹性蛋白原料的质量控制。</w:t>
      </w:r>
    </w:p>
    <w:p w14:paraId="5811C993">
      <w:pPr>
        <w:spacing w:line="360" w:lineRule="auto"/>
        <w:ind w:firstLine="560" w:firstLineChars="200"/>
        <w:rPr>
          <w:rFonts w:hint="default" w:ascii="Times New Roman" w:hAnsi="Times New Roman" w:eastAsia="仿宋" w:cs="Times New Roman"/>
          <w:kern w:val="2"/>
          <w:sz w:val="28"/>
          <w:szCs w:val="28"/>
          <w:lang w:val="en-US" w:eastAsia="zh-CN" w:bidi="ar-SA"/>
        </w:rPr>
      </w:pPr>
      <w:r>
        <w:rPr>
          <w:rFonts w:hint="default" w:ascii="Times New Roman" w:hAnsi="Times New Roman" w:eastAsia="仿宋" w:cs="Times New Roman"/>
          <w:kern w:val="2"/>
          <w:sz w:val="28"/>
          <w:szCs w:val="28"/>
          <w:lang w:val="en-US" w:eastAsia="zh-CN" w:bidi="ar-SA"/>
        </w:rPr>
        <w:t>本标准以《中华人民共和国药典》（2025年版）"人用重组DNA蛋白制品总论"及YY/T 1849—2022等重组蛋白相关标准为基础，结合重组弹性蛋白在医疗应用中的安全性、有效性和高稳定性展开研究，制定相应的技术要求指标。</w:t>
      </w:r>
    </w:p>
    <w:p w14:paraId="59AF776B">
      <w:pPr>
        <w:spacing w:line="360" w:lineRule="auto"/>
        <w:ind w:firstLine="560" w:firstLineChars="200"/>
        <w:rPr>
          <w:rFonts w:hint="default" w:ascii="Times New Roman" w:hAnsi="Times New Roman" w:eastAsia="仿宋" w:cs="Times New Roman"/>
          <w:kern w:val="2"/>
          <w:sz w:val="28"/>
          <w:szCs w:val="28"/>
          <w:lang w:val="en-US" w:eastAsia="zh-CN" w:bidi="ar-SA"/>
        </w:rPr>
      </w:pPr>
      <w:r>
        <w:rPr>
          <w:rFonts w:hint="default" w:ascii="Times New Roman" w:hAnsi="Times New Roman" w:eastAsia="仿宋" w:cs="Times New Roman"/>
          <w:kern w:val="2"/>
          <w:sz w:val="28"/>
          <w:szCs w:val="28"/>
          <w:lang w:val="en-US" w:eastAsia="zh-CN" w:bidi="ar-SA"/>
        </w:rPr>
        <w:t>标准中主要内容及其确定依据如下：</w:t>
      </w:r>
    </w:p>
    <w:p w14:paraId="097EB040">
      <w:pPr>
        <w:spacing w:line="360" w:lineRule="auto"/>
        <w:ind w:firstLine="560" w:firstLineChars="200"/>
        <w:rPr>
          <w:rFonts w:hint="default" w:ascii="Times New Roman" w:hAnsi="Times New Roman" w:eastAsia="仿宋" w:cs="Times New Roman"/>
          <w:kern w:val="2"/>
          <w:sz w:val="28"/>
          <w:szCs w:val="28"/>
          <w:lang w:val="en-US" w:eastAsia="zh-CN" w:bidi="ar-SA"/>
        </w:rPr>
      </w:pPr>
      <w:r>
        <w:rPr>
          <w:rFonts w:hint="default" w:ascii="Times New Roman" w:hAnsi="Times New Roman" w:eastAsia="仿宋" w:cs="Times New Roman"/>
          <w:kern w:val="2"/>
          <w:sz w:val="28"/>
          <w:szCs w:val="28"/>
          <w:lang w:val="en-US" w:eastAsia="zh-CN" w:bidi="ar-SA"/>
        </w:rPr>
        <w:t>（1）第3章"术语和定义"：结合弹性蛋白的特征性疏水重复多肽序列、温敏相变特性及弹性回缩生物学功能，对"弹性蛋白"和"重组弹性蛋白"进行定义，明确重组DNA技术、宿主表达系统、提取纯化等制备要素。</w:t>
      </w:r>
    </w:p>
    <w:p w14:paraId="3F3C73CD">
      <w:pPr>
        <w:spacing w:line="360" w:lineRule="auto"/>
        <w:ind w:firstLine="560" w:firstLineChars="200"/>
        <w:rPr>
          <w:rFonts w:hint="default" w:ascii="Times New Roman" w:hAnsi="Times New Roman" w:eastAsia="仿宋" w:cs="Times New Roman"/>
          <w:kern w:val="2"/>
          <w:sz w:val="28"/>
          <w:szCs w:val="28"/>
          <w:lang w:val="en-US" w:eastAsia="zh-CN" w:bidi="ar-SA"/>
        </w:rPr>
      </w:pPr>
      <w:r>
        <w:rPr>
          <w:rFonts w:hint="default" w:ascii="Times New Roman" w:hAnsi="Times New Roman" w:eastAsia="仿宋" w:cs="Times New Roman"/>
          <w:kern w:val="2"/>
          <w:sz w:val="28"/>
          <w:szCs w:val="28"/>
          <w:lang w:val="en-US" w:eastAsia="zh-CN" w:bidi="ar-SA"/>
        </w:rPr>
        <w:t>（2）第4章"质量控制"：重组弹性蛋白属于重组DNA来源蛋白，其质量与分子量、结构特性、生产工艺密切相关。本章按本文件规定，参照《中华人民共和国药典》（2025年版）"人用重组DNA蛋白制品总论"中"制造"章节的要求，对工程宿主细胞控制（表达载体、细胞库系统、细胞库质量控制、宿主遗传稳定性）、生产过程控制（发酵培养、提取纯化、原液、半成品、成品）及工艺变更管理作出规定；成品质量控制采用参比品与经验证的检测方法，对鉴别、理化指标、生物学功能及产物相关杂质、工艺相关杂质开展检测分析。</w:t>
      </w:r>
    </w:p>
    <w:p w14:paraId="051661A5">
      <w:pPr>
        <w:spacing w:line="360" w:lineRule="auto"/>
        <w:ind w:firstLine="560" w:firstLineChars="200"/>
        <w:rPr>
          <w:rFonts w:hint="default" w:ascii="Times New Roman" w:hAnsi="Times New Roman" w:eastAsia="仿宋" w:cs="Times New Roman"/>
          <w:kern w:val="2"/>
          <w:sz w:val="28"/>
          <w:szCs w:val="28"/>
          <w:lang w:val="en-US" w:eastAsia="zh-CN" w:bidi="ar-SA"/>
        </w:rPr>
      </w:pPr>
      <w:r>
        <w:rPr>
          <w:rFonts w:hint="default" w:ascii="Times New Roman" w:hAnsi="Times New Roman" w:eastAsia="仿宋" w:cs="Times New Roman"/>
          <w:kern w:val="2"/>
          <w:sz w:val="28"/>
          <w:szCs w:val="28"/>
          <w:lang w:val="en-US" w:eastAsia="zh-CN" w:bidi="ar-SA"/>
        </w:rPr>
        <w:t>（3）第5.1条"鉴别"：采用LC-MS/MS肽图分析（肽段序列覆盖率≥95%且与理论设计序列一致）、N端序列测定、圆二色谱（CD）二级结构特征比对、分子量（SDS-PAGE快速鉴别，SEC-MALLS或MS仲裁）和等电点测定实现对重组弹性蛋白的鉴别，允许实测值与标识值的偏差为分子量±10%、等电点±0.5 pH。</w:t>
      </w:r>
    </w:p>
    <w:p w14:paraId="236C60E8">
      <w:pPr>
        <w:spacing w:line="360" w:lineRule="auto"/>
        <w:ind w:firstLine="560" w:firstLineChars="200"/>
        <w:rPr>
          <w:rFonts w:hint="default" w:ascii="Times New Roman" w:hAnsi="Times New Roman" w:eastAsia="仿宋" w:cs="Times New Roman"/>
          <w:kern w:val="2"/>
          <w:sz w:val="28"/>
          <w:szCs w:val="28"/>
          <w:lang w:val="en-US" w:eastAsia="zh-CN" w:bidi="ar-SA"/>
        </w:rPr>
      </w:pPr>
      <w:r>
        <w:rPr>
          <w:rFonts w:hint="default" w:ascii="Times New Roman" w:hAnsi="Times New Roman" w:eastAsia="仿宋" w:cs="Times New Roman"/>
          <w:kern w:val="2"/>
          <w:sz w:val="28"/>
          <w:szCs w:val="28"/>
          <w:lang w:val="en-US" w:eastAsia="zh-CN" w:bidi="ar-SA"/>
        </w:rPr>
        <w:t>（4）第5.2条"感官指标"：结合产品实际形态（液体/冻干粉两种剂型）规定外观、气味、可见异物要求，可见异物按《中华人民共和国药典》（2025年版）四部通则0904检验。</w:t>
      </w:r>
    </w:p>
    <w:p w14:paraId="1EF38187">
      <w:pPr>
        <w:spacing w:line="360" w:lineRule="auto"/>
        <w:ind w:firstLine="560" w:firstLineChars="200"/>
        <w:rPr>
          <w:rFonts w:hint="default" w:ascii="Times New Roman" w:hAnsi="Times New Roman" w:eastAsia="仿宋" w:cs="Times New Roman"/>
          <w:kern w:val="2"/>
          <w:sz w:val="28"/>
          <w:szCs w:val="28"/>
          <w:lang w:val="en-US" w:eastAsia="zh-CN" w:bidi="ar-SA"/>
        </w:rPr>
      </w:pPr>
      <w:r>
        <w:rPr>
          <w:rFonts w:hint="default" w:ascii="Times New Roman" w:hAnsi="Times New Roman" w:eastAsia="仿宋" w:cs="Times New Roman"/>
          <w:kern w:val="2"/>
          <w:sz w:val="28"/>
          <w:szCs w:val="28"/>
          <w:lang w:val="en-US" w:eastAsia="zh-CN" w:bidi="ar-SA"/>
        </w:rPr>
        <w:t>（5）第5.3条"理化指标"：蛋白纯度≥98%、蛋白含量≥95%、pH值5.5～8.0、水分（冻干粉）≤3.0%、炽灼残渣≤2.0%、重金属总量≤10 μg/g；外源性DNA残留量和内毒素按预期接触途径分级规定限度（见本文件表2）：植入类DNA残留≤100 pg/mg、内毒素≤2 EU/mg，体表接触类DNA残留≤1.5 ng/mg、内毒素≤10 EU/mg；宿主蛋白质残留量≤0.01%（100 ppm）；相变温度实测值与标识值偏差不超过±2℃；热稳定性（完整蛋白保留率≥90%、生物活性保留率≥80%，仅适用于采用经验证灭菌工艺处理的产品）；残余抗生素活性要求为无残余抗生素活性（仅适用于生产过程中使用抗生素的原料）。</w:t>
      </w:r>
    </w:p>
    <w:p w14:paraId="56718AD0">
      <w:pPr>
        <w:spacing w:line="360" w:lineRule="auto"/>
        <w:ind w:firstLine="560" w:firstLineChars="200"/>
        <w:rPr>
          <w:rFonts w:hint="default" w:ascii="Times New Roman" w:hAnsi="Times New Roman" w:eastAsia="仿宋" w:cs="Times New Roman"/>
          <w:kern w:val="2"/>
          <w:sz w:val="28"/>
          <w:szCs w:val="28"/>
          <w:lang w:val="en-US" w:eastAsia="zh-CN" w:bidi="ar-SA"/>
        </w:rPr>
      </w:pPr>
      <w:r>
        <w:rPr>
          <w:rFonts w:hint="default" w:ascii="Times New Roman" w:hAnsi="Times New Roman" w:eastAsia="仿宋" w:cs="Times New Roman"/>
          <w:kern w:val="2"/>
          <w:sz w:val="28"/>
          <w:szCs w:val="28"/>
          <w:lang w:val="en-US" w:eastAsia="zh-CN" w:bidi="ar-SA"/>
        </w:rPr>
        <w:t>（6）第5.4条"微生物限度"：需氧菌总数≤100 CFU/g、霉菌和酵母菌总数≤10 CFU/g，大肠埃希菌、金黄色葡萄球菌、铜绿假单胞菌不得检出，按《中华人民共和国药典》（2025年版）四部通则1105、1106检验。</w:t>
      </w:r>
    </w:p>
    <w:p w14:paraId="7B58467F">
      <w:pPr>
        <w:spacing w:line="360" w:lineRule="auto"/>
        <w:ind w:firstLine="560" w:firstLineChars="200"/>
        <w:rPr>
          <w:rFonts w:hint="default" w:ascii="Times New Roman" w:hAnsi="Times New Roman" w:eastAsia="仿宋" w:cs="Times New Roman"/>
          <w:kern w:val="2"/>
          <w:sz w:val="28"/>
          <w:szCs w:val="28"/>
          <w:lang w:val="en-US" w:eastAsia="zh-CN" w:bidi="ar-SA"/>
        </w:rPr>
      </w:pPr>
      <w:r>
        <w:rPr>
          <w:rFonts w:hint="default" w:ascii="Times New Roman" w:hAnsi="Times New Roman" w:eastAsia="仿宋" w:cs="Times New Roman"/>
          <w:kern w:val="2"/>
          <w:sz w:val="28"/>
          <w:szCs w:val="28"/>
          <w:lang w:val="en-US" w:eastAsia="zh-CN" w:bidi="ar-SA"/>
        </w:rPr>
        <w:t>（7）第5.5条"生物学功能"：规定细胞黏附性（黏附率提升≥50%）、细胞增殖（增殖率≥120%）、细胞迁移（迁移率提升≥50%）及生物活性保留率（液体≥85%，2℃～8℃储存12个月；冻干粉≥90%，2℃～8℃储存24个月），测试结果均相对于空白对照组计算。较立项阶段采用的绝对比率指标（黏附率≥80%、增殖率≥95%、迁移率≥80%），征求意见稿调整为相对空白对照组计算，以更科学地反映弹性蛋白的促细胞功能作用。</w:t>
      </w:r>
    </w:p>
    <w:p w14:paraId="27E5A155">
      <w:pPr>
        <w:spacing w:line="360" w:lineRule="auto"/>
        <w:ind w:firstLine="560" w:firstLineChars="200"/>
        <w:rPr>
          <w:rFonts w:hint="default" w:ascii="Times New Roman" w:hAnsi="Times New Roman" w:eastAsia="仿宋" w:cs="Times New Roman"/>
          <w:kern w:val="2"/>
          <w:sz w:val="28"/>
          <w:szCs w:val="28"/>
          <w:lang w:val="en-US" w:eastAsia="zh-CN" w:bidi="ar-SA"/>
        </w:rPr>
      </w:pPr>
      <w:r>
        <w:rPr>
          <w:rFonts w:hint="default" w:ascii="Times New Roman" w:hAnsi="Times New Roman" w:eastAsia="仿宋" w:cs="Times New Roman"/>
          <w:kern w:val="2"/>
          <w:sz w:val="28"/>
          <w:szCs w:val="28"/>
          <w:lang w:val="en-US" w:eastAsia="zh-CN" w:bidi="ar-SA"/>
        </w:rPr>
        <w:t>（8）第6章"试验方法"：鉴别、理化、微生物各项检验方法均采用《中华人民共和国药典》（2025年版）四部通则方法（0512、0541、0631、0731、0821、0832、0841、0904、1105、1106、1143、3407、3408、3412、3414等）；相变温度采用紫外分光光度法（OD345nm梯度升温测定）；生物学功能采用结晶紫染色法、MTT/CCK-8法、细胞划痕/Transwell法等体外细胞学方法。</w:t>
      </w:r>
    </w:p>
    <w:p w14:paraId="4C810C88">
      <w:pPr>
        <w:spacing w:line="360" w:lineRule="auto"/>
        <w:ind w:firstLine="560" w:firstLineChars="200"/>
        <w:rPr>
          <w:rFonts w:hint="default" w:ascii="Times New Roman" w:hAnsi="Times New Roman" w:eastAsia="仿宋" w:cs="Times New Roman"/>
          <w:kern w:val="2"/>
          <w:sz w:val="28"/>
          <w:szCs w:val="28"/>
          <w:lang w:val="en-US" w:eastAsia="zh-CN" w:bidi="ar-SA"/>
        </w:rPr>
      </w:pPr>
      <w:r>
        <w:rPr>
          <w:rFonts w:hint="default" w:ascii="Times New Roman" w:hAnsi="Times New Roman" w:eastAsia="仿宋" w:cs="Times New Roman"/>
          <w:kern w:val="2"/>
          <w:sz w:val="28"/>
          <w:szCs w:val="28"/>
          <w:lang w:val="en-US" w:eastAsia="zh-CN" w:bidi="ar-SA"/>
        </w:rPr>
        <w:t>（9）第7章"生物学评价"：按GB/T 16886.1的要求，结合最终器械的接触部位、接触时间和接触方式开展生物学评价，评价项目至少包括细胞毒性、致敏、刺激（如适用）、植入（如适用）；基于人弹性蛋白序列编辑、重组修饰得到的产物存在不可预知免疫原性风险，若不能排除免疫风险，应按GB/T 16886.20、YY/T 1465（所有部分）开展免疫学研究；产品以非无菌形式提供时，应评估灭菌工艺对重组弹性蛋白结构、生物活性的影响。</w:t>
      </w:r>
    </w:p>
    <w:p w14:paraId="76EA60C7">
      <w:pPr>
        <w:spacing w:line="360" w:lineRule="auto"/>
        <w:ind w:firstLine="560" w:firstLineChars="200"/>
        <w:rPr>
          <w:rFonts w:hint="default" w:ascii="Times New Roman" w:hAnsi="Times New Roman" w:eastAsia="仿宋" w:cs="Times New Roman"/>
          <w:kern w:val="2"/>
          <w:sz w:val="28"/>
          <w:szCs w:val="28"/>
          <w:lang w:val="en-US" w:eastAsia="zh-CN" w:bidi="ar-SA"/>
        </w:rPr>
      </w:pPr>
      <w:r>
        <w:rPr>
          <w:rFonts w:hint="default" w:ascii="Times New Roman" w:hAnsi="Times New Roman" w:eastAsia="仿宋" w:cs="Times New Roman"/>
          <w:kern w:val="2"/>
          <w:sz w:val="28"/>
          <w:szCs w:val="28"/>
          <w:lang w:val="en-US" w:eastAsia="zh-CN" w:bidi="ar-SA"/>
        </w:rPr>
        <w:t>（10）第8章"检验规则"：规定组批（以一个发酵罐发酵纯化生产的产品为一检验批）、抽样（总量不少于2 g，均分为两份，一份检样一份留样备查）、出厂检验项目、型式检验（每2年进行一次及六种应进行型式检验的情形）、结果判定与复检规则（微生物限度项目不得复检）。</w:t>
      </w:r>
    </w:p>
    <w:p w14:paraId="2F14A9DD">
      <w:pPr>
        <w:spacing w:line="360" w:lineRule="auto"/>
        <w:ind w:firstLine="560" w:firstLineChars="200"/>
        <w:rPr>
          <w:rFonts w:hint="default" w:ascii="Times New Roman" w:hAnsi="Times New Roman" w:eastAsia="仿宋" w:cs="Times New Roman"/>
          <w:sz w:val="28"/>
          <w:szCs w:val="28"/>
        </w:rPr>
      </w:pPr>
      <w:r>
        <w:rPr>
          <w:rFonts w:hint="default" w:ascii="Times New Roman" w:hAnsi="Times New Roman" w:eastAsia="仿宋" w:cs="Times New Roman"/>
          <w:kern w:val="2"/>
          <w:sz w:val="28"/>
          <w:szCs w:val="28"/>
          <w:lang w:val="en-US" w:eastAsia="zh-CN" w:bidi="ar-SA"/>
        </w:rPr>
        <w:t>（11）第9章、第10章及附录A：规定标志、包装（使用经验证的包装材料，密封完好，防水、防尘、防潮）、运输（液体剂型2℃～8℃冷链运输，冻干粉剂型常温不超过25℃且运输时间不宜超过7天）、贮存（2℃～8℃冷藏，冻干粉长期保存于-20℃以下）及有效期（基于加速稳定性和长期稳定性研究数据确定，液体剂型不少于12个月、冻干粉剂型不少于24个月、-20℃以下冻存不少于36个月）；附录A（资料性）给出研发阶段重组弹性蛋白特性分析框架，涵盖理化特性、纯度与杂质、生物学功能、免疫化学特性及参比品要求。</w:t>
      </w:r>
    </w:p>
    <w:p w14:paraId="20679329">
      <w:pPr>
        <w:keepNext/>
        <w:keepLines/>
        <w:spacing w:before="100" w:beforeAutospacing="1" w:after="100" w:afterAutospacing="1"/>
        <w:outlineLvl w:val="1"/>
        <w:rPr>
          <w:rFonts w:hint="default" w:ascii="Times New Roman" w:hAnsi="Times New Roman" w:eastAsia="仿宋" w:cs="Times New Roman"/>
          <w:sz w:val="28"/>
          <w:szCs w:val="28"/>
        </w:rPr>
      </w:pPr>
      <w:r>
        <w:rPr>
          <w:rFonts w:hint="default" w:ascii="Times New Roman" w:hAnsi="Times New Roman" w:eastAsia="仿宋" w:cs="Times New Roman"/>
          <w:b/>
          <w:sz w:val="28"/>
          <w:szCs w:val="28"/>
        </w:rPr>
        <w:t>三、主要试验（验证）的分析、综述报告，技术经济论证，预期的经济效果</w:t>
      </w:r>
    </w:p>
    <w:p w14:paraId="5E872C09">
      <w:pPr>
        <w:keepNext/>
        <w:keepLines/>
        <w:spacing w:before="100" w:beforeAutospacing="1" w:after="100" w:afterAutospacing="1"/>
        <w:outlineLvl w:val="2"/>
        <w:rPr>
          <w:rFonts w:hint="default" w:ascii="Times New Roman" w:hAnsi="Times New Roman" w:eastAsia="仿宋" w:cs="Times New Roman"/>
          <w:b w:val="0"/>
          <w:bCs/>
          <w:sz w:val="28"/>
          <w:szCs w:val="28"/>
        </w:rPr>
      </w:pPr>
      <w:r>
        <w:rPr>
          <w:rFonts w:hint="default" w:ascii="Times New Roman" w:hAnsi="Times New Roman" w:eastAsia="仿宋" w:cs="Times New Roman"/>
          <w:b w:val="0"/>
          <w:bCs/>
          <w:sz w:val="28"/>
          <w:szCs w:val="28"/>
        </w:rPr>
        <w:t>1. 试验验证分析</w:t>
      </w:r>
    </w:p>
    <w:p w14:paraId="08F80BD3">
      <w:pPr>
        <w:spacing w:line="360" w:lineRule="auto"/>
        <w:ind w:firstLine="560" w:firstLineChars="200"/>
        <w:rPr>
          <w:rFonts w:hint="default" w:ascii="Times New Roman" w:hAnsi="Times New Roman" w:eastAsia="仿宋" w:cs="Times New Roman"/>
          <w:kern w:val="2"/>
          <w:sz w:val="28"/>
          <w:szCs w:val="28"/>
          <w:lang w:val="en-US" w:eastAsia="zh-CN" w:bidi="ar-SA"/>
        </w:rPr>
      </w:pPr>
      <w:r>
        <w:rPr>
          <w:rFonts w:hint="default" w:ascii="Times New Roman" w:hAnsi="Times New Roman" w:eastAsia="仿宋" w:cs="Times New Roman"/>
          <w:kern w:val="2"/>
          <w:sz w:val="28"/>
          <w:szCs w:val="28"/>
          <w:lang w:val="en-US" w:eastAsia="zh-CN" w:bidi="ar-SA"/>
        </w:rPr>
        <w:t>由于目前尚无专门针对医用重组弹性蛋白原料的国家标准、行业标准，本标准起草后，起草工作组对标准中涉及的表征与检验方法进行了实际研究和论证，使用标准规定的试验方法对牵头单位研制的医用高稳定性重组人源化弹性蛋白产品进行了测试，部分检验数据如下：</w:t>
      </w:r>
    </w:p>
    <w:tbl>
      <w:tblPr>
        <w:tblStyle w:val="2"/>
        <w:tblW w:w="0" w:type="auto"/>
        <w:jc w:val="center"/>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Layout w:type="autofit"/>
        <w:tblCellMar>
          <w:top w:w="15" w:type="dxa"/>
          <w:left w:w="15" w:type="dxa"/>
          <w:bottom w:w="15" w:type="dxa"/>
          <w:right w:w="15" w:type="dxa"/>
        </w:tblCellMar>
      </w:tblPr>
      <w:tblGrid>
        <w:gridCol w:w="2076"/>
        <w:gridCol w:w="2076"/>
        <w:gridCol w:w="2076"/>
        <w:gridCol w:w="2076"/>
      </w:tblGrid>
      <w:tr w14:paraId="7397ED96">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15" w:type="dxa"/>
            <w:left w:w="15" w:type="dxa"/>
            <w:bottom w:w="15" w:type="dxa"/>
            <w:right w:w="15" w:type="dxa"/>
          </w:tblCellMar>
        </w:tblPrEx>
        <w:trPr>
          <w:tblHeader/>
          <w:jc w:val="center"/>
        </w:trPr>
        <w:tc>
          <w:tcPr>
            <w:tcW w:w="2076" w:type="dxa"/>
          </w:tcPr>
          <w:p w14:paraId="3F835249">
            <w:pPr>
              <w:rPr>
                <w:rFonts w:hint="default" w:ascii="Times New Roman" w:hAnsi="Times New Roman" w:eastAsia="仿宋" w:cs="Times New Roman"/>
                <w:b/>
                <w:bCs/>
                <w:sz w:val="28"/>
                <w:szCs w:val="28"/>
              </w:rPr>
            </w:pPr>
            <w:r>
              <w:rPr>
                <w:rFonts w:hint="default" w:ascii="Times New Roman" w:hAnsi="Times New Roman" w:eastAsia="仿宋" w:cs="Times New Roman"/>
                <w:b/>
                <w:sz w:val="28"/>
                <w:szCs w:val="28"/>
              </w:rPr>
              <w:t>检验项目</w:t>
            </w:r>
          </w:p>
        </w:tc>
        <w:tc>
          <w:tcPr>
            <w:tcW w:w="2076" w:type="dxa"/>
          </w:tcPr>
          <w:p w14:paraId="030132DD">
            <w:pPr>
              <w:rPr>
                <w:rFonts w:hint="default" w:ascii="Times New Roman" w:hAnsi="Times New Roman" w:eastAsia="仿宋" w:cs="Times New Roman"/>
                <w:b/>
                <w:bCs/>
                <w:sz w:val="28"/>
                <w:szCs w:val="28"/>
              </w:rPr>
            </w:pPr>
            <w:r>
              <w:rPr>
                <w:rFonts w:hint="default" w:ascii="Times New Roman" w:hAnsi="Times New Roman" w:eastAsia="仿宋" w:cs="Times New Roman"/>
                <w:b/>
                <w:sz w:val="28"/>
                <w:szCs w:val="28"/>
              </w:rPr>
              <w:t>本文件要求</w:t>
            </w:r>
          </w:p>
        </w:tc>
        <w:tc>
          <w:tcPr>
            <w:tcW w:w="2076" w:type="dxa"/>
          </w:tcPr>
          <w:p w14:paraId="36CDACB4">
            <w:pPr>
              <w:rPr>
                <w:rFonts w:hint="default" w:ascii="Times New Roman" w:hAnsi="Times New Roman" w:eastAsia="仿宋" w:cs="Times New Roman"/>
                <w:b/>
                <w:bCs/>
                <w:sz w:val="28"/>
                <w:szCs w:val="28"/>
              </w:rPr>
            </w:pPr>
            <w:r>
              <w:rPr>
                <w:rFonts w:hint="default" w:ascii="Times New Roman" w:hAnsi="Times New Roman" w:eastAsia="仿宋" w:cs="Times New Roman"/>
                <w:b/>
                <w:sz w:val="28"/>
                <w:szCs w:val="28"/>
              </w:rPr>
              <w:t>实测结果</w:t>
            </w:r>
          </w:p>
        </w:tc>
        <w:tc>
          <w:tcPr>
            <w:tcW w:w="2076" w:type="dxa"/>
          </w:tcPr>
          <w:p w14:paraId="31EDC175">
            <w:pPr>
              <w:rPr>
                <w:rFonts w:hint="default" w:ascii="Times New Roman" w:hAnsi="Times New Roman" w:eastAsia="仿宋" w:cs="Times New Roman"/>
                <w:b/>
                <w:bCs/>
                <w:sz w:val="28"/>
                <w:szCs w:val="28"/>
              </w:rPr>
            </w:pPr>
            <w:r>
              <w:rPr>
                <w:rFonts w:hint="default" w:ascii="Times New Roman" w:hAnsi="Times New Roman" w:eastAsia="仿宋" w:cs="Times New Roman"/>
                <w:b/>
                <w:sz w:val="28"/>
                <w:szCs w:val="28"/>
              </w:rPr>
              <w:t>结论</w:t>
            </w:r>
          </w:p>
        </w:tc>
      </w:tr>
      <w:tr w14:paraId="009F76B0">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15" w:type="dxa"/>
            <w:left w:w="15" w:type="dxa"/>
            <w:bottom w:w="15" w:type="dxa"/>
            <w:right w:w="15" w:type="dxa"/>
          </w:tblCellMar>
        </w:tblPrEx>
        <w:trPr>
          <w:jc w:val="center"/>
        </w:trPr>
        <w:tc>
          <w:tcPr>
            <w:tcW w:w="2076" w:type="dxa"/>
          </w:tcPr>
          <w:p w14:paraId="46D81526">
            <w:pP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外观</w:t>
            </w:r>
          </w:p>
        </w:tc>
        <w:tc>
          <w:tcPr>
            <w:tcW w:w="2076" w:type="dxa"/>
          </w:tcPr>
          <w:p w14:paraId="258770F9">
            <w:pP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白色/类白色疏松海绵状固体（冻干粉）</w:t>
            </w:r>
          </w:p>
        </w:tc>
        <w:tc>
          <w:tcPr>
            <w:tcW w:w="2076" w:type="dxa"/>
          </w:tcPr>
          <w:p w14:paraId="68D6D602">
            <w:pP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白色粉末</w:t>
            </w:r>
          </w:p>
        </w:tc>
        <w:tc>
          <w:tcPr>
            <w:tcW w:w="2076" w:type="dxa"/>
          </w:tcPr>
          <w:p w14:paraId="53A64418">
            <w:pP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合格</w:t>
            </w:r>
          </w:p>
        </w:tc>
      </w:tr>
      <w:tr w14:paraId="78AEABFC">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15" w:type="dxa"/>
            <w:left w:w="15" w:type="dxa"/>
            <w:bottom w:w="15" w:type="dxa"/>
            <w:right w:w="15" w:type="dxa"/>
          </w:tblCellMar>
        </w:tblPrEx>
        <w:trPr>
          <w:jc w:val="center"/>
        </w:trPr>
        <w:tc>
          <w:tcPr>
            <w:tcW w:w="2076" w:type="dxa"/>
          </w:tcPr>
          <w:p w14:paraId="243DDFF5">
            <w:pP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蛋白纯度</w:t>
            </w:r>
          </w:p>
        </w:tc>
        <w:tc>
          <w:tcPr>
            <w:tcW w:w="2076" w:type="dxa"/>
          </w:tcPr>
          <w:p w14:paraId="6A912F9C">
            <w:pP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≥98%</w:t>
            </w:r>
          </w:p>
        </w:tc>
        <w:tc>
          <w:tcPr>
            <w:tcW w:w="2076" w:type="dxa"/>
          </w:tcPr>
          <w:p w14:paraId="3F13162E">
            <w:pP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98.9%</w:t>
            </w:r>
          </w:p>
        </w:tc>
        <w:tc>
          <w:tcPr>
            <w:tcW w:w="2076" w:type="dxa"/>
          </w:tcPr>
          <w:p w14:paraId="26FBA8EC">
            <w:pP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合格</w:t>
            </w:r>
          </w:p>
        </w:tc>
      </w:tr>
      <w:tr w14:paraId="6009C237">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15" w:type="dxa"/>
            <w:left w:w="15" w:type="dxa"/>
            <w:bottom w:w="15" w:type="dxa"/>
            <w:right w:w="15" w:type="dxa"/>
          </w:tblCellMar>
        </w:tblPrEx>
        <w:trPr>
          <w:jc w:val="center"/>
        </w:trPr>
        <w:tc>
          <w:tcPr>
            <w:tcW w:w="2076" w:type="dxa"/>
          </w:tcPr>
          <w:p w14:paraId="0B7A5979">
            <w:pP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蛋白含量</w:t>
            </w:r>
          </w:p>
        </w:tc>
        <w:tc>
          <w:tcPr>
            <w:tcW w:w="2076" w:type="dxa"/>
          </w:tcPr>
          <w:p w14:paraId="31948DC0">
            <w:pP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≥95%</w:t>
            </w:r>
          </w:p>
        </w:tc>
        <w:tc>
          <w:tcPr>
            <w:tcW w:w="2076" w:type="dxa"/>
          </w:tcPr>
          <w:p w14:paraId="021D81BB">
            <w:pP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99.1%</w:t>
            </w:r>
          </w:p>
        </w:tc>
        <w:tc>
          <w:tcPr>
            <w:tcW w:w="2076" w:type="dxa"/>
          </w:tcPr>
          <w:p w14:paraId="0D31F471">
            <w:pP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合格</w:t>
            </w:r>
          </w:p>
        </w:tc>
      </w:tr>
      <w:tr w14:paraId="356E8367">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15" w:type="dxa"/>
            <w:left w:w="15" w:type="dxa"/>
            <w:bottom w:w="15" w:type="dxa"/>
            <w:right w:w="15" w:type="dxa"/>
          </w:tblCellMar>
        </w:tblPrEx>
        <w:trPr>
          <w:jc w:val="center"/>
        </w:trPr>
        <w:tc>
          <w:tcPr>
            <w:tcW w:w="2076" w:type="dxa"/>
          </w:tcPr>
          <w:p w14:paraId="304872DE">
            <w:pP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pH值</w:t>
            </w:r>
          </w:p>
        </w:tc>
        <w:tc>
          <w:tcPr>
            <w:tcW w:w="2076" w:type="dxa"/>
          </w:tcPr>
          <w:p w14:paraId="40665B68">
            <w:pP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5.5～8.0</w:t>
            </w:r>
          </w:p>
        </w:tc>
        <w:tc>
          <w:tcPr>
            <w:tcW w:w="2076" w:type="dxa"/>
          </w:tcPr>
          <w:p w14:paraId="695813B0">
            <w:pP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6.8</w:t>
            </w:r>
          </w:p>
        </w:tc>
        <w:tc>
          <w:tcPr>
            <w:tcW w:w="2076" w:type="dxa"/>
          </w:tcPr>
          <w:p w14:paraId="507F83F6">
            <w:pP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合格</w:t>
            </w:r>
          </w:p>
        </w:tc>
      </w:tr>
      <w:tr w14:paraId="7BBCB316">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15" w:type="dxa"/>
            <w:left w:w="15" w:type="dxa"/>
            <w:bottom w:w="15" w:type="dxa"/>
            <w:right w:w="15" w:type="dxa"/>
          </w:tblCellMar>
        </w:tblPrEx>
        <w:trPr>
          <w:jc w:val="center"/>
        </w:trPr>
        <w:tc>
          <w:tcPr>
            <w:tcW w:w="2076" w:type="dxa"/>
          </w:tcPr>
          <w:p w14:paraId="24F48300">
            <w:pP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相变温度</w:t>
            </w:r>
          </w:p>
        </w:tc>
        <w:tc>
          <w:tcPr>
            <w:tcW w:w="2076" w:type="dxa"/>
          </w:tcPr>
          <w:p w14:paraId="27386D6A">
            <w:pP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实测值与标识值偏差不超过±2℃</w:t>
            </w:r>
          </w:p>
        </w:tc>
        <w:tc>
          <w:tcPr>
            <w:tcW w:w="2076" w:type="dxa"/>
          </w:tcPr>
          <w:p w14:paraId="4FDAE226">
            <w:pP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38℃</w:t>
            </w:r>
          </w:p>
        </w:tc>
        <w:tc>
          <w:tcPr>
            <w:tcW w:w="2076" w:type="dxa"/>
          </w:tcPr>
          <w:p w14:paraId="373A35E8">
            <w:pP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合格</w:t>
            </w:r>
          </w:p>
        </w:tc>
      </w:tr>
      <w:tr w14:paraId="16E0F553">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15" w:type="dxa"/>
            <w:left w:w="15" w:type="dxa"/>
            <w:bottom w:w="15" w:type="dxa"/>
            <w:right w:w="15" w:type="dxa"/>
          </w:tblCellMar>
        </w:tblPrEx>
        <w:trPr>
          <w:jc w:val="center"/>
        </w:trPr>
        <w:tc>
          <w:tcPr>
            <w:tcW w:w="2076" w:type="dxa"/>
          </w:tcPr>
          <w:p w14:paraId="2058164E">
            <w:pP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外源性DNA残留量</w:t>
            </w:r>
          </w:p>
        </w:tc>
        <w:tc>
          <w:tcPr>
            <w:tcW w:w="2076" w:type="dxa"/>
          </w:tcPr>
          <w:p w14:paraId="50B01CC8">
            <w:pP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≤1.5 ng/mg</w:t>
            </w:r>
          </w:p>
          <w:p w14:paraId="6E75AFD7">
            <w:pP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（体表接触类）</w:t>
            </w:r>
          </w:p>
        </w:tc>
        <w:tc>
          <w:tcPr>
            <w:tcW w:w="2076" w:type="dxa"/>
          </w:tcPr>
          <w:p w14:paraId="3DEE3778">
            <w:pP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0.5 ng/mg</w:t>
            </w:r>
          </w:p>
        </w:tc>
        <w:tc>
          <w:tcPr>
            <w:tcW w:w="2076" w:type="dxa"/>
          </w:tcPr>
          <w:p w14:paraId="250F46BE">
            <w:pP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合格</w:t>
            </w:r>
          </w:p>
        </w:tc>
      </w:tr>
      <w:tr w14:paraId="3732601B">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15" w:type="dxa"/>
            <w:left w:w="15" w:type="dxa"/>
            <w:bottom w:w="15" w:type="dxa"/>
            <w:right w:w="15" w:type="dxa"/>
          </w:tblCellMar>
        </w:tblPrEx>
        <w:trPr>
          <w:jc w:val="center"/>
        </w:trPr>
        <w:tc>
          <w:tcPr>
            <w:tcW w:w="2076" w:type="dxa"/>
          </w:tcPr>
          <w:p w14:paraId="70A75C03">
            <w:pP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宿主蛋白质残留量</w:t>
            </w:r>
          </w:p>
        </w:tc>
        <w:tc>
          <w:tcPr>
            <w:tcW w:w="2076" w:type="dxa"/>
          </w:tcPr>
          <w:p w14:paraId="62F49817">
            <w:pP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≤0.01%</w:t>
            </w:r>
          </w:p>
        </w:tc>
        <w:tc>
          <w:tcPr>
            <w:tcW w:w="2076" w:type="dxa"/>
          </w:tcPr>
          <w:p w14:paraId="377DF9AA">
            <w:pPr>
              <w:rPr>
                <w:rFonts w:hint="default" w:ascii="Times New Roman" w:hAnsi="Times New Roman" w:eastAsia="仿宋" w:cs="Times New Roman"/>
                <w:sz w:val="28"/>
                <w:szCs w:val="28"/>
                <w:lang w:eastAsia="zh-CN"/>
              </w:rPr>
            </w:pPr>
            <w:r>
              <w:rPr>
                <w:rFonts w:hint="default" w:ascii="Times New Roman" w:hAnsi="Times New Roman" w:eastAsia="仿宋" w:cs="Times New Roman"/>
                <w:sz w:val="28"/>
                <w:szCs w:val="28"/>
                <w:lang w:val="en-US" w:eastAsia="zh-CN"/>
              </w:rPr>
              <w:t>符合要求</w:t>
            </w:r>
          </w:p>
        </w:tc>
        <w:tc>
          <w:tcPr>
            <w:tcW w:w="2076" w:type="dxa"/>
          </w:tcPr>
          <w:p w14:paraId="3E91196C">
            <w:pP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合格</w:t>
            </w:r>
          </w:p>
        </w:tc>
      </w:tr>
      <w:tr w14:paraId="6D508910">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15" w:type="dxa"/>
            <w:left w:w="15" w:type="dxa"/>
            <w:bottom w:w="15" w:type="dxa"/>
            <w:right w:w="15" w:type="dxa"/>
          </w:tblCellMar>
        </w:tblPrEx>
        <w:trPr>
          <w:jc w:val="center"/>
        </w:trPr>
        <w:tc>
          <w:tcPr>
            <w:tcW w:w="2076" w:type="dxa"/>
          </w:tcPr>
          <w:p w14:paraId="6548E4EF">
            <w:pP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内毒素</w:t>
            </w:r>
          </w:p>
        </w:tc>
        <w:tc>
          <w:tcPr>
            <w:tcW w:w="2076" w:type="dxa"/>
          </w:tcPr>
          <w:p w14:paraId="64DA1473">
            <w:pP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≤10 EU/mg</w:t>
            </w:r>
          </w:p>
          <w:p w14:paraId="06949BC0">
            <w:pP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（体表接触类）</w:t>
            </w:r>
          </w:p>
        </w:tc>
        <w:tc>
          <w:tcPr>
            <w:tcW w:w="2076" w:type="dxa"/>
          </w:tcPr>
          <w:p w14:paraId="52F10AB1">
            <w:pP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2.5 EU/mg</w:t>
            </w:r>
          </w:p>
        </w:tc>
        <w:tc>
          <w:tcPr>
            <w:tcW w:w="2076" w:type="dxa"/>
          </w:tcPr>
          <w:p w14:paraId="5BCDE8EF">
            <w:pP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合格</w:t>
            </w:r>
          </w:p>
        </w:tc>
      </w:tr>
    </w:tbl>
    <w:p w14:paraId="189F32BF">
      <w:pPr>
        <w:spacing w:line="360" w:lineRule="auto"/>
        <w:ind w:firstLine="560" w:firstLineChars="200"/>
        <w:rPr>
          <w:rFonts w:hint="default" w:ascii="Times New Roman" w:hAnsi="Times New Roman" w:eastAsia="仿宋" w:cs="Times New Roman"/>
          <w:kern w:val="2"/>
          <w:sz w:val="28"/>
          <w:szCs w:val="28"/>
          <w:lang w:val="en-US" w:eastAsia="zh-CN" w:bidi="ar-SA"/>
        </w:rPr>
      </w:pPr>
      <w:r>
        <w:rPr>
          <w:rFonts w:hint="default" w:ascii="Times New Roman" w:hAnsi="Times New Roman" w:eastAsia="仿宋" w:cs="Times New Roman"/>
          <w:kern w:val="2"/>
          <w:sz w:val="28"/>
          <w:szCs w:val="28"/>
          <w:lang w:val="en-US" w:eastAsia="zh-CN" w:bidi="ar-SA"/>
        </w:rPr>
        <w:t>热稳定性及生物学功能（细胞黏附、细胞增殖、细胞迁移、生物活性保留率）经验证均符合本文件要求。Western Blot验证结果表明，产品经湿热灭菌后仍保持较高蛋白浓度，稳定性良好；CCK-8试验表明中、高剂量组48h细胞活力显著高于空白/阴性对照（p＜0.05，p＜0.01）；基因表达检测表明外源性弹性蛋白可显著上调皮肤细胞内源弹性蛋白与Ⅰ型胶原mRNA相对表达量，提升真皮弹性纤维合成能力。在实际论证过程中，参考文献资料对部分方法进行了优化与调整，最终对标准中的方法予以确认，并完成了相关理化检测方法的方法学验证，输出验证报告。</w:t>
      </w:r>
    </w:p>
    <w:p w14:paraId="4AEFA183">
      <w:pPr>
        <w:keepNext/>
        <w:keepLines/>
        <w:spacing w:before="100" w:beforeAutospacing="1" w:after="100" w:afterAutospacing="1"/>
        <w:outlineLvl w:val="2"/>
        <w:rPr>
          <w:rFonts w:hint="default" w:ascii="Times New Roman" w:hAnsi="Times New Roman" w:eastAsia="仿宋" w:cs="Times New Roman"/>
          <w:b w:val="0"/>
          <w:bCs/>
          <w:sz w:val="28"/>
          <w:szCs w:val="28"/>
        </w:rPr>
      </w:pPr>
      <w:r>
        <w:rPr>
          <w:rFonts w:hint="default" w:ascii="Times New Roman" w:hAnsi="Times New Roman" w:eastAsia="仿宋" w:cs="Times New Roman"/>
          <w:b w:val="0"/>
          <w:bCs/>
          <w:sz w:val="28"/>
          <w:szCs w:val="28"/>
        </w:rPr>
        <w:t>2. 技术经济论证</w:t>
      </w:r>
    </w:p>
    <w:p w14:paraId="4081F96C">
      <w:pPr>
        <w:spacing w:line="360" w:lineRule="auto"/>
        <w:ind w:firstLine="560" w:firstLineChars="200"/>
        <w:rPr>
          <w:rFonts w:hint="default" w:ascii="Times New Roman" w:hAnsi="Times New Roman" w:eastAsia="仿宋" w:cs="Times New Roman"/>
          <w:kern w:val="2"/>
          <w:sz w:val="28"/>
          <w:szCs w:val="28"/>
          <w:lang w:val="en-US" w:eastAsia="zh-CN" w:bidi="ar-SA"/>
        </w:rPr>
      </w:pPr>
      <w:r>
        <w:rPr>
          <w:rFonts w:hint="default" w:ascii="Times New Roman" w:hAnsi="Times New Roman" w:eastAsia="仿宋" w:cs="Times New Roman"/>
          <w:kern w:val="2"/>
          <w:sz w:val="28"/>
          <w:szCs w:val="28"/>
          <w:lang w:val="en-US" w:eastAsia="zh-CN" w:bidi="ar-SA"/>
        </w:rPr>
        <w:t>重组人源化弹性蛋白（rhELP）是再生医学、医美修复、血管介入、伤口护理领域的核心原料。2024年全球组织修复材料市场规模约160亿美元（年复合增长率11.5%），中国生物医用材料市场规模约3800亿元；全球重组弹性蛋白原料市场当前约12亿元，预计2030年将达到35亿元。中国医美市场年增速超过20%，叠加再生医学发展、国产替代趋势和温敏智能材料热点，弹性蛋白原料需求快速增长。</w:t>
      </w:r>
    </w:p>
    <w:p w14:paraId="6CA32C6D">
      <w:pPr>
        <w:spacing w:line="360" w:lineRule="auto"/>
        <w:ind w:firstLine="560" w:firstLineChars="200"/>
        <w:rPr>
          <w:rFonts w:hint="default" w:ascii="Times New Roman" w:hAnsi="Times New Roman" w:eastAsia="仿宋" w:cs="Times New Roman"/>
          <w:kern w:val="2"/>
          <w:sz w:val="28"/>
          <w:szCs w:val="28"/>
          <w:lang w:val="en-US" w:eastAsia="zh-CN" w:bidi="ar-SA"/>
        </w:rPr>
      </w:pPr>
      <w:r>
        <w:rPr>
          <w:rFonts w:hint="default" w:ascii="Times New Roman" w:hAnsi="Times New Roman" w:eastAsia="仿宋" w:cs="Times New Roman"/>
          <w:kern w:val="2"/>
          <w:sz w:val="28"/>
          <w:szCs w:val="28"/>
          <w:lang w:val="en-US" w:eastAsia="zh-CN" w:bidi="ar-SA"/>
        </w:rPr>
        <w:t>与动物组织提取法（产量&lt;1 g/kg组织、免疫原性高、批次差异大）和化学合成多肽法（成本&gt;10万元/g、无法规模化）相比，基因工程重组法产量高（&gt;5 g/L发酵液）、成本低（&lt;1000元/g）、人源化序列≥98%、相变温度精确可控，是可规模化、低成本、高质量的生产路径。本标准的制定充分考虑了国内医疗器械公司及医院对医用弹性蛋白原料产品质量、性能和检测方法的要求，具有很强的产业化可操作性和实用性。</w:t>
      </w:r>
    </w:p>
    <w:p w14:paraId="38D9B53B">
      <w:pPr>
        <w:keepNext/>
        <w:keepLines/>
        <w:spacing w:before="100" w:beforeAutospacing="1" w:after="100" w:afterAutospacing="1"/>
        <w:outlineLvl w:val="2"/>
        <w:rPr>
          <w:rFonts w:hint="default" w:ascii="Times New Roman" w:hAnsi="Times New Roman" w:eastAsia="仿宋" w:cs="Times New Roman"/>
          <w:b w:val="0"/>
          <w:bCs/>
          <w:sz w:val="28"/>
          <w:szCs w:val="28"/>
        </w:rPr>
      </w:pPr>
      <w:r>
        <w:rPr>
          <w:rFonts w:hint="default" w:ascii="Times New Roman" w:hAnsi="Times New Roman" w:eastAsia="仿宋" w:cs="Times New Roman"/>
          <w:b w:val="0"/>
          <w:bCs/>
          <w:sz w:val="28"/>
          <w:szCs w:val="28"/>
        </w:rPr>
        <w:t>3. 预期的经济效果</w:t>
      </w:r>
    </w:p>
    <w:p w14:paraId="590183B1">
      <w:pPr>
        <w:spacing w:line="360" w:lineRule="auto"/>
        <w:ind w:firstLine="560" w:firstLineChars="200"/>
        <w:rPr>
          <w:rFonts w:hint="default" w:ascii="Times New Roman" w:hAnsi="Times New Roman" w:eastAsia="仿宋" w:cs="Times New Roman"/>
          <w:kern w:val="2"/>
          <w:sz w:val="28"/>
          <w:szCs w:val="28"/>
          <w:lang w:val="en-US" w:eastAsia="zh-CN" w:bidi="ar-SA"/>
        </w:rPr>
      </w:pPr>
      <w:r>
        <w:rPr>
          <w:rFonts w:hint="default" w:ascii="Times New Roman" w:hAnsi="Times New Roman" w:eastAsia="仿宋" w:cs="Times New Roman"/>
          <w:kern w:val="2"/>
          <w:sz w:val="28"/>
          <w:szCs w:val="28"/>
          <w:lang w:val="en-US" w:eastAsia="zh-CN" w:bidi="ar-SA"/>
        </w:rPr>
        <w:t>经济效益：统一医用重组弹性蛋白原料的质量门槛与检测方法，提升产品质量一致性与批次稳定性，为新型医疗器械的开发、评价和审批提供助力，推动国产高稳定性弹性蛋白原料的规范化生产和应用。</w:t>
      </w:r>
    </w:p>
    <w:p w14:paraId="5E90DFEC">
      <w:pPr>
        <w:spacing w:line="360" w:lineRule="auto"/>
        <w:ind w:firstLine="560" w:firstLineChars="200"/>
        <w:rPr>
          <w:rFonts w:hint="default" w:ascii="Times New Roman" w:hAnsi="Times New Roman" w:eastAsia="仿宋" w:cs="Times New Roman"/>
          <w:kern w:val="2"/>
          <w:sz w:val="28"/>
          <w:szCs w:val="28"/>
          <w:lang w:val="en-US" w:eastAsia="zh-CN" w:bidi="ar-SA"/>
        </w:rPr>
      </w:pPr>
      <w:r>
        <w:rPr>
          <w:rFonts w:hint="default" w:ascii="Times New Roman" w:hAnsi="Times New Roman" w:eastAsia="仿宋" w:cs="Times New Roman"/>
          <w:kern w:val="2"/>
          <w:sz w:val="28"/>
          <w:szCs w:val="28"/>
          <w:lang w:val="en-US" w:eastAsia="zh-CN" w:bidi="ar-SA"/>
        </w:rPr>
        <w:t>社会效益：为再生医学、组织工程、创面修复、医美修复等下游产品提供合规原料依据，保障患者用械安全；规范市场秩序，遏制劣质产品，促进行业技术升级。</w:t>
      </w:r>
    </w:p>
    <w:p w14:paraId="756308A0">
      <w:pPr>
        <w:spacing w:line="360" w:lineRule="auto"/>
        <w:ind w:firstLine="560" w:firstLineChars="200"/>
        <w:rPr>
          <w:rFonts w:hint="default" w:ascii="Times New Roman" w:hAnsi="Times New Roman" w:eastAsia="仿宋" w:cs="Times New Roman"/>
          <w:kern w:val="2"/>
          <w:sz w:val="28"/>
          <w:szCs w:val="28"/>
          <w:lang w:val="en-US" w:eastAsia="zh-CN" w:bidi="ar-SA"/>
        </w:rPr>
      </w:pPr>
      <w:r>
        <w:rPr>
          <w:rFonts w:hint="default" w:ascii="Times New Roman" w:hAnsi="Times New Roman" w:eastAsia="仿宋" w:cs="Times New Roman"/>
          <w:kern w:val="2"/>
          <w:sz w:val="28"/>
          <w:szCs w:val="28"/>
          <w:lang w:val="en-US" w:eastAsia="zh-CN" w:bidi="ar-SA"/>
        </w:rPr>
        <w:t>行业影响：填补国内医用级重组弹性蛋白原料标准空白，与重组胶原蛋白、透明质酸的标准体系相比，本标准将引领弹性蛋白标准体系建设，提升我国高稳定性生物活性蛋白原料的国际竞争力。</w:t>
      </w:r>
    </w:p>
    <w:p w14:paraId="1DACF683">
      <w:pPr>
        <w:keepNext/>
        <w:keepLines/>
        <w:spacing w:before="100" w:beforeAutospacing="1" w:after="100" w:afterAutospacing="1"/>
        <w:outlineLvl w:val="1"/>
        <w:rPr>
          <w:rFonts w:hint="default" w:ascii="Times New Roman" w:hAnsi="Times New Roman" w:eastAsia="仿宋" w:cs="Times New Roman"/>
          <w:sz w:val="28"/>
          <w:szCs w:val="28"/>
        </w:rPr>
      </w:pPr>
      <w:bookmarkStart w:id="0" w:name="_GoBack"/>
      <w:r>
        <w:rPr>
          <w:rFonts w:hint="default" w:ascii="Times New Roman" w:hAnsi="Times New Roman" w:eastAsia="仿宋" w:cs="Times New Roman"/>
          <w:b/>
          <w:sz w:val="28"/>
          <w:szCs w:val="28"/>
        </w:rPr>
        <w:t>四、与国际、国外同类标准技术内容的对比情况</w:t>
      </w:r>
    </w:p>
    <w:bookmarkEnd w:id="0"/>
    <w:p w14:paraId="6F26F477">
      <w:pPr>
        <w:spacing w:line="360" w:lineRule="auto"/>
        <w:ind w:firstLine="560" w:firstLineChars="200"/>
        <w:rPr>
          <w:rFonts w:hint="default" w:ascii="Times New Roman" w:hAnsi="Times New Roman" w:eastAsia="仿宋" w:cs="Times New Roman"/>
          <w:kern w:val="2"/>
          <w:sz w:val="28"/>
          <w:szCs w:val="28"/>
          <w:lang w:val="en-US" w:eastAsia="zh-CN" w:bidi="ar-SA"/>
        </w:rPr>
      </w:pPr>
      <w:r>
        <w:rPr>
          <w:rFonts w:hint="default" w:ascii="Times New Roman" w:hAnsi="Times New Roman" w:eastAsia="仿宋" w:cs="Times New Roman"/>
          <w:kern w:val="2"/>
          <w:sz w:val="28"/>
          <w:szCs w:val="28"/>
          <w:lang w:val="en-US" w:eastAsia="zh-CN" w:bidi="ar-SA"/>
        </w:rPr>
        <w:t>国际上重组弹性蛋白的研究与应用主要集中于科研机构与少数生物公司，聚焦组织工程、血管修复、皮肤再生等方向，尚无公开统一的医用级高稳定性标准，多为企业内控标准或科研级标准。本标准的技术指标、试验方法及评价体系均由起草单位基于国内行业实践经验与自主科研成果独立研制，技术路径和框架体系为原创性设计，与国际现行标准不存在直接的技术关联性或继承性；仅在检验方法层面参考了ISO 10993/GB/T 16886（生物学评价）、USP-NF（重组蛋白分析）、《中国药典》（微生物与内毒素）、ICH Q5C（稳定性评价）、ASTM E2070（相变温度测定方法学）等。</w:t>
      </w:r>
    </w:p>
    <w:p w14:paraId="48B4744F">
      <w:pPr>
        <w:keepNext/>
        <w:keepLines/>
        <w:spacing w:before="100" w:beforeAutospacing="1" w:after="100" w:afterAutospacing="1"/>
        <w:outlineLvl w:val="1"/>
        <w:rPr>
          <w:rFonts w:hint="default" w:ascii="Times New Roman" w:hAnsi="Times New Roman" w:eastAsia="仿宋" w:cs="Times New Roman"/>
          <w:sz w:val="28"/>
          <w:szCs w:val="28"/>
        </w:rPr>
      </w:pPr>
      <w:r>
        <w:rPr>
          <w:rFonts w:hint="default" w:ascii="Times New Roman" w:hAnsi="Times New Roman" w:eastAsia="仿宋" w:cs="Times New Roman"/>
          <w:b/>
          <w:sz w:val="28"/>
          <w:szCs w:val="28"/>
        </w:rPr>
        <w:t>五、以国际标准为基础的起草情况</w:t>
      </w:r>
    </w:p>
    <w:p w14:paraId="02C89C6E">
      <w:pPr>
        <w:spacing w:line="360" w:lineRule="auto"/>
        <w:ind w:firstLine="560" w:firstLineChars="200"/>
        <w:rPr>
          <w:rFonts w:hint="default" w:ascii="Times New Roman" w:hAnsi="Times New Roman" w:eastAsia="仿宋" w:cs="Times New Roman"/>
          <w:kern w:val="2"/>
          <w:sz w:val="28"/>
          <w:szCs w:val="28"/>
          <w:lang w:val="en-US" w:eastAsia="zh-CN" w:bidi="ar-SA"/>
        </w:rPr>
      </w:pPr>
      <w:r>
        <w:rPr>
          <w:rFonts w:hint="default" w:ascii="Times New Roman" w:hAnsi="Times New Roman" w:eastAsia="仿宋" w:cs="Times New Roman"/>
          <w:kern w:val="2"/>
          <w:sz w:val="28"/>
          <w:szCs w:val="28"/>
          <w:lang w:val="en-US" w:eastAsia="zh-CN" w:bidi="ar-SA"/>
        </w:rPr>
        <w:t>本标准的技术指标、试验方法及评价体系均由起草单位结合国内行业实践和科研创新成果独立开发，不采用国际标准，与国际现有标准无直接关联。</w:t>
      </w:r>
    </w:p>
    <w:p w14:paraId="12A644FC">
      <w:pPr>
        <w:spacing w:line="360" w:lineRule="auto"/>
        <w:ind w:firstLine="560" w:firstLineChars="200"/>
        <w:rPr>
          <w:rFonts w:hint="default" w:ascii="Times New Roman" w:hAnsi="Times New Roman" w:eastAsia="仿宋" w:cs="Times New Roman"/>
          <w:kern w:val="2"/>
          <w:sz w:val="28"/>
          <w:szCs w:val="28"/>
          <w:lang w:val="en-US" w:eastAsia="zh-CN" w:bidi="ar-SA"/>
        </w:rPr>
      </w:pPr>
      <w:r>
        <w:rPr>
          <w:rFonts w:hint="default" w:ascii="Times New Roman" w:hAnsi="Times New Roman" w:eastAsia="仿宋" w:cs="Times New Roman"/>
          <w:kern w:val="2"/>
          <w:sz w:val="28"/>
          <w:szCs w:val="28"/>
          <w:lang w:val="en-US" w:eastAsia="zh-CN" w:bidi="ar-SA"/>
        </w:rPr>
        <w:t>本文件参考依据：</w:t>
      </w:r>
    </w:p>
    <w:p w14:paraId="7B90AF76">
      <w:pPr>
        <w:numPr>
          <w:ilvl w:val="0"/>
          <w:numId w:val="1"/>
        </w:numP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GB/T 1.1—2020 标准化工作导则 第1部分：标准化文件的结构和起草规则</w:t>
      </w:r>
    </w:p>
    <w:p w14:paraId="6690B9F2">
      <w:pPr>
        <w:numPr>
          <w:ilvl w:val="0"/>
          <w:numId w:val="1"/>
        </w:numP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GB/T 16886.1 医疗器械生物学评价 第1部分：风险管理过程中的评价与试验</w:t>
      </w:r>
    </w:p>
    <w:p w14:paraId="7582531E">
      <w:pPr>
        <w:numPr>
          <w:ilvl w:val="0"/>
          <w:numId w:val="1"/>
        </w:numP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GB/T 16886.20 医疗器械生物学评价 第20部分：医疗器械免疫毒理学试验原则和方法</w:t>
      </w:r>
    </w:p>
    <w:p w14:paraId="69FF915E">
      <w:pPr>
        <w:numPr>
          <w:ilvl w:val="0"/>
          <w:numId w:val="1"/>
        </w:numP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YY/T 1465（所有部分） 医疗器械免疫原性评价方法</w:t>
      </w:r>
    </w:p>
    <w:p w14:paraId="709197C8">
      <w:pPr>
        <w:numPr>
          <w:ilvl w:val="0"/>
          <w:numId w:val="1"/>
        </w:numP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YY/T 1849—2022 重组胶原蛋白</w:t>
      </w:r>
    </w:p>
    <w:p w14:paraId="7D4B3D72">
      <w:pPr>
        <w:numPr>
          <w:ilvl w:val="0"/>
          <w:numId w:val="1"/>
        </w:numP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YY/T 0606（相关部分） 组织工程医疗产品</w:t>
      </w:r>
    </w:p>
    <w:p w14:paraId="412C1C8C">
      <w:pPr>
        <w:numPr>
          <w:ilvl w:val="0"/>
          <w:numId w:val="1"/>
        </w:numP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《中华人民共和国药典》（2025年版）</w:t>
      </w:r>
    </w:p>
    <w:p w14:paraId="535EF3B4">
      <w:pPr>
        <w:numPr>
          <w:ilvl w:val="0"/>
          <w:numId w:val="1"/>
        </w:numP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ICH Q5C 生物技术/生物制品质量：稳定性试验</w:t>
      </w:r>
    </w:p>
    <w:p w14:paraId="189409A9">
      <w:pPr>
        <w:numPr>
          <w:ilvl w:val="0"/>
          <w:numId w:val="1"/>
        </w:numP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ASTM E2070 相变温度测定方法学参考</w:t>
      </w:r>
    </w:p>
    <w:p w14:paraId="402EEF94">
      <w:pPr>
        <w:numPr>
          <w:ilvl w:val="0"/>
          <w:numId w:val="1"/>
        </w:numP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Q/XYSW 002—2025 医用高稳定性重组人源化弹性蛋白高纯原料企业标准</w:t>
      </w:r>
    </w:p>
    <w:p w14:paraId="0B34147B">
      <w:pPr>
        <w:numPr>
          <w:ilvl w:val="0"/>
          <w:numId w:val="1"/>
        </w:numP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T/CEAC 067—2024 重组弹性蛋白</w:t>
      </w:r>
    </w:p>
    <w:p w14:paraId="71ACF239">
      <w:pPr>
        <w:keepNext/>
        <w:keepLines/>
        <w:spacing w:before="100" w:beforeAutospacing="1" w:after="100" w:afterAutospacing="1"/>
        <w:outlineLvl w:val="1"/>
        <w:rPr>
          <w:rFonts w:hint="default" w:ascii="Times New Roman" w:hAnsi="Times New Roman" w:eastAsia="仿宋" w:cs="Times New Roman"/>
          <w:sz w:val="28"/>
          <w:szCs w:val="28"/>
        </w:rPr>
      </w:pPr>
      <w:r>
        <w:rPr>
          <w:rFonts w:hint="default" w:ascii="Times New Roman" w:hAnsi="Times New Roman" w:eastAsia="仿宋" w:cs="Times New Roman"/>
          <w:b/>
          <w:sz w:val="28"/>
          <w:szCs w:val="28"/>
        </w:rPr>
        <w:t>六、与有关法律、行政法规及相关标准的关系</w:t>
      </w:r>
    </w:p>
    <w:p w14:paraId="1B86F3CA">
      <w:pPr>
        <w:spacing w:line="360" w:lineRule="auto"/>
        <w:ind w:firstLine="560" w:firstLineChars="200"/>
        <w:rPr>
          <w:rFonts w:hint="default" w:ascii="Times New Roman" w:hAnsi="Times New Roman" w:eastAsia="仿宋" w:cs="Times New Roman"/>
          <w:kern w:val="2"/>
          <w:sz w:val="28"/>
          <w:szCs w:val="28"/>
          <w:lang w:val="en-US" w:eastAsia="zh-CN" w:bidi="ar-SA"/>
        </w:rPr>
      </w:pPr>
      <w:r>
        <w:rPr>
          <w:rFonts w:hint="default" w:ascii="Times New Roman" w:hAnsi="Times New Roman" w:eastAsia="仿宋" w:cs="Times New Roman"/>
          <w:kern w:val="2"/>
          <w:sz w:val="28"/>
          <w:szCs w:val="28"/>
          <w:lang w:val="en-US" w:eastAsia="zh-CN" w:bidi="ar-SA"/>
        </w:rPr>
        <w:t>本文件符合《中华人民共和国标准化法》《医疗器械监督管理条例》《中华人民共和国生物安全法》等法律法规的要求，与现有强制性标准协调一致，主要引用GB/T 16886.1、GB/T 16886.20、YY/T 1465（所有部分）、YY/T 1849—2022及《中华人民共和国药典》（2025年版）。</w:t>
      </w:r>
    </w:p>
    <w:p w14:paraId="1F6C2266">
      <w:pPr>
        <w:spacing w:line="360" w:lineRule="auto"/>
        <w:ind w:firstLine="560" w:firstLineChars="200"/>
        <w:rPr>
          <w:rFonts w:hint="default" w:ascii="Times New Roman" w:hAnsi="Times New Roman" w:eastAsia="仿宋" w:cs="Times New Roman"/>
          <w:kern w:val="2"/>
          <w:sz w:val="28"/>
          <w:szCs w:val="28"/>
          <w:lang w:val="en-US" w:eastAsia="zh-CN" w:bidi="ar-SA"/>
        </w:rPr>
      </w:pPr>
      <w:r>
        <w:rPr>
          <w:rFonts w:hint="default" w:ascii="Times New Roman" w:hAnsi="Times New Roman" w:eastAsia="仿宋" w:cs="Times New Roman"/>
          <w:kern w:val="2"/>
          <w:sz w:val="28"/>
          <w:szCs w:val="28"/>
          <w:lang w:val="en-US" w:eastAsia="zh-CN" w:bidi="ar-SA"/>
        </w:rPr>
        <w:t>拟申请标准为新标准。国内已有T/CEAC 067—2024《重组弹性蛋白》团体标准，但该标准未涵盖"高稳定性""高纯原料"等关键技术指标；本文件与已有标准在内容上没有重合和冲突，是对弹性蛋白原料标准的进一步完善和补充。</w:t>
      </w:r>
    </w:p>
    <w:p w14:paraId="1D48DB7C">
      <w:pPr>
        <w:keepNext/>
        <w:keepLines/>
        <w:spacing w:before="100" w:beforeAutospacing="1" w:after="100" w:afterAutospacing="1"/>
        <w:outlineLvl w:val="1"/>
        <w:rPr>
          <w:rFonts w:hint="default" w:ascii="Times New Roman" w:hAnsi="Times New Roman" w:eastAsia="仿宋" w:cs="Times New Roman"/>
          <w:sz w:val="28"/>
          <w:szCs w:val="28"/>
        </w:rPr>
      </w:pPr>
      <w:r>
        <w:rPr>
          <w:rFonts w:hint="default" w:ascii="Times New Roman" w:hAnsi="Times New Roman" w:eastAsia="仿宋" w:cs="Times New Roman"/>
          <w:b/>
          <w:sz w:val="28"/>
          <w:szCs w:val="28"/>
        </w:rPr>
        <w:t>七、重大分歧意见的处理经过和依据</w:t>
      </w:r>
    </w:p>
    <w:p w14:paraId="60E2D800">
      <w:pPr>
        <w:spacing w:line="360" w:lineRule="auto"/>
        <w:ind w:firstLine="560" w:firstLineChars="200"/>
        <w:rPr>
          <w:rFonts w:hint="default" w:ascii="Times New Roman" w:hAnsi="Times New Roman" w:eastAsia="仿宋" w:cs="Times New Roman"/>
          <w:kern w:val="2"/>
          <w:sz w:val="28"/>
          <w:szCs w:val="28"/>
          <w:lang w:val="en-US" w:eastAsia="zh-CN" w:bidi="ar-SA"/>
        </w:rPr>
      </w:pPr>
      <w:r>
        <w:rPr>
          <w:rFonts w:hint="default" w:ascii="Times New Roman" w:hAnsi="Times New Roman" w:eastAsia="仿宋" w:cs="Times New Roman"/>
          <w:kern w:val="2"/>
          <w:sz w:val="28"/>
          <w:szCs w:val="28"/>
          <w:lang w:val="en-US" w:eastAsia="zh-CN" w:bidi="ar-SA"/>
        </w:rPr>
        <w:t>无。</w:t>
      </w:r>
    </w:p>
    <w:p w14:paraId="5611B217">
      <w:pPr>
        <w:keepNext/>
        <w:keepLines/>
        <w:spacing w:before="100" w:beforeAutospacing="1" w:after="100" w:afterAutospacing="1"/>
        <w:outlineLvl w:val="1"/>
        <w:rPr>
          <w:rFonts w:hint="default" w:ascii="Times New Roman" w:hAnsi="Times New Roman" w:eastAsia="仿宋" w:cs="Times New Roman"/>
          <w:sz w:val="28"/>
          <w:szCs w:val="28"/>
        </w:rPr>
      </w:pPr>
      <w:r>
        <w:rPr>
          <w:rFonts w:hint="default" w:ascii="Times New Roman" w:hAnsi="Times New Roman" w:eastAsia="仿宋" w:cs="Times New Roman"/>
          <w:b/>
          <w:sz w:val="28"/>
          <w:szCs w:val="28"/>
        </w:rPr>
        <w:t>八、涉及专利的有关说明</w:t>
      </w:r>
    </w:p>
    <w:p w14:paraId="3DBC6B69">
      <w:pPr>
        <w:spacing w:line="360" w:lineRule="auto"/>
        <w:ind w:firstLine="560" w:firstLineChars="200"/>
        <w:rPr>
          <w:rFonts w:hint="default" w:ascii="Times New Roman" w:hAnsi="Times New Roman" w:eastAsia="仿宋" w:cs="Times New Roman"/>
          <w:kern w:val="2"/>
          <w:sz w:val="28"/>
          <w:szCs w:val="28"/>
          <w:lang w:val="en-US" w:eastAsia="zh-CN" w:bidi="ar-SA"/>
        </w:rPr>
      </w:pPr>
      <w:r>
        <w:rPr>
          <w:rFonts w:hint="default" w:ascii="Times New Roman" w:hAnsi="Times New Roman" w:eastAsia="仿宋" w:cs="Times New Roman"/>
          <w:kern w:val="2"/>
          <w:sz w:val="28"/>
          <w:szCs w:val="28"/>
          <w:lang w:val="en-US" w:eastAsia="zh-CN" w:bidi="ar-SA"/>
        </w:rPr>
        <w:t>无。</w:t>
      </w:r>
    </w:p>
    <w:p w14:paraId="382DB455">
      <w:pPr>
        <w:keepNext/>
        <w:keepLines/>
        <w:spacing w:before="100" w:beforeAutospacing="1" w:after="100" w:afterAutospacing="1"/>
        <w:outlineLvl w:val="1"/>
        <w:rPr>
          <w:rFonts w:hint="default" w:ascii="Times New Roman" w:hAnsi="Times New Roman" w:eastAsia="仿宋" w:cs="Times New Roman"/>
          <w:sz w:val="28"/>
          <w:szCs w:val="28"/>
        </w:rPr>
      </w:pPr>
      <w:r>
        <w:rPr>
          <w:rFonts w:hint="default" w:ascii="Times New Roman" w:hAnsi="Times New Roman" w:eastAsia="仿宋" w:cs="Times New Roman"/>
          <w:b/>
          <w:sz w:val="28"/>
          <w:szCs w:val="28"/>
        </w:rPr>
        <w:t>九、实施标准的要求，以及组织措施、技术措施、过渡期和实施日期的建议</w:t>
      </w:r>
    </w:p>
    <w:p w14:paraId="1F81FED0">
      <w:pPr>
        <w:spacing w:line="360" w:lineRule="auto"/>
        <w:ind w:firstLine="560" w:firstLineChars="200"/>
        <w:rPr>
          <w:rFonts w:hint="default" w:ascii="Times New Roman" w:hAnsi="Times New Roman" w:eastAsia="仿宋" w:cs="Times New Roman"/>
          <w:kern w:val="2"/>
          <w:sz w:val="28"/>
          <w:szCs w:val="28"/>
          <w:lang w:val="en-US" w:eastAsia="zh-CN" w:bidi="ar-SA"/>
        </w:rPr>
      </w:pPr>
      <w:r>
        <w:rPr>
          <w:rFonts w:hint="default" w:ascii="Times New Roman" w:hAnsi="Times New Roman" w:eastAsia="仿宋" w:cs="Times New Roman"/>
          <w:kern w:val="2"/>
          <w:sz w:val="28"/>
          <w:szCs w:val="28"/>
          <w:lang w:val="en-US" w:eastAsia="zh-CN" w:bidi="ar-SA"/>
        </w:rPr>
        <w:t>无。</w:t>
      </w:r>
    </w:p>
    <w:p w14:paraId="72F4D86E">
      <w:pPr>
        <w:keepNext/>
        <w:keepLines/>
        <w:spacing w:before="100" w:beforeAutospacing="1" w:after="100" w:afterAutospacing="1"/>
        <w:outlineLvl w:val="1"/>
        <w:rPr>
          <w:rFonts w:hint="default" w:ascii="Times New Roman" w:hAnsi="Times New Roman" w:eastAsia="仿宋" w:cs="Times New Roman"/>
          <w:sz w:val="28"/>
          <w:szCs w:val="28"/>
        </w:rPr>
      </w:pPr>
      <w:r>
        <w:rPr>
          <w:rFonts w:hint="default" w:ascii="Times New Roman" w:hAnsi="Times New Roman" w:eastAsia="仿宋" w:cs="Times New Roman"/>
          <w:b/>
          <w:sz w:val="28"/>
          <w:szCs w:val="28"/>
        </w:rPr>
        <w:t>十、其他应当说明的事项</w:t>
      </w:r>
    </w:p>
    <w:p w14:paraId="585B473A">
      <w:pPr>
        <w:spacing w:line="360" w:lineRule="auto"/>
        <w:ind w:firstLine="560" w:firstLineChars="200"/>
        <w:rPr>
          <w:rFonts w:hint="default" w:ascii="Times New Roman" w:hAnsi="Times New Roman" w:eastAsia="仿宋" w:cs="Times New Roman"/>
          <w:kern w:val="2"/>
          <w:sz w:val="28"/>
          <w:szCs w:val="28"/>
          <w:lang w:val="en-US" w:eastAsia="zh-CN" w:bidi="ar-SA"/>
        </w:rPr>
      </w:pPr>
      <w:r>
        <w:rPr>
          <w:rFonts w:hint="default" w:ascii="Times New Roman" w:hAnsi="Times New Roman" w:eastAsia="仿宋" w:cs="Times New Roman"/>
          <w:kern w:val="2"/>
          <w:sz w:val="28"/>
          <w:szCs w:val="28"/>
          <w:lang w:val="en-US" w:eastAsia="zh-CN" w:bidi="ar-SA"/>
        </w:rPr>
        <w:t>无。</w:t>
      </w:r>
    </w:p>
    <w:p w14:paraId="7A107FA8">
      <w:pPr>
        <w:rPr>
          <w:rFonts w:hint="default" w:ascii="Times New Roman" w:hAnsi="Times New Roman" w:eastAsia="仿宋" w:cs="Times New Roman"/>
          <w:sz w:val="28"/>
          <w:szCs w:val="28"/>
        </w:rPr>
      </w:pPr>
    </w:p>
    <w:sectPr>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singleLevel"/>
    <w:tmpl w:val="0053208E"/>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420"/>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0703578"/>
    <w:rsid w:val="2F2E4705"/>
    <w:rsid w:val="48D52D24"/>
    <w:rsid w:val="52FE2E45"/>
    <w:rsid w:val="70170FE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5aed2cd9-fcc7-42ad-b846-8d8fe07a9417</errorID>
      <errorWord>"</errorWord>
      <group>L1_Format</group>
      <groupName>格式问题</groupName>
      <ability>L2_HalfPunc_CN</ability>
      <abilityName>全半角问题</abilityName>
      <candidateList>
        <item>“</item>
      </candidateList>
      <explain>文本全半角错误。</explain>
      <paraID>7AA47567</paraID>
      <start>177</start>
      <end>178</end>
      <status>unmodified</status>
      <modifiedWord/>
      <trackRevisions>false</trackRevisions>
    </reviewItem>
    <reviewItem>
      <errorID>e13d9beb-8b0d-4ff9-ae27-3a84deb4005c</errorID>
      <errorWord>"</errorWord>
      <group>L1_Format</group>
      <groupName>格式问题</groupName>
      <ability>L2_HalfPunc_CN</ability>
      <abilityName>全半角问题</abilityName>
      <candidateList>
        <item>”</item>
      </candidateList>
      <explain>文本全半角错误。</explain>
      <paraID>7AA47567</paraID>
      <start>182</start>
      <end>183</end>
      <status>unmodified</status>
      <modifiedWord/>
      <trackRevisions>false</trackRevisions>
    </reviewItem>
    <reviewItem>
      <errorID>aa1cfb02-1cc6-49f3-8fcd-8916ffa0b47e</errorID>
      <errorWord>"</errorWord>
      <group>L1_Format</group>
      <groupName>格式问题</groupName>
      <ability>L2_HalfPunc_CN</ability>
      <abilityName>全半角问题</abilityName>
      <candidateList>
        <item>“</item>
      </candidateList>
      <explain>文本全半角错误。</explain>
      <paraID>7AA47567</paraID>
      <start>183</start>
      <end>184</end>
      <status>unmodified</status>
      <modifiedWord/>
      <trackRevisions>false</trackRevisions>
    </reviewItem>
    <reviewItem>
      <errorID>f7fd005e-a47d-4b0f-9773-a8fe6b9bdafc</errorID>
      <errorWord>"</errorWord>
      <group>L1_Format</group>
      <groupName>格式问题</groupName>
      <ability>L2_HalfPunc_CN</ability>
      <abilityName>全半角问题</abilityName>
      <candidateList>
        <item>”</item>
      </candidateList>
      <explain>文本全半角错误。</explain>
      <paraID>7AA47567</paraID>
      <start>188</start>
      <end>189</end>
      <status>unmodified</status>
      <modifiedWord/>
      <trackRevisions>false</trackRevisions>
    </reviewItem>
    <reviewItem>
      <errorID>2326ef87-a202-48b8-a9e5-245808dc3105</errorID>
      <errorWord>"</errorWord>
      <group>L1_Format</group>
      <groupName>格式问题</groupName>
      <ability>L2_HalfPunc_CN</ability>
      <abilityName>全半角问题</abilityName>
      <candidateList>
        <item>“</item>
      </candidateList>
      <explain>文本全半角错误。</explain>
      <paraID>1D2ED554</paraID>
      <start>7</start>
      <end>8</end>
      <status>unmodified</status>
      <modifiedWord/>
      <trackRevisions>false</trackRevisions>
    </reviewItem>
    <reviewItem>
      <errorID>316de7ed-e58d-4137-b2a3-21da171e320d</errorID>
      <errorWord>"</errorWord>
      <group>L1_Format</group>
      <groupName>格式问题</groupName>
      <ability>L2_HalfPunc_CN</ability>
      <abilityName>全半角问题</abilityName>
      <candidateList>
        <item>”</item>
      </candidateList>
      <explain>文本全半角错误。</explain>
      <paraID>1D2ED554</paraID>
      <start>32</start>
      <end>33</end>
      <status>unmodified</status>
      <modifiedWord/>
      <trackRevisions>false</trackRevisions>
    </reviewItem>
    <reviewItem>
      <errorID>acd09b33-a75f-4cc8-ab7f-03c50fb16bd4</errorID>
      <errorWord>"</errorWord>
      <group>L1_Format</group>
      <groupName>格式问题</groupName>
      <ability>L2_HalfPunc_CN</ability>
      <abilityName>全半角问题</abilityName>
      <candidateList>
        <item>“</item>
      </candidateList>
      <explain>文本全半角错误。</explain>
      <paraID>5811C993</paraID>
      <start>23</start>
      <end>24</end>
      <status>unmodified</status>
      <modifiedWord/>
      <trackRevisions>false</trackRevisions>
    </reviewItem>
    <reviewItem>
      <errorID>2e990a31-cc02-4132-b1dd-6b68599225bc</errorID>
      <errorWord>"</errorWord>
      <group>L1_Format</group>
      <groupName>格式问题</groupName>
      <ability>L2_HalfPunc_CN</ability>
      <abilityName>全半角问题</abilityName>
      <candidateList>
        <item>”</item>
      </candidateList>
      <explain>文本全半角错误。</explain>
      <paraID>5811C993</paraID>
      <start>37</start>
      <end>38</end>
      <status>unmodified</status>
      <modifiedWord/>
      <trackRevisions>false</trackRevisions>
    </reviewItem>
    <reviewItem>
      <errorID>8702d4a8-00f7-4886-980d-a5267a7315ad</errorID>
      <errorWord>"</errorWord>
      <group>L1_Format</group>
      <groupName>格式问题</groupName>
      <ability>L2_HalfPunc_CN</ability>
      <abilityName>全半角问题</abilityName>
      <candidateList>
        <item>“</item>
      </candidateList>
      <explain>文本全半角错误。</explain>
      <paraID> 97EB040</paraID>
      <start>6</start>
      <end>7</end>
      <status>unmodified</status>
      <modifiedWord/>
      <trackRevisions>false</trackRevisions>
    </reviewItem>
    <reviewItem>
      <errorID>5140ddaa-b1ce-4ea6-ab10-170c7680571d</errorID>
      <errorWord>"</errorWord>
      <group>L1_Format</group>
      <groupName>格式问题</groupName>
      <ability>L2_HalfPunc_CN</ability>
      <abilityName>全半角问题</abilityName>
      <candidateList>
        <item>”</item>
      </candidateList>
      <explain>文本全半角错误。</explain>
      <paraID> 97EB040</paraID>
      <start>12</start>
      <end>13</end>
      <status>unmodified</status>
      <modifiedWord/>
      <trackRevisions>false</trackRevisions>
    </reviewItem>
    <reviewItem>
      <errorID>6c38eb53-ef66-4f1c-85fc-ccaf49960ec7</errorID>
      <errorWord>"</errorWord>
      <group>L1_Format</group>
      <groupName>格式问题</groupName>
      <ability>L2_HalfPunc_CN</ability>
      <abilityName>全半角问题</abilityName>
      <candidateList>
        <item>“</item>
      </candidateList>
      <explain>文本全半角错误。</explain>
      <paraID> 97EB040</paraID>
      <start>51</start>
      <end>52</end>
      <status>unmodified</status>
      <modifiedWord/>
      <trackRevisions>false</trackRevisions>
    </reviewItem>
    <reviewItem>
      <errorID>a137aa40-aa68-4dc6-9381-f8970f6d6fba</errorID>
      <errorWord>"</errorWord>
      <group>L1_Format</group>
      <groupName>格式问题</groupName>
      <ability>L2_HalfPunc_CN</ability>
      <abilityName>全半角问题</abilityName>
      <candidateList>
        <item>”</item>
      </candidateList>
      <explain>文本全半角错误。</explain>
      <paraID> 97EB040</paraID>
      <start>56</start>
      <end>57</end>
      <status>unmodified</status>
      <modifiedWord/>
      <trackRevisions>false</trackRevisions>
    </reviewItem>
    <reviewItem>
      <errorID>8e683c57-7bf1-4f66-a9fc-c81ed5421e59</errorID>
      <errorWord>"</errorWord>
      <group>L1_Format</group>
      <groupName>格式问题</groupName>
      <ability>L2_HalfPunc_CN</ability>
      <abilityName>全半角问题</abilityName>
      <candidateList>
        <item>“</item>
      </candidateList>
      <explain>文本全半角错误。</explain>
      <paraID> 97EB040</paraID>
      <start>58</start>
      <end>59</end>
      <status>unmodified</status>
      <modifiedWord/>
      <trackRevisions>false</trackRevisions>
    </reviewItem>
    <reviewItem>
      <errorID>1b32d0fc-85de-4b62-9f4f-1c6a674371e1</errorID>
      <errorWord>"</errorWord>
      <group>L1_Format</group>
      <groupName>格式问题</groupName>
      <ability>L2_HalfPunc_CN</ability>
      <abilityName>全半角问题</abilityName>
      <candidateList>
        <item>”</item>
      </candidateList>
      <explain>文本全半角错误。</explain>
      <paraID> 97EB040</paraID>
      <start>65</start>
      <end>66</end>
      <status>unmodified</status>
      <modifiedWord/>
      <trackRevisions>false</trackRevisions>
    </reviewItem>
    <reviewItem>
      <errorID>bb394c25-e79d-4b49-86e3-54a59a9e6eb4</errorID>
      <errorWord>"</errorWord>
      <group>L1_Format</group>
      <groupName>格式问题</groupName>
      <ability>L2_HalfPunc_CN</ability>
      <abilityName>全半角问题</abilityName>
      <candidateList>
        <item>“</item>
      </candidateList>
      <explain>文本全半角错误。</explain>
      <paraID>3F3C73CD</paraID>
      <start>6</start>
      <end>7</end>
      <status>unmodified</status>
      <modifiedWord/>
      <trackRevisions>false</trackRevisions>
    </reviewItem>
    <reviewItem>
      <errorID>bbe3333f-6223-46f1-b7c7-64d14ac873c8</errorID>
      <errorWord>"</errorWord>
      <group>L1_Format</group>
      <groupName>格式问题</groupName>
      <ability>L2_HalfPunc_CN</ability>
      <abilityName>全半角问题</abilityName>
      <candidateList>
        <item>”</item>
      </candidateList>
      <explain>文本全半角错误。</explain>
      <paraID>3F3C73CD</paraID>
      <start>11</start>
      <end>12</end>
      <status>unmodified</status>
      <modifiedWord/>
      <trackRevisions>false</trackRevisions>
    </reviewItem>
    <reviewItem>
      <errorID>33c695eb-4db5-4a87-baca-9af169250ac3</errorID>
      <errorWord>"</errorWord>
      <group>L1_Format</group>
      <groupName>格式问题</groupName>
      <ability>L2_HalfPunc_CN</ability>
      <abilityName>全半角问题</abilityName>
      <candidateList>
        <item>“</item>
      </candidateList>
      <explain>文本全半角错误。</explain>
      <paraID>3F3C73CD</paraID>
      <start>83</start>
      <end>84</end>
      <status>unmodified</status>
      <modifiedWord/>
      <trackRevisions>false</trackRevisions>
    </reviewItem>
    <reviewItem>
      <errorID>fc8bfcd0-51e6-4f7f-b5f5-397b7c630153</errorID>
      <errorWord>"</errorWord>
      <group>L1_Format</group>
      <groupName>格式问题</groupName>
      <ability>L2_HalfPunc_CN</ability>
      <abilityName>全半角问题</abilityName>
      <candidateList>
        <item>”</item>
      </candidateList>
      <explain>文本全半角错误。</explain>
      <paraID>3F3C73CD</paraID>
      <start>97</start>
      <end>98</end>
      <status>unmodified</status>
      <modifiedWord/>
      <trackRevisions>false</trackRevisions>
    </reviewItem>
    <reviewItem>
      <errorID>ad2660e0-dd29-4c9d-966a-41c81739a689</errorID>
      <errorWord>"</errorWord>
      <group>L1_Format</group>
      <groupName>格式问题</groupName>
      <ability>L2_HalfPunc_CN</ability>
      <abilityName>全半角问题</abilityName>
      <candidateList>
        <item>“</item>
      </candidateList>
      <explain>文本全半角错误。</explain>
      <paraID>3F3C73CD</paraID>
      <start>99</start>
      <end>100</end>
      <status>unmodified</status>
      <modifiedWord/>
      <trackRevisions>false</trackRevisions>
    </reviewItem>
    <reviewItem>
      <errorID>89873ad5-1896-4835-a539-3647231a5551</errorID>
      <errorWord>"</errorWord>
      <group>L1_Format</group>
      <groupName>格式问题</groupName>
      <ability>L2_HalfPunc_CN</ability>
      <abilityName>全半角问题</abilityName>
      <candidateList>
        <item>”</item>
      </candidateList>
      <explain>文本全半角错误。</explain>
      <paraID>3F3C73CD</paraID>
      <start>102</start>
      <end>103</end>
      <status>unmodified</status>
      <modifiedWord/>
      <trackRevisions>false</trackRevisions>
    </reviewItem>
    <reviewItem>
      <errorID>a9aa9259-a32b-41ba-a63c-8407bb06f906</errorID>
      <errorWord>"</errorWord>
      <group>L1_Format</group>
      <groupName>格式问题</groupName>
      <ability>L2_HalfPunc_CN</ability>
      <abilityName>全半角问题</abilityName>
      <candidateList>
        <item>“</item>
      </candidateList>
      <explain>文本全半角错误。</explain>
      <paraID> 51661A5</paraID>
      <start>8</start>
      <end>9</end>
      <status>unmodified</status>
      <modifiedWord/>
      <trackRevisions>false</trackRevisions>
    </reviewItem>
    <reviewItem>
      <errorID>0b09c054-bfa9-4152-8f87-df9245e708e0</errorID>
      <errorWord>"</errorWord>
      <group>L1_Format</group>
      <groupName>格式问题</groupName>
      <ability>L2_HalfPunc_CN</ability>
      <abilityName>全半角问题</abilityName>
      <candidateList>
        <item>”</item>
      </candidateList>
      <explain>文本全半角错误。</explain>
      <paraID> 51661A5</paraID>
      <start>11</start>
      <end>12</end>
      <status>unmodified</status>
      <modifiedWord/>
      <trackRevisions>false</trackRevisions>
    </reviewItem>
    <reviewItem>
      <errorID>0201587c-912b-4fe9-a8d9-24624ca74499</errorID>
      <errorWord>"</errorWord>
      <group>L1_Format</group>
      <groupName>格式问题</groupName>
      <ability>L2_HalfPunc_CN</ability>
      <abilityName>全半角问题</abilityName>
      <candidateList>
        <item>“</item>
      </candidateList>
      <explain>文本全半角错误。</explain>
      <paraID>236C60E8</paraID>
      <start>8</start>
      <end>9</end>
      <status>unmodified</status>
      <modifiedWord/>
      <trackRevisions>false</trackRevisions>
    </reviewItem>
    <reviewItem>
      <errorID>86746941-3ae0-464f-9607-fc4d05cf19c1</errorID>
      <errorWord>"</errorWord>
      <group>L1_Format</group>
      <groupName>格式问题</groupName>
      <ability>L2_HalfPunc_CN</ability>
      <abilityName>全半角问题</abilityName>
      <candidateList>
        <item>”</item>
      </candidateList>
      <explain>文本全半角错误。</explain>
      <paraID>236C60E8</paraID>
      <start>13</start>
      <end>14</end>
      <status>unmodified</status>
      <modifiedWord/>
      <trackRevisions>false</trackRevisions>
    </reviewItem>
    <reviewItem>
      <errorID>ec99d70b-b9f8-4f4f-8eba-75f4e81a440b</errorID>
      <errorWord>"</errorWord>
      <group>L1_Format</group>
      <groupName>格式问题</groupName>
      <ability>L2_HalfPunc_CN</ability>
      <abilityName>全半角问题</abilityName>
      <candidateList>
        <item>“</item>
      </candidateList>
      <explain>文本全半角错误。</explain>
      <paraID>1EF38187</paraID>
      <start>8</start>
      <end>9</end>
      <status>unmodified</status>
      <modifiedWord/>
      <trackRevisions>false</trackRevisions>
    </reviewItem>
    <reviewItem>
      <errorID>4c2b361e-4a27-4116-8691-315bb12e1bcc</errorID>
      <errorWord>"</errorWord>
      <group>L1_Format</group>
      <groupName>格式问题</groupName>
      <ability>L2_HalfPunc_CN</ability>
      <abilityName>全半角问题</abilityName>
      <candidateList>
        <item>”</item>
      </candidateList>
      <explain>文本全半角错误。</explain>
      <paraID>1EF38187</paraID>
      <start>13</start>
      <end>14</end>
      <status>unmodified</status>
      <modifiedWord/>
      <trackRevisions>false</trackRevisions>
    </reviewItem>
    <reviewItem>
      <errorID>b2725085-c5a3-4cdd-ab78-eb58fb807012</errorID>
      <errorWord>"</errorWord>
      <group>L1_Format</group>
      <groupName>格式问题</groupName>
      <ability>L2_HalfPunc_CN</ability>
      <abilityName>全半角问题</abilityName>
      <candidateList>
        <item>“</item>
      </candidateList>
      <explain>文本全半角错误。</explain>
      <paraID>56718AD0</paraID>
      <start>8</start>
      <end>9</end>
      <status>unmodified</status>
      <modifiedWord/>
      <trackRevisions>false</trackRevisions>
    </reviewItem>
    <reviewItem>
      <errorID>aa6f151d-8b5e-4b30-a1a7-a59d97e80496</errorID>
      <errorWord>"</errorWord>
      <group>L1_Format</group>
      <groupName>格式问题</groupName>
      <ability>L2_HalfPunc_CN</ability>
      <abilityName>全半角问题</abilityName>
      <candidateList>
        <item>”</item>
      </candidateList>
      <explain>文本全半角错误。</explain>
      <paraID>56718AD0</paraID>
      <start>14</start>
      <end>15</end>
      <status>unmodified</status>
      <modifiedWord/>
      <trackRevisions>false</trackRevisions>
    </reviewItem>
    <reviewItem>
      <errorID>7726e297-af90-400d-a81a-1501ebb5904b</errorID>
      <errorWord>"</errorWord>
      <group>L1_Format</group>
      <groupName>格式问题</groupName>
      <ability>L2_HalfPunc_CN</ability>
      <abilityName>全半角问题</abilityName>
      <candidateList>
        <item>“</item>
      </candidateList>
      <explain>文本全半角错误。</explain>
      <paraID>7B58467F</paraID>
      <start>8</start>
      <end>9</end>
      <status>unmodified</status>
      <modifiedWord/>
      <trackRevisions>false</trackRevisions>
    </reviewItem>
    <reviewItem>
      <errorID>df5f19a1-c41c-4c8c-acc6-83e35037cf30</errorID>
      <errorWord>"</errorWord>
      <group>L1_Format</group>
      <groupName>格式问题</groupName>
      <ability>L2_HalfPunc_CN</ability>
      <abilityName>全半角问题</abilityName>
      <candidateList>
        <item>”</item>
      </candidateList>
      <explain>文本全半角错误。</explain>
      <paraID>7B58467F</paraID>
      <start>14</start>
      <end>15</end>
      <status>unmodified</status>
      <modifiedWord/>
      <trackRevisions>false</trackRevisions>
    </reviewItem>
    <reviewItem>
      <errorID>166d3dc2-e405-4fc7-9eea-898aa41fe1c8</errorID>
      <errorWord>"</errorWord>
      <group>L1_Format</group>
      <groupName>格式问题</groupName>
      <ability>L2_HalfPunc_CN</ability>
      <abilityName>全半角问题</abilityName>
      <candidateList>
        <item>“</item>
      </candidateList>
      <explain>文本全半角错误。</explain>
      <paraID>27E5A155</paraID>
      <start>6</start>
      <end>7</end>
      <status>unmodified</status>
      <modifiedWord/>
      <trackRevisions>false</trackRevisions>
    </reviewItem>
    <reviewItem>
      <errorID>e030feb9-f88a-49c7-9bcb-4cac07916f0e</errorID>
      <errorWord>"</errorWord>
      <group>L1_Format</group>
      <groupName>格式问题</groupName>
      <ability>L2_HalfPunc_CN</ability>
      <abilityName>全半角问题</abilityName>
      <candidateList>
        <item>”</item>
      </candidateList>
      <explain>文本全半角错误。</explain>
      <paraID>27E5A155</paraID>
      <start>11</start>
      <end>12</end>
      <status>unmodified</status>
      <modifiedWord/>
      <trackRevisions>false</trackRevisions>
    </reviewItem>
    <reviewItem>
      <errorID>04ec8ed3-6739-464c-b273-a11d3b9b3ef2</errorID>
      <errorWord>"</errorWord>
      <group>L1_Format</group>
      <groupName>格式问题</groupName>
      <ability>L2_HalfPunc_CN</ability>
      <abilityName>全半角问题</abilityName>
      <candidateList>
        <item>“</item>
      </candidateList>
      <explain>文本全半角错误。</explain>
      <paraID>4C810C88</paraID>
      <start>6</start>
      <end>7</end>
      <status>unmodified</status>
      <modifiedWord/>
      <trackRevisions>false</trackRevisions>
    </reviewItem>
    <reviewItem>
      <errorID>de3ff480-b543-49d6-b33c-4c85e2670942</errorID>
      <errorWord>"</errorWord>
      <group>L1_Format</group>
      <groupName>格式问题</groupName>
      <ability>L2_HalfPunc_CN</ability>
      <abilityName>全半角问题</abilityName>
      <candidateList>
        <item>”</item>
      </candidateList>
      <explain>文本全半角错误。</explain>
      <paraID>4C810C88</paraID>
      <start>12</start>
      <end>13</end>
      <status>unmodified</status>
      <modifiedWord/>
      <trackRevisions>false</trackRevisions>
    </reviewItem>
    <reviewItem>
      <errorID>c29e1e85-9dfa-4943-bd94-809a21e8d53d</errorID>
      <errorWord>"</errorWord>
      <group>L1_Format</group>
      <groupName>格式问题</groupName>
      <ability>L2_HalfPunc_CN</ability>
      <abilityName>全半角问题</abilityName>
      <candidateList>
        <item>“</item>
      </candidateList>
      <explain>文本全半角错误。</explain>
      <paraID>76EA60C7</paraID>
      <start>7</start>
      <end>8</end>
      <status>unmodified</status>
      <modifiedWord/>
      <trackRevisions>false</trackRevisions>
    </reviewItem>
    <reviewItem>
      <errorID>209fd3a4-49eb-48cc-b99a-140d0fc794bf</errorID>
      <errorWord>"</errorWord>
      <group>L1_Format</group>
      <groupName>格式问题</groupName>
      <ability>L2_HalfPunc_CN</ability>
      <abilityName>全半角问题</abilityName>
      <candidateList>
        <item>”</item>
      </candidateList>
      <explain>文本全半角错误。</explain>
      <paraID>76EA60C7</paraID>
      <start>12</start>
      <end>13</end>
      <status>unmodified</status>
      <modifiedWord/>
      <trackRevisions>false</trackRevisions>
    </reviewItem>
    <reviewItem>
      <errorID>4ec1f0fa-20e2-4120-9a0f-420c4afdae21</errorID>
      <errorWord>～</errorWord>
      <group>L1_Format</group>
      <groupName>格式问题</groupName>
      <ability>L2_HalfPunc_CN</ability>
      <abilityName>全半角问题</abilityName>
      <candidateList>
        <item>~</item>
      </candidateList>
      <explain>文本全半角错误。</explain>
      <paraID>40665B68</paraID>
      <start>3</start>
      <end>4</end>
      <status>unmodified</status>
      <modifiedWord/>
      <trackRevisions>false</trackRevisions>
    </reviewItem>
    <reviewItem>
      <errorID>63423274-cdee-4838-9969-d76e2bdb12e8</errorID>
      <errorWord>（&gt;</errorWord>
      <group>L1_Punc</group>
      <groupName>标点问题</groupName>
      <ability>L2_Punc_CN</ability>
      <abilityName>标点符号问题</abilityName>
      <candidateList>
        <item>（</item>
      </candidateList>
      <explain/>
      <paraID>6CA32C6D</paraID>
      <start>71</start>
      <end>73</end>
      <status>unmodified</status>
      <modifiedWord/>
      <trackRevisions>false</trackRevisions>
    </reviewItem>
    <reviewItem>
      <errorID>c5b8816b-c55f-4242-aee2-d713deeddf7a</errorID>
      <errorWord>"</errorWord>
      <group>L1_Format</group>
      <groupName>格式问题</groupName>
      <ability>L2_HalfPunc_CN</ability>
      <abilityName>全半角问题</abilityName>
      <candidateList>
        <item>“</item>
      </candidateList>
      <explain>文本全半角错误。</explain>
      <paraID>1F6C2266</paraID>
      <start>49</start>
      <end>50</end>
      <status>unmodified</status>
      <modifiedWord/>
      <trackRevisions>false</trackRevisions>
    </reviewItem>
    <reviewItem>
      <errorID>19d97de6-2154-477b-a5db-3d81c7588221</errorID>
      <errorWord>"</errorWord>
      <group>L1_Format</group>
      <groupName>格式问题</groupName>
      <ability>L2_HalfPunc_CN</ability>
      <abilityName>全半角问题</abilityName>
      <candidateList>
        <item>”</item>
      </candidateList>
      <explain>文本全半角错误。</explain>
      <paraID>1F6C2266</paraID>
      <start>54</start>
      <end>55</end>
      <status>unmodified</status>
      <modifiedWord/>
      <trackRevisions>false</trackRevisions>
    </reviewItem>
    <reviewItem>
      <errorID>91220c55-59dc-41f0-8e89-8676fe472048</errorID>
      <errorWord>"</errorWord>
      <group>L1_Format</group>
      <groupName>格式问题</groupName>
      <ability>L2_HalfPunc_CN</ability>
      <abilityName>全半角问题</abilityName>
      <candidateList>
        <item>“</item>
      </candidateList>
      <explain>文本全半角错误。</explain>
      <paraID>1F6C2266</paraID>
      <start>55</start>
      <end>56</end>
      <status>unmodified</status>
      <modifiedWord/>
      <trackRevisions>false</trackRevisions>
    </reviewItem>
    <reviewItem>
      <errorID>35f7e2f1-9c59-4731-8b03-7a3f8e5857ff</errorID>
      <errorWord>"</errorWord>
      <group>L1_Format</group>
      <groupName>格式问题</groupName>
      <ability>L2_HalfPunc_CN</ability>
      <abilityName>全半角问题</abilityName>
      <candidateList>
        <item>”</item>
      </candidateList>
      <explain>文本全半角错误。</explain>
      <paraID>1F6C2266</paraID>
      <start>60</start>
      <end>61</end>
      <status>unmodified</status>
      <modifiedWord/>
      <trackRevisions>false</trackRevisions>
    </reviewItem>
  </reviewItems>
  <config/>
</contractReview>
</file>

<file path=customXml/itemProps1.xml><?xml version="1.0" encoding="utf-8"?>
<ds:datastoreItem xmlns:ds="http://schemas.openxmlformats.org/officeDocument/2006/customXml" ds:itemID="{b52d1cec-dd70-4bcd-9455-2ab4d4f4429c}">
  <ds:schemaRefs/>
</ds:datastoreItem>
</file>

<file path=docProps/app.xml><?xml version="1.0" encoding="utf-8"?>
<Properties xmlns="http://schemas.openxmlformats.org/officeDocument/2006/extended-properties" xmlns:vt="http://schemas.openxmlformats.org/officeDocument/2006/docPropsVTypes">
  <Pages>11</Pages>
  <Words>5560</Words>
  <Characters>6163</Characters>
  <TotalTime>38</TotalTime>
  <ScaleCrop>false</ScaleCrop>
  <LinksUpToDate>false</LinksUpToDate>
  <CharactersWithSpaces>6225</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2026-09-07T19:49:00Z</dcterms:created>
  <dc:creator>恐龙的姐姐</dc:creator>
  <cp:lastModifiedBy>Julian</cp:lastModifiedBy>
  <dcterms:modified xsi:type="dcterms:W3CDTF">2026-09-29T00:47:39Z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eyJoZGlkIjoiOGI4NjI5OTBmMDM1ODFlMDkzNDFlZTFiMWNhZWU5ZTMiLCJ1c2VySWQiOiIzMDk3NTI4ODEifQ==</vt:lpwstr>
  </property>
  <property fmtid="{D5CDD505-2E9C-101B-9397-08002B2CF9AE}" pid="3" name="KSOProductBuildVer">
    <vt:lpwstr>2052-12.1.0.28043</vt:lpwstr>
  </property>
  <property fmtid="{D5CDD505-2E9C-101B-9397-08002B2CF9AE}" pid="4" name="ICV">
    <vt:lpwstr>F1CAD9FF36DC4FD9812F5B95E96F1DE5_13</vt:lpwstr>
  </property>
</Properties>
</file>