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3F693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D30C2FB">
            <w:pPr>
              <w:pStyle w:val="19"/>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5AA688F5">
            <w:pPr>
              <w:pStyle w:val="19"/>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eastAsia="zh-CN"/>
              </w:rPr>
              <w:t>1</w:t>
            </w:r>
            <w:r>
              <w:rPr>
                <w:rFonts w:hint="eastAsia" w:ascii="黑体" w:hAnsi="黑体" w:eastAsia="黑体"/>
                <w:sz w:val="21"/>
                <w:szCs w:val="21"/>
                <w:lang w:val="en-US" w:eastAsia="zh-CN"/>
              </w:rPr>
              <w:t>1.040.30</w:t>
            </w:r>
            <w:r>
              <w:rPr>
                <w:rFonts w:ascii="黑体" w:hAnsi="黑体" w:eastAsia="黑体"/>
                <w:sz w:val="21"/>
                <w:szCs w:val="21"/>
              </w:rPr>
              <w:fldChar w:fldCharType="end"/>
            </w:r>
            <w:bookmarkEnd w:id="0"/>
          </w:p>
        </w:tc>
      </w:tr>
      <w:tr w14:paraId="35C69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D4B074F">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28"/>
              <w:tblpPr w:vertAnchor="page" w:horzAnchor="margin" w:tblpX="1" w:tblpY="341"/>
              <w:tblOverlap w:val="never"/>
              <w:tblW w:w="9242"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64907CF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14:paraId="39450421">
                  <w:pPr>
                    <w:pStyle w:val="50"/>
                    <w:framePr w:wrap="notBeside" w:vAnchor="page" w:hAnchor="page" w:x="1372" w:y="568"/>
                    <w:ind w:left="420" w:right="624"/>
                    <w:rPr>
                      <w:rFonts w:hint="eastAsia" w:ascii="宋体" w:hAnsi="宋体"/>
                      <w:sz w:val="28"/>
                      <w:szCs w:val="28"/>
                    </w:rPr>
                  </w:pPr>
                  <w: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rPr>
                      <w:rFonts w:hint="eastAsia"/>
                    </w:rPr>
                    <w:t>CSBM</w:t>
                  </w:r>
                </w:p>
              </w:tc>
            </w:tr>
          </w:tbl>
          <w:p w14:paraId="18125C45">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eastAsia="zh-CN"/>
              </w:rPr>
              <w:t>C</w:t>
            </w:r>
            <w:r>
              <w:rPr>
                <w:rFonts w:hint="eastAsia" w:ascii="黑体" w:hAnsi="黑体" w:eastAsia="黑体"/>
                <w:sz w:val="21"/>
                <w:szCs w:val="21"/>
                <w:lang w:val="en-US" w:eastAsia="zh-CN"/>
              </w:rPr>
              <w:t>30</w:t>
            </w:r>
            <w:r>
              <w:rPr>
                <w:rFonts w:ascii="黑体" w:hAnsi="黑体" w:eastAsia="黑体"/>
                <w:sz w:val="21"/>
                <w:szCs w:val="21"/>
              </w:rPr>
              <w:fldChar w:fldCharType="end"/>
            </w:r>
            <w:bookmarkEnd w:id="1"/>
          </w:p>
        </w:tc>
      </w:tr>
    </w:tbl>
    <w:p w14:paraId="45F63D2E">
      <w:pPr>
        <w:pStyle w:val="51"/>
        <w:framePr w:w="9639" w:h="624" w:hRule="exact" w:hSpace="181" w:vSpace="181" w:hAnchor="page" w:x="1305" w:y="2269"/>
        <w:rPr>
          <w:rFonts w:hint="eastAsia" w:ascii="黑体" w:hAnsi="黑体" w:eastAsia="黑体"/>
          <w:b w:val="0"/>
          <w:bCs w:val="0"/>
          <w:w w:val="100"/>
          <w:sz w:val="48"/>
          <w:szCs w:val="48"/>
        </w:rPr>
      </w:pPr>
      <w:bookmarkStart w:id="2" w:name="_Hlk26473981"/>
      <w:r>
        <w:rPr>
          <w:rFonts w:hint="eastAsia" w:ascii="黑体" w:eastAsia="黑体"/>
          <w:b w:val="0"/>
          <w:w w:val="100"/>
          <w:sz w:val="48"/>
        </w:rPr>
        <w:t>团体</w:t>
      </w:r>
      <w:r>
        <w:rPr>
          <w:rFonts w:hint="eastAsia" w:ascii="黑体" w:hAnsi="黑体" w:eastAsia="黑体"/>
          <w:b w:val="0"/>
          <w:bCs w:val="0"/>
          <w:w w:val="100"/>
          <w:sz w:val="48"/>
          <w:szCs w:val="48"/>
        </w:rPr>
        <w:t>标准</w:t>
      </w:r>
    </w:p>
    <w:bookmarkEnd w:id="2"/>
    <w:p w14:paraId="7DAD8E57">
      <w:pPr>
        <w:pStyle w:val="196"/>
      </w:pPr>
      <w:r>
        <w:t>T/</w:t>
      </w:r>
      <w:r>
        <w:fldChar w:fldCharType="begin">
          <w:ffData>
            <w:name w:val="文字1"/>
            <w:enabled/>
            <w:calcOnExit w:val="0"/>
            <w:textInput>
              <w:default w:val="XXX"/>
            </w:textInput>
          </w:ffData>
        </w:fldChar>
      </w:r>
      <w:bookmarkStart w:id="3" w:name="文字1"/>
      <w:r>
        <w:instrText xml:space="preserve"> FORMTEXT </w:instrText>
      </w:r>
      <w:r>
        <w:fldChar w:fldCharType="separate"/>
      </w:r>
      <w:r>
        <w:rPr>
          <w:rFonts w:hint="eastAsia"/>
          <w:lang w:eastAsia="zh-CN"/>
        </w:rPr>
        <w:t>C</w:t>
      </w:r>
      <w:r>
        <w:rPr>
          <w:rFonts w:hint="eastAsia"/>
          <w:lang w:val="en-US" w:eastAsia="zh-CN"/>
        </w:rPr>
        <w:t>SBM</w:t>
      </w:r>
      <w:r>
        <w:fldChar w:fldCharType="end"/>
      </w:r>
      <w:bookmarkEnd w:id="3"/>
      <w:r>
        <w:t xml:space="preserve"> </w:t>
      </w:r>
      <w:r>
        <w:fldChar w:fldCharType="begin">
          <w:ffData>
            <w:name w:val="NSTD_CODE_F"/>
            <w:enabled/>
            <w:calcOnExit w:val="0"/>
            <w:textInput>
              <w:default w:val="XXXX"/>
            </w:textInput>
          </w:ffData>
        </w:fldChar>
      </w:r>
      <w:bookmarkStart w:id="4" w:name="NSTD_CODE_F"/>
      <w:r>
        <w:instrText xml:space="preserve"> FORMTEXT </w:instrText>
      </w:r>
      <w:r>
        <w:fldChar w:fldCharType="separate"/>
      </w:r>
      <w:r>
        <w:rPr>
          <w:rFonts w:hint="eastAsia"/>
          <w:lang w:eastAsia="zh-CN"/>
        </w:rPr>
        <w:t>X</w:t>
      </w:r>
      <w:r>
        <w:rPr>
          <w:rFonts w:hint="eastAsia"/>
          <w:lang w:val="en-US" w:eastAsia="zh-CN"/>
        </w:rPr>
        <w:t>XXX</w:t>
      </w:r>
      <w:bookmarkStart w:id="121" w:name="_GoBack"/>
      <w:bookmarkEnd w:id="121"/>
      <w:r>
        <w:fldChar w:fldCharType="end"/>
      </w:r>
      <w:bookmarkEnd w:id="4"/>
      <w:r>
        <w:rPr>
          <w:rFonts w:hAnsi="黑体"/>
        </w:rPr>
        <w:t>—</w:t>
      </w:r>
      <w:r>
        <w:fldChar w:fldCharType="begin">
          <w:ffData>
            <w:name w:val="NSTD_CODE_B"/>
            <w:enabled/>
            <w:calcOnExit w:val="0"/>
            <w:textInput>
              <w:default w:val="XXXX"/>
            </w:textInput>
          </w:ffData>
        </w:fldChar>
      </w:r>
      <w:bookmarkStart w:id="5" w:name="NSTD_CODE_B"/>
      <w:r>
        <w:instrText xml:space="preserve"> FORMTEXT </w:instrText>
      </w:r>
      <w:r>
        <w:fldChar w:fldCharType="separate"/>
      </w:r>
      <w:r>
        <w:t>XXXX</w:t>
      </w:r>
      <w:r>
        <w:fldChar w:fldCharType="end"/>
      </w:r>
      <w:bookmarkEnd w:id="5"/>
    </w:p>
    <w:p w14:paraId="012A8C4C">
      <w:pPr>
        <w:pStyle w:val="197"/>
        <w:rPr>
          <w:rFonts w:hint="eastAsia" w:hAnsi="黑体"/>
        </w:rPr>
      </w:pPr>
      <w:r>
        <w:rPr>
          <w:rFonts w:hAnsi="黑体"/>
        </w:rPr>
        <w:fldChar w:fldCharType="begin">
          <w:ffData>
            <w:name w:val="OSTD_CODE"/>
            <w:enabled/>
            <w:calcOnExit w:val="0"/>
            <w:textInput/>
          </w:ffData>
        </w:fldChar>
      </w:r>
      <w:bookmarkStart w:id="6"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6"/>
    </w:p>
    <w:p w14:paraId="4462E92E">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6B8108EB">
      <w:pPr>
        <w:pStyle w:val="51"/>
        <w:framePr w:w="9639" w:h="6976" w:hRule="exact" w:hSpace="0" w:vSpace="0" w:hAnchor="page" w:y="6408"/>
        <w:jc w:val="center"/>
        <w:rPr>
          <w:rFonts w:hint="eastAsia" w:ascii="黑体" w:hAnsi="黑体" w:eastAsia="黑体"/>
          <w:b w:val="0"/>
          <w:bCs w:val="0"/>
          <w:w w:val="100"/>
        </w:rPr>
      </w:pPr>
    </w:p>
    <w:p w14:paraId="3230C1C2">
      <w:pPr>
        <w:pStyle w:val="198"/>
        <w:framePr w:h="6974" w:hRule="exact" w:x="1419" w:anchorLock="1"/>
        <w:rPr>
          <w:rFonts w:hint="eastAsia"/>
        </w:rPr>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rPr>
          <w:rFonts w:hint="eastAsia"/>
        </w:rPr>
        <w:t>医用重组弹性蛋白原料</w:t>
      </w:r>
    </w:p>
    <w:p w14:paraId="39B0D96E">
      <w:pPr>
        <w:pStyle w:val="198"/>
        <w:framePr w:h="6974" w:hRule="exact" w:x="1419" w:anchorLock="1"/>
        <w:rPr>
          <w:rFonts w:hint="eastAsia"/>
        </w:rPr>
      </w:pPr>
      <w:r>
        <w:fldChar w:fldCharType="end"/>
      </w:r>
      <w:bookmarkEnd w:id="7"/>
    </w:p>
    <w:p w14:paraId="3776DF25">
      <w:pPr>
        <w:framePr w:w="9639" w:h="6974" w:hRule="exact" w:wrap="around" w:vAnchor="page" w:hAnchor="page" w:x="1419" w:y="6408" w:anchorLock="1"/>
        <w:ind w:left="-1418"/>
      </w:pPr>
    </w:p>
    <w:p w14:paraId="341F9AF4">
      <w:pPr>
        <w:pStyle w:val="126"/>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8" w:name="ESTD_NAME"/>
      <w:r>
        <w:rPr>
          <w:rFonts w:eastAsia="黑体"/>
          <w:szCs w:val="28"/>
        </w:rPr>
        <w:instrText xml:space="preserve"> FORMTEXT </w:instrText>
      </w:r>
      <w:r>
        <w:rPr>
          <w:rFonts w:eastAsia="黑体"/>
          <w:szCs w:val="28"/>
        </w:rPr>
        <w:fldChar w:fldCharType="separate"/>
      </w:r>
      <w:r>
        <w:rPr>
          <w:rFonts w:hint="eastAsia" w:eastAsia="黑体"/>
          <w:szCs w:val="28"/>
        </w:rPr>
        <w:t xml:space="preserve">Medical </w:t>
      </w:r>
      <w:r>
        <w:rPr>
          <w:rFonts w:hint="eastAsia" w:eastAsia="黑体"/>
          <w:szCs w:val="28"/>
          <w:lang w:val="en-US" w:eastAsia="zh-CN"/>
        </w:rPr>
        <w:t>r</w:t>
      </w:r>
      <w:r>
        <w:rPr>
          <w:rFonts w:hint="eastAsia" w:eastAsia="黑体"/>
          <w:szCs w:val="28"/>
        </w:rPr>
        <w:t xml:space="preserve">ecombinant </w:t>
      </w:r>
      <w:r>
        <w:rPr>
          <w:rFonts w:hint="eastAsia" w:eastAsia="黑体"/>
          <w:szCs w:val="28"/>
          <w:lang w:val="en-US" w:eastAsia="zh-CN"/>
        </w:rPr>
        <w:t>e</w:t>
      </w:r>
      <w:r>
        <w:rPr>
          <w:rFonts w:hint="eastAsia" w:eastAsia="黑体"/>
          <w:szCs w:val="28"/>
        </w:rPr>
        <w:t xml:space="preserve">lastin </w:t>
      </w:r>
      <w:r>
        <w:rPr>
          <w:rFonts w:hint="eastAsia" w:eastAsia="黑体"/>
          <w:szCs w:val="28"/>
          <w:lang w:val="en-US" w:eastAsia="zh-CN"/>
        </w:rPr>
        <w:t>r</w:t>
      </w:r>
      <w:r>
        <w:rPr>
          <w:rFonts w:hint="eastAsia" w:eastAsia="黑体"/>
          <w:szCs w:val="28"/>
        </w:rPr>
        <w:t xml:space="preserve">aw </w:t>
      </w:r>
      <w:r>
        <w:rPr>
          <w:rFonts w:hint="eastAsia" w:eastAsia="黑体"/>
          <w:szCs w:val="28"/>
          <w:lang w:val="en-US" w:eastAsia="zh-CN"/>
        </w:rPr>
        <w:t>m</w:t>
      </w:r>
      <w:r>
        <w:rPr>
          <w:rFonts w:hint="eastAsia" w:eastAsia="黑体"/>
          <w:szCs w:val="28"/>
        </w:rPr>
        <w:t>aterial</w:t>
      </w:r>
      <w:r>
        <w:rPr>
          <w:rFonts w:eastAsia="黑体"/>
          <w:szCs w:val="28"/>
        </w:rPr>
        <w:fldChar w:fldCharType="end"/>
      </w:r>
      <w:bookmarkEnd w:id="8"/>
    </w:p>
    <w:p w14:paraId="2674F18A">
      <w:pPr>
        <w:framePr w:w="9639" w:h="6974" w:hRule="exact" w:wrap="around" w:vAnchor="page" w:hAnchor="page" w:x="1419" w:y="6408" w:anchorLock="1"/>
        <w:spacing w:line="760" w:lineRule="exact"/>
        <w:ind w:left="-1418"/>
      </w:pPr>
    </w:p>
    <w:p w14:paraId="48709917">
      <w:pPr>
        <w:pStyle w:val="126"/>
        <w:framePr w:w="9639" w:h="6974" w:hRule="exact" w:wrap="around" w:vAnchor="page" w:hAnchor="page" w:x="1419" w:y="6408" w:anchorLock="1"/>
        <w:textAlignment w:val="bottom"/>
        <w:rPr>
          <w:rFonts w:eastAsia="黑体"/>
          <w:szCs w:val="28"/>
        </w:rPr>
      </w:pPr>
    </w:p>
    <w:p w14:paraId="11825BE7">
      <w:pPr>
        <w:pStyle w:val="126"/>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9" w:name="下拉1"/>
      <w:r>
        <w:rPr>
          <w:sz w:val="24"/>
          <w:szCs w:val="28"/>
        </w:rPr>
        <w:instrText xml:space="preserve"> FORMDROPDOWN </w:instrText>
      </w:r>
      <w:r>
        <w:rPr>
          <w:sz w:val="24"/>
          <w:szCs w:val="28"/>
        </w:rPr>
        <w:fldChar w:fldCharType="separate"/>
      </w:r>
      <w:r>
        <w:rPr>
          <w:sz w:val="24"/>
          <w:szCs w:val="28"/>
        </w:rPr>
        <w:fldChar w:fldCharType="end"/>
      </w:r>
      <w:bookmarkEnd w:id="9"/>
    </w:p>
    <w:p w14:paraId="0856060D">
      <w:pPr>
        <w:pStyle w:val="126"/>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0"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0"/>
    </w:p>
    <w:p w14:paraId="6103E14F">
      <w:pPr>
        <w:pStyle w:val="126"/>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1" w:name="下拉2"/>
      <w:r>
        <w:rPr>
          <w:b/>
          <w:sz w:val="21"/>
          <w:szCs w:val="28"/>
        </w:rPr>
        <w:instrText xml:space="preserve"> FORMDROPDOWN </w:instrText>
      </w:r>
      <w:r>
        <w:rPr>
          <w:b/>
          <w:sz w:val="21"/>
          <w:szCs w:val="28"/>
        </w:rPr>
        <w:fldChar w:fldCharType="separate"/>
      </w:r>
      <w:r>
        <w:rPr>
          <w:b/>
          <w:sz w:val="21"/>
          <w:szCs w:val="28"/>
        </w:rPr>
        <w:fldChar w:fldCharType="end"/>
      </w:r>
      <w:bookmarkEnd w:id="11"/>
    </w:p>
    <w:p w14:paraId="2AFC9000">
      <w:pPr>
        <w:pStyle w:val="194"/>
        <w:framePr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2"/>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hint="eastAsia"/>
        </w:rPr>
        <w:t>发布</w:t>
      </w:r>
    </w:p>
    <w:p w14:paraId="68F762D1">
      <w:pPr>
        <w:pStyle w:val="195"/>
        <w:framePr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hint="eastAsia"/>
        </w:rPr>
        <w:t>实施</w:t>
      </w:r>
    </w:p>
    <w:p w14:paraId="230E6D23">
      <w:pPr>
        <w:pStyle w:val="152"/>
        <w:framePr w:h="584" w:hRule="exact" w:hSpace="181" w:vSpace="181" w:y="14800"/>
        <w:rPr>
          <w:rFonts w:hint="eastAsia" w:hAnsi="黑体"/>
        </w:rPr>
      </w:pPr>
      <w:r>
        <w:rPr>
          <w:rFonts w:hAnsi="黑体"/>
          <w:w w:val="100"/>
          <w:sz w:val="28"/>
        </w:rPr>
        <w:fldChar w:fldCharType="begin">
          <w:ffData>
            <w:name w:val="fm"/>
            <w:enabled/>
            <w:calcOnExit w:val="0"/>
            <w:textInput/>
          </w:ffData>
        </w:fldChar>
      </w:r>
      <w:bookmarkStart w:id="18" w:name="fm"/>
      <w:r>
        <w:rPr>
          <w:rFonts w:hAnsi="黑体"/>
          <w:w w:val="100"/>
          <w:sz w:val="28"/>
        </w:rPr>
        <w:instrText xml:space="preserve"> FORMTEXT </w:instrText>
      </w:r>
      <w:r>
        <w:rPr>
          <w:rFonts w:hAnsi="黑体"/>
          <w:w w:val="100"/>
          <w:sz w:val="28"/>
        </w:rPr>
        <w:fldChar w:fldCharType="separate"/>
      </w:r>
      <w:r>
        <w:rPr>
          <w:rFonts w:hint="eastAsia" w:hAnsi="黑体"/>
          <w:w w:val="100"/>
          <w:sz w:val="28"/>
        </w:rPr>
        <w:t>中国生物材料学会</w:t>
      </w:r>
      <w:r>
        <w:rPr>
          <w:rFonts w:hAnsi="黑体"/>
          <w:w w:val="100"/>
          <w:sz w:val="28"/>
        </w:rPr>
        <w:fldChar w:fldCharType="end"/>
      </w:r>
      <w:bookmarkEnd w:id="18"/>
      <w:r>
        <w:rPr>
          <w:rFonts w:ascii="Times New Roman"/>
          <w:w w:val="100"/>
          <w:sz w:val="28"/>
        </w:rPr>
        <w:t>  </w:t>
      </w:r>
      <w:r>
        <w:rPr>
          <w:rStyle w:val="230"/>
          <w:rFonts w:hint="eastAsia" w:hAnsi="黑体"/>
          <w:position w:val="0"/>
        </w:rPr>
        <w:t>发</w:t>
      </w:r>
      <w:r>
        <w:rPr>
          <w:rStyle w:val="230"/>
          <w:rFonts w:hint="eastAsia" w:hAnsi="黑体"/>
          <w:spacing w:val="0"/>
          <w:position w:val="0"/>
        </w:rPr>
        <w:t>布</w:t>
      </w:r>
    </w:p>
    <w:p w14:paraId="44706C57">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17E15B6A">
      <w:pPr>
        <w:pStyle w:val="92"/>
        <w:spacing w:after="360"/>
      </w:pPr>
      <w:bookmarkStart w:id="19" w:name="BookMark1"/>
      <w:r>
        <w:rPr>
          <w:rFonts w:hint="eastAsia"/>
          <w:spacing w:val="320"/>
        </w:rPr>
        <w:t>目</w:t>
      </w:r>
      <w:r>
        <w:rPr>
          <w:rFonts w:hint="eastAsia"/>
        </w:rPr>
        <w:t>次</w:t>
      </w:r>
    </w:p>
    <w:p w14:paraId="6C65625B">
      <w:pPr>
        <w:pStyle w:val="20"/>
        <w:tabs>
          <w:tab w:val="right" w:leader="dot" w:pos="9354"/>
        </w:tabs>
      </w:pPr>
      <w:r>
        <w:rPr>
          <w:rFonts w:hint="eastAsia"/>
        </w:rPr>
        <w:fldChar w:fldCharType="begin"/>
      </w:r>
      <w:r>
        <w:rPr>
          <w:rFonts w:hint="eastAsia"/>
        </w:rPr>
        <w:instrText xml:space="preserve">TOC \o "1-1" \h</w:instrText>
      </w:r>
      <w:r>
        <w:rPr>
          <w:rFonts w:hint="eastAsia"/>
        </w:rPr>
        <w:fldChar w:fldCharType="separate"/>
      </w:r>
      <w:r>
        <w:fldChar w:fldCharType="begin"/>
      </w:r>
      <w:r>
        <w:instrText xml:space="preserve"> HYPERLINK \l "_Toc16221" </w:instrText>
      </w:r>
      <w:r>
        <w:fldChar w:fldCharType="separate"/>
      </w:r>
      <w:r>
        <w:rPr>
          <w:rFonts w:hint="eastAsia" w:ascii="黑体" w:eastAsia="黑体"/>
        </w:rPr>
        <w:t xml:space="preserve">1  </w:t>
      </w:r>
      <w:r>
        <w:rPr>
          <w:rFonts w:hint="eastAsia"/>
        </w:rPr>
        <w:t>范围</w:t>
      </w:r>
      <w:r>
        <w:tab/>
      </w:r>
      <w:r>
        <w:fldChar w:fldCharType="begin"/>
      </w:r>
      <w:r>
        <w:instrText xml:space="preserve"> PAGEREF _Toc16221 \h </w:instrText>
      </w:r>
      <w:r>
        <w:fldChar w:fldCharType="separate"/>
      </w:r>
      <w:r>
        <w:t>1</w:t>
      </w:r>
      <w:r>
        <w:fldChar w:fldCharType="end"/>
      </w:r>
      <w:r>
        <w:fldChar w:fldCharType="end"/>
      </w:r>
    </w:p>
    <w:p w14:paraId="7C61766A">
      <w:pPr>
        <w:pStyle w:val="20"/>
        <w:tabs>
          <w:tab w:val="right" w:leader="dot" w:pos="9354"/>
        </w:tabs>
      </w:pPr>
      <w:r>
        <w:fldChar w:fldCharType="begin"/>
      </w:r>
      <w:r>
        <w:instrText xml:space="preserve"> HYPERLINK \l "_Toc11469" </w:instrText>
      </w:r>
      <w:r>
        <w:fldChar w:fldCharType="separate"/>
      </w:r>
      <w:r>
        <w:rPr>
          <w:rFonts w:hint="eastAsia" w:ascii="黑体" w:eastAsia="黑体"/>
        </w:rPr>
        <w:t xml:space="preserve">2  </w:t>
      </w:r>
      <w:r>
        <w:rPr>
          <w:rFonts w:hint="eastAsia"/>
        </w:rPr>
        <w:t>规范性引用文件</w:t>
      </w:r>
      <w:r>
        <w:tab/>
      </w:r>
      <w:r>
        <w:fldChar w:fldCharType="begin"/>
      </w:r>
      <w:r>
        <w:instrText xml:space="preserve"> PAGEREF _Toc11469 \h </w:instrText>
      </w:r>
      <w:r>
        <w:fldChar w:fldCharType="separate"/>
      </w:r>
      <w:r>
        <w:t>1</w:t>
      </w:r>
      <w:r>
        <w:fldChar w:fldCharType="end"/>
      </w:r>
      <w:r>
        <w:fldChar w:fldCharType="end"/>
      </w:r>
    </w:p>
    <w:p w14:paraId="6EBEF3C5">
      <w:pPr>
        <w:pStyle w:val="20"/>
        <w:tabs>
          <w:tab w:val="right" w:leader="dot" w:pos="9354"/>
        </w:tabs>
      </w:pPr>
      <w:r>
        <w:fldChar w:fldCharType="begin"/>
      </w:r>
      <w:r>
        <w:instrText xml:space="preserve"> HYPERLINK \l "_Toc23160" </w:instrText>
      </w:r>
      <w:r>
        <w:fldChar w:fldCharType="separate"/>
      </w:r>
      <w:r>
        <w:rPr>
          <w:rFonts w:hint="eastAsia" w:ascii="黑体" w:eastAsia="黑体"/>
        </w:rPr>
        <w:t xml:space="preserve">3  </w:t>
      </w:r>
      <w:r>
        <w:rPr>
          <w:rFonts w:hint="eastAsia"/>
        </w:rPr>
        <w:t>术语和定义</w:t>
      </w:r>
      <w:r>
        <w:tab/>
      </w:r>
      <w:r>
        <w:fldChar w:fldCharType="begin"/>
      </w:r>
      <w:r>
        <w:instrText xml:space="preserve"> PAGEREF _Toc23160 \h </w:instrText>
      </w:r>
      <w:r>
        <w:fldChar w:fldCharType="separate"/>
      </w:r>
      <w:r>
        <w:t>1</w:t>
      </w:r>
      <w:r>
        <w:fldChar w:fldCharType="end"/>
      </w:r>
      <w:r>
        <w:fldChar w:fldCharType="end"/>
      </w:r>
    </w:p>
    <w:p w14:paraId="5B0971AA">
      <w:pPr>
        <w:pStyle w:val="20"/>
        <w:tabs>
          <w:tab w:val="right" w:leader="dot" w:pos="9354"/>
        </w:tabs>
      </w:pPr>
      <w:r>
        <w:fldChar w:fldCharType="begin"/>
      </w:r>
      <w:r>
        <w:instrText xml:space="preserve"> HYPERLINK \l "_Toc20408" </w:instrText>
      </w:r>
      <w:r>
        <w:fldChar w:fldCharType="separate"/>
      </w:r>
      <w:r>
        <w:rPr>
          <w:rFonts w:hint="eastAsia" w:ascii="黑体" w:eastAsia="黑体"/>
        </w:rPr>
        <w:t xml:space="preserve">4  </w:t>
      </w:r>
      <w:r>
        <w:rPr>
          <w:rFonts w:hint="eastAsia"/>
        </w:rPr>
        <w:t>质量控制</w:t>
      </w:r>
      <w:r>
        <w:tab/>
      </w:r>
      <w:r>
        <w:fldChar w:fldCharType="begin"/>
      </w:r>
      <w:r>
        <w:instrText xml:space="preserve"> PAGEREF _Toc20408 \h </w:instrText>
      </w:r>
      <w:r>
        <w:fldChar w:fldCharType="separate"/>
      </w:r>
      <w:r>
        <w:t>1</w:t>
      </w:r>
      <w:r>
        <w:fldChar w:fldCharType="end"/>
      </w:r>
      <w:r>
        <w:fldChar w:fldCharType="end"/>
      </w:r>
    </w:p>
    <w:p w14:paraId="31EE86D1">
      <w:pPr>
        <w:pStyle w:val="20"/>
        <w:tabs>
          <w:tab w:val="right" w:leader="dot" w:pos="9354"/>
        </w:tabs>
      </w:pPr>
      <w:r>
        <w:fldChar w:fldCharType="begin"/>
      </w:r>
      <w:r>
        <w:instrText xml:space="preserve"> HYPERLINK \l "_Toc5284" </w:instrText>
      </w:r>
      <w:r>
        <w:fldChar w:fldCharType="separate"/>
      </w:r>
      <w:r>
        <w:rPr>
          <w:rFonts w:hint="eastAsia" w:ascii="黑体" w:eastAsia="黑体"/>
        </w:rPr>
        <w:t xml:space="preserve">5  </w:t>
      </w:r>
      <w:r>
        <w:rPr>
          <w:rFonts w:hint="eastAsia"/>
        </w:rPr>
        <w:t>要求</w:t>
      </w:r>
      <w:r>
        <w:tab/>
      </w:r>
      <w:r>
        <w:fldChar w:fldCharType="begin"/>
      </w:r>
      <w:r>
        <w:instrText xml:space="preserve"> PAGEREF _Toc5284 \h </w:instrText>
      </w:r>
      <w:r>
        <w:fldChar w:fldCharType="separate"/>
      </w:r>
      <w:r>
        <w:t>2</w:t>
      </w:r>
      <w:r>
        <w:fldChar w:fldCharType="end"/>
      </w:r>
      <w:r>
        <w:fldChar w:fldCharType="end"/>
      </w:r>
    </w:p>
    <w:p w14:paraId="1467F55D">
      <w:pPr>
        <w:pStyle w:val="20"/>
        <w:tabs>
          <w:tab w:val="right" w:leader="dot" w:pos="9354"/>
        </w:tabs>
      </w:pPr>
      <w:r>
        <w:fldChar w:fldCharType="begin"/>
      </w:r>
      <w:r>
        <w:instrText xml:space="preserve"> HYPERLINK \l "_Toc14729" </w:instrText>
      </w:r>
      <w:r>
        <w:fldChar w:fldCharType="separate"/>
      </w:r>
      <w:r>
        <w:rPr>
          <w:rFonts w:hint="eastAsia" w:ascii="黑体" w:eastAsia="黑体"/>
        </w:rPr>
        <w:t xml:space="preserve">6  </w:t>
      </w:r>
      <w:r>
        <w:rPr>
          <w:rFonts w:hint="eastAsia"/>
        </w:rPr>
        <w:t>试验方法</w:t>
      </w:r>
      <w:r>
        <w:tab/>
      </w:r>
      <w:r>
        <w:fldChar w:fldCharType="begin"/>
      </w:r>
      <w:r>
        <w:instrText xml:space="preserve"> PAGEREF _Toc14729 \h </w:instrText>
      </w:r>
      <w:r>
        <w:fldChar w:fldCharType="separate"/>
      </w:r>
      <w:r>
        <w:t>3</w:t>
      </w:r>
      <w:r>
        <w:fldChar w:fldCharType="end"/>
      </w:r>
      <w:r>
        <w:fldChar w:fldCharType="end"/>
      </w:r>
    </w:p>
    <w:p w14:paraId="2A81A402">
      <w:pPr>
        <w:pStyle w:val="20"/>
        <w:tabs>
          <w:tab w:val="right" w:leader="dot" w:pos="9354"/>
        </w:tabs>
      </w:pPr>
      <w:r>
        <w:fldChar w:fldCharType="begin"/>
      </w:r>
      <w:r>
        <w:instrText xml:space="preserve"> HYPERLINK \l "_Toc2766" </w:instrText>
      </w:r>
      <w:r>
        <w:fldChar w:fldCharType="separate"/>
      </w:r>
      <w:r>
        <w:rPr>
          <w:rFonts w:hint="eastAsia" w:ascii="黑体" w:eastAsia="黑体"/>
        </w:rPr>
        <w:t xml:space="preserve">7  </w:t>
      </w:r>
      <w:r>
        <w:rPr>
          <w:rFonts w:hint="eastAsia"/>
        </w:rPr>
        <w:t>生物学评价</w:t>
      </w:r>
      <w:r>
        <w:tab/>
      </w:r>
      <w:r>
        <w:fldChar w:fldCharType="begin"/>
      </w:r>
      <w:r>
        <w:instrText xml:space="preserve"> PAGEREF _Toc2766 \h </w:instrText>
      </w:r>
      <w:r>
        <w:fldChar w:fldCharType="separate"/>
      </w:r>
      <w:r>
        <w:t>5</w:t>
      </w:r>
      <w:r>
        <w:fldChar w:fldCharType="end"/>
      </w:r>
      <w:r>
        <w:fldChar w:fldCharType="end"/>
      </w:r>
    </w:p>
    <w:p w14:paraId="013A4ED3">
      <w:pPr>
        <w:pStyle w:val="20"/>
        <w:tabs>
          <w:tab w:val="right" w:leader="dot" w:pos="9354"/>
        </w:tabs>
      </w:pPr>
      <w:r>
        <w:fldChar w:fldCharType="begin"/>
      </w:r>
      <w:r>
        <w:instrText xml:space="preserve"> HYPERLINK \l "_Toc18009" </w:instrText>
      </w:r>
      <w:r>
        <w:fldChar w:fldCharType="separate"/>
      </w:r>
      <w:r>
        <w:rPr>
          <w:rFonts w:hint="eastAsia" w:ascii="黑体" w:eastAsia="黑体"/>
        </w:rPr>
        <w:t xml:space="preserve">8  </w:t>
      </w:r>
      <w:r>
        <w:rPr>
          <w:rFonts w:hint="eastAsia"/>
        </w:rPr>
        <w:t>检验规则</w:t>
      </w:r>
      <w:r>
        <w:tab/>
      </w:r>
      <w:r>
        <w:fldChar w:fldCharType="begin"/>
      </w:r>
      <w:r>
        <w:instrText xml:space="preserve"> PAGEREF _Toc18009 \h </w:instrText>
      </w:r>
      <w:r>
        <w:fldChar w:fldCharType="separate"/>
      </w:r>
      <w:r>
        <w:t>5</w:t>
      </w:r>
      <w:r>
        <w:fldChar w:fldCharType="end"/>
      </w:r>
      <w:r>
        <w:fldChar w:fldCharType="end"/>
      </w:r>
    </w:p>
    <w:p w14:paraId="092FD916">
      <w:pPr>
        <w:pStyle w:val="20"/>
        <w:tabs>
          <w:tab w:val="right" w:leader="dot" w:pos="9354"/>
        </w:tabs>
      </w:pPr>
      <w:r>
        <w:fldChar w:fldCharType="begin"/>
      </w:r>
      <w:r>
        <w:instrText xml:space="preserve"> HYPERLINK \l "_Toc30746" </w:instrText>
      </w:r>
      <w:r>
        <w:fldChar w:fldCharType="separate"/>
      </w:r>
      <w:r>
        <w:rPr>
          <w:rFonts w:hint="eastAsia" w:ascii="黑体" w:eastAsia="黑体"/>
        </w:rPr>
        <w:t xml:space="preserve">9  </w:t>
      </w:r>
      <w:r>
        <w:rPr>
          <w:rFonts w:hint="eastAsia"/>
        </w:rPr>
        <w:t>标志、包装、运输、贮存</w:t>
      </w:r>
      <w:r>
        <w:tab/>
      </w:r>
      <w:r>
        <w:fldChar w:fldCharType="begin"/>
      </w:r>
      <w:r>
        <w:instrText xml:space="preserve"> PAGEREF _Toc30746 \h </w:instrText>
      </w:r>
      <w:r>
        <w:fldChar w:fldCharType="separate"/>
      </w:r>
      <w:r>
        <w:t>6</w:t>
      </w:r>
      <w:r>
        <w:fldChar w:fldCharType="end"/>
      </w:r>
      <w:r>
        <w:fldChar w:fldCharType="end"/>
      </w:r>
    </w:p>
    <w:p w14:paraId="34B4D10B">
      <w:pPr>
        <w:pStyle w:val="20"/>
        <w:tabs>
          <w:tab w:val="right" w:leader="dot" w:pos="9354"/>
        </w:tabs>
      </w:pPr>
      <w:r>
        <w:fldChar w:fldCharType="begin"/>
      </w:r>
      <w:r>
        <w:instrText xml:space="preserve"> HYPERLINK \l "_Toc7774" </w:instrText>
      </w:r>
      <w:r>
        <w:fldChar w:fldCharType="separate"/>
      </w:r>
      <w:r>
        <w:rPr>
          <w:rFonts w:hint="eastAsia" w:ascii="黑体" w:eastAsia="黑体"/>
        </w:rPr>
        <w:t xml:space="preserve">10  </w:t>
      </w:r>
      <w:r>
        <w:rPr>
          <w:rFonts w:hint="eastAsia"/>
        </w:rPr>
        <w:t>有效期</w:t>
      </w:r>
      <w:r>
        <w:tab/>
      </w:r>
      <w:r>
        <w:fldChar w:fldCharType="begin"/>
      </w:r>
      <w:r>
        <w:instrText xml:space="preserve"> PAGEREF _Toc7774 \h </w:instrText>
      </w:r>
      <w:r>
        <w:fldChar w:fldCharType="separate"/>
      </w:r>
      <w:r>
        <w:t>6</w:t>
      </w:r>
      <w:r>
        <w:fldChar w:fldCharType="end"/>
      </w:r>
      <w:r>
        <w:fldChar w:fldCharType="end"/>
      </w:r>
    </w:p>
    <w:p w14:paraId="125E5287">
      <w:pPr>
        <w:pStyle w:val="20"/>
        <w:tabs>
          <w:tab w:val="right" w:leader="dot" w:pos="9354"/>
        </w:tabs>
      </w:pPr>
      <w:r>
        <w:fldChar w:fldCharType="begin"/>
      </w:r>
      <w:r>
        <w:instrText xml:space="preserve"> HYPERLINK \l "_Toc32487" </w:instrText>
      </w:r>
      <w:r>
        <w:fldChar w:fldCharType="separate"/>
      </w:r>
      <w:r>
        <w:rPr>
          <w:rFonts w:hint="eastAsia"/>
        </w:rPr>
        <w:t>附录A</w:t>
      </w:r>
      <w:r>
        <w:t xml:space="preserve"> </w:t>
      </w:r>
      <w:r>
        <w:rPr>
          <w:rFonts w:hint="eastAsia"/>
        </w:rPr>
        <w:t>（资料性 ） 重组弹性蛋白特性分析</w:t>
      </w:r>
      <w:r>
        <w:tab/>
      </w:r>
      <w:r>
        <w:fldChar w:fldCharType="begin"/>
      </w:r>
      <w:r>
        <w:instrText xml:space="preserve"> PAGEREF _Toc32487 \h </w:instrText>
      </w:r>
      <w:r>
        <w:fldChar w:fldCharType="separate"/>
      </w:r>
      <w:r>
        <w:t>7</w:t>
      </w:r>
      <w:r>
        <w:fldChar w:fldCharType="end"/>
      </w:r>
      <w:r>
        <w:fldChar w:fldCharType="end"/>
      </w:r>
    </w:p>
    <w:p w14:paraId="136A306D">
      <w:pPr>
        <w:pStyle w:val="92"/>
        <w:spacing w:after="360"/>
        <w:sectPr>
          <w:headerReference r:id="rId11" w:type="default"/>
          <w:footerReference r:id="rId12" w:type="default"/>
          <w:pgSz w:w="11906" w:h="16838"/>
          <w:pgMar w:top="1928" w:right="1134" w:bottom="1134" w:left="1134" w:header="1418" w:footer="1134" w:gutter="284"/>
          <w:pgNumType w:fmt="upperRoman" w:start="1"/>
          <w:cols w:space="425" w:num="1"/>
          <w:formProt w:val="0"/>
          <w:docGrid w:linePitch="312" w:charSpace="0"/>
        </w:sectPr>
      </w:pPr>
      <w:r>
        <w:rPr>
          <w:rFonts w:hint="eastAsia"/>
        </w:rPr>
        <w:fldChar w:fldCharType="end"/>
      </w:r>
    </w:p>
    <w:bookmarkEnd w:id="19"/>
    <w:p w14:paraId="75A83333">
      <w:pPr>
        <w:pStyle w:val="90"/>
        <w:bidi w:val="0"/>
        <w:spacing w:before="560"/>
        <w:rPr>
          <w:rFonts w:hint="eastAsia"/>
          <w:lang w:eastAsia="zh-CN"/>
        </w:rPr>
      </w:pPr>
      <w:bookmarkStart w:id="20" w:name="BookMark2"/>
      <w:r>
        <w:rPr>
          <w:rFonts w:hint="eastAsia"/>
          <w:spacing w:val="320"/>
          <w:lang w:eastAsia="zh-CN"/>
        </w:rPr>
        <w:t>前</w:t>
      </w:r>
      <w:r>
        <w:rPr>
          <w:rFonts w:hint="eastAsia"/>
          <w:lang w:eastAsia="zh-CN"/>
        </w:rPr>
        <w:t>言</w:t>
      </w:r>
    </w:p>
    <w:p w14:paraId="3980ACFA">
      <w:pPr>
        <w:pStyle w:val="57"/>
        <w:bidi w:val="0"/>
        <w:rPr>
          <w:rFonts w:hint="eastAsia"/>
          <w:lang w:eastAsia="zh-CN"/>
        </w:rPr>
      </w:pPr>
      <w:r>
        <w:rPr>
          <w:rFonts w:hint="eastAsia"/>
          <w:lang w:eastAsia="zh-CN"/>
        </w:rPr>
        <w:t>本文件按照GB/T 1.1—2020《标准化工作导则  第1部分：标准化文件的结构和起草规则》的规定起草。</w:t>
      </w:r>
    </w:p>
    <w:p w14:paraId="2FEF3E24">
      <w:pPr>
        <w:pStyle w:val="57"/>
        <w:bidi w:val="0"/>
        <w:rPr>
          <w:rFonts w:hint="eastAsia"/>
          <w:lang w:eastAsia="zh-CN"/>
        </w:rPr>
      </w:pPr>
      <w:r>
        <w:rPr>
          <w:rFonts w:hint="eastAsia"/>
          <w:lang w:eastAsia="zh-CN"/>
        </w:rPr>
        <w:t>本文件由中国生物材料学会提出。</w:t>
      </w:r>
    </w:p>
    <w:p w14:paraId="5F9797C3">
      <w:pPr>
        <w:pStyle w:val="57"/>
        <w:bidi w:val="0"/>
        <w:rPr>
          <w:rFonts w:hint="eastAsia"/>
          <w:lang w:eastAsia="zh-CN"/>
        </w:rPr>
      </w:pPr>
      <w:r>
        <w:rPr>
          <w:rFonts w:hint="eastAsia"/>
          <w:lang w:eastAsia="zh-CN"/>
        </w:rPr>
        <w:t>本文件由中国生物材料学会标准工作委员会归口。</w:t>
      </w:r>
    </w:p>
    <w:p w14:paraId="2CD2E290">
      <w:pPr>
        <w:pStyle w:val="57"/>
        <w:bidi w:val="0"/>
        <w:rPr>
          <w:rFonts w:hint="default"/>
          <w:lang w:val="en-US" w:eastAsia="zh-CN"/>
        </w:rPr>
      </w:pPr>
      <w:r>
        <w:rPr>
          <w:rFonts w:hint="eastAsia"/>
          <w:lang w:eastAsia="zh-CN"/>
        </w:rPr>
        <w:t>本文件起草单位：广西璟炜生物技术有限公司、广西壮族自治区食品药品审评查验中心、国家军事医学研究院、广西大学、浙江大学医学院附属邵逸夫医院、中国海洋大学、北京工业大学、南方医科大学、广西医科大学、西南大学、广西壮族自治区医疗器械检测中心、玉林市食品药品检验检测中心、广西医科大学附属武鸣医院、广东璟炜生物科技有限公司、广西壮族自治区药品监督管理局、中绍宣科技集团有限公司、华熙生物科技股份有限公司。</w:t>
      </w:r>
    </w:p>
    <w:p w14:paraId="769F535A">
      <w:pPr>
        <w:pStyle w:val="57"/>
        <w:bidi w:val="0"/>
        <w:rPr>
          <w:rFonts w:hint="eastAsia"/>
          <w:lang w:eastAsia="zh-CN"/>
        </w:rPr>
      </w:pPr>
      <w:r>
        <w:rPr>
          <w:rFonts w:hint="eastAsia"/>
          <w:lang w:eastAsia="zh-CN"/>
        </w:rPr>
        <w:t>本文件主要起草人：梁奕福、陆梅元、王华、王成华、谈伟强、赵雪、贾润清、于梦、许胜、徐立、唐青平、黎强、周颖、周晓婷、吴寅、彭皖春、李小燕。</w:t>
      </w:r>
    </w:p>
    <w:p w14:paraId="260B9962">
      <w:pPr>
        <w:pStyle w:val="57"/>
        <w:bidi w:val="0"/>
        <w:rPr>
          <w:rFonts w:hint="eastAsia"/>
          <w:lang w:eastAsia="zh-CN"/>
        </w:rPr>
      </w:pPr>
    </w:p>
    <w:p w14:paraId="715DD694">
      <w:pPr>
        <w:pStyle w:val="57"/>
        <w:bidi w:val="0"/>
        <w:rPr>
          <w:rFonts w:hint="eastAsia"/>
          <w:lang w:eastAsia="zh-CN"/>
        </w:rPr>
        <w:sectPr>
          <w:pgSz w:w="11906" w:h="16838"/>
          <w:pgMar w:top="1928" w:right="1134" w:bottom="1134" w:left="1134" w:header="1418" w:footer="1134" w:gutter="284"/>
          <w:pgNumType w:fmt="upperRoman"/>
          <w:cols w:space="425" w:num="1"/>
          <w:formProt w:val="0"/>
          <w:docGrid w:linePitch="312" w:charSpace="0"/>
        </w:sectPr>
      </w:pPr>
    </w:p>
    <w:bookmarkEnd w:id="20"/>
    <w:p w14:paraId="6182E3D5">
      <w:pPr>
        <w:spacing w:line="20" w:lineRule="exact"/>
        <w:jc w:val="center"/>
        <w:rPr>
          <w:rFonts w:hint="eastAsia" w:ascii="黑体" w:hAnsi="黑体" w:eastAsia="黑体"/>
          <w:sz w:val="32"/>
          <w:szCs w:val="32"/>
        </w:rPr>
      </w:pPr>
      <w:bookmarkStart w:id="21" w:name="BookMark4"/>
    </w:p>
    <w:p w14:paraId="69EB10D5">
      <w:pPr>
        <w:spacing w:line="20" w:lineRule="exact"/>
        <w:jc w:val="center"/>
        <w:rPr>
          <w:rFonts w:hint="eastAsia" w:ascii="黑体" w:hAnsi="黑体" w:eastAsia="黑体"/>
          <w:sz w:val="32"/>
          <w:szCs w:val="32"/>
        </w:rPr>
      </w:pPr>
    </w:p>
    <w:sdt>
      <w:sdtPr>
        <w:tag w:val="NEW_STAND_NAME"/>
        <w:id w:val="595910757"/>
        <w:lock w:val="sdtLocked"/>
        <w:placeholder>
          <w:docPart w:val="37554C8FE5DA4B9FB292E64524B3D244"/>
        </w:placeholder>
      </w:sdtPr>
      <w:sdtContent>
        <w:p w14:paraId="2048647C">
          <w:pPr>
            <w:pStyle w:val="178"/>
            <w:bidi w:val="0"/>
            <w:spacing w:before="313" w:beforeLines="100" w:after="687" w:afterLines="220"/>
            <w:rPr>
              <w:rFonts w:hint="eastAsia"/>
              <w:lang w:eastAsia="zh-CN"/>
            </w:rPr>
          </w:pPr>
          <w:bookmarkStart w:id="22" w:name="NEW_STAND_NAME"/>
          <w:r>
            <w:rPr>
              <w:rFonts w:hint="eastAsia"/>
              <w:lang w:eastAsia="zh-CN"/>
            </w:rPr>
            <w:t>医用重组弹性蛋白原料</w:t>
          </w:r>
        </w:p>
        <w:p w14:paraId="29921822">
          <w:pPr>
            <w:pStyle w:val="178"/>
            <w:rPr>
              <w:rFonts w:hint="eastAsia"/>
            </w:rPr>
          </w:pPr>
        </w:p>
      </w:sdtContent>
    </w:sdt>
    <w:bookmarkEnd w:id="22"/>
    <w:p w14:paraId="3C7BA0F0">
      <w:pPr>
        <w:pStyle w:val="105"/>
        <w:spacing w:before="240" w:after="240"/>
      </w:pPr>
      <w:bookmarkStart w:id="23" w:name="_Toc31025"/>
      <w:bookmarkStart w:id="24" w:name="_Toc26718930"/>
      <w:bookmarkStart w:id="25" w:name="_Toc24884218"/>
      <w:bookmarkStart w:id="26" w:name="_Toc17233325"/>
      <w:bookmarkStart w:id="27" w:name="_Toc26648465"/>
      <w:bookmarkStart w:id="28" w:name="_Toc97192964"/>
      <w:bookmarkStart w:id="29" w:name="_Toc26986771"/>
      <w:bookmarkStart w:id="30" w:name="_Toc16221"/>
      <w:bookmarkStart w:id="31" w:name="_Toc26986530"/>
      <w:bookmarkStart w:id="32" w:name="_Toc17233333"/>
      <w:bookmarkStart w:id="33" w:name="_Toc20495"/>
      <w:bookmarkStart w:id="34" w:name="_Toc24884211"/>
      <w:r>
        <w:rPr>
          <w:rFonts w:hint="eastAsia"/>
        </w:rPr>
        <w:t>范围</w:t>
      </w:r>
      <w:bookmarkEnd w:id="23"/>
      <w:bookmarkEnd w:id="24"/>
      <w:bookmarkEnd w:id="25"/>
      <w:bookmarkEnd w:id="26"/>
      <w:bookmarkEnd w:id="27"/>
      <w:bookmarkEnd w:id="28"/>
      <w:bookmarkEnd w:id="29"/>
      <w:bookmarkEnd w:id="30"/>
      <w:bookmarkEnd w:id="31"/>
      <w:bookmarkEnd w:id="32"/>
      <w:bookmarkEnd w:id="33"/>
      <w:bookmarkEnd w:id="34"/>
    </w:p>
    <w:p w14:paraId="4EFD45B1">
      <w:pPr>
        <w:pStyle w:val="57"/>
        <w:ind w:firstLine="420"/>
      </w:pPr>
      <w:bookmarkStart w:id="35" w:name="_Toc17233334"/>
      <w:bookmarkStart w:id="36" w:name="_Toc24884219"/>
      <w:bookmarkStart w:id="37" w:name="_Toc17233326"/>
      <w:bookmarkStart w:id="38" w:name="_Toc24884212"/>
      <w:bookmarkStart w:id="39" w:name="_Toc26648466"/>
      <w:r>
        <w:rPr>
          <w:rFonts w:hint="eastAsia"/>
        </w:rPr>
        <w:t>本文件规定了医用重组弹性蛋白原料的质量控制、技术要求、试验方法、稳定性、生物学评价、检验规则、标志、包装、运输和贮存等内容。</w:t>
      </w:r>
    </w:p>
    <w:p w14:paraId="68097E6C">
      <w:pPr>
        <w:pStyle w:val="57"/>
        <w:ind w:firstLine="420"/>
      </w:pPr>
      <w:r>
        <w:rPr>
          <w:rFonts w:hint="eastAsia"/>
        </w:rPr>
        <w:t>本文件适用于作为医疗器械原材料的医用重组弹性蛋白原料的质量控制。</w:t>
      </w:r>
    </w:p>
    <w:p w14:paraId="18710FF4">
      <w:pPr>
        <w:pStyle w:val="105"/>
        <w:spacing w:before="240" w:after="240"/>
      </w:pPr>
      <w:bookmarkStart w:id="40" w:name="_Toc26986531"/>
      <w:bookmarkStart w:id="41" w:name="_Toc16464"/>
      <w:bookmarkStart w:id="42" w:name="_Toc26986772"/>
      <w:bookmarkStart w:id="43" w:name="_Toc26718931"/>
      <w:bookmarkStart w:id="44" w:name="_Toc97192965"/>
      <w:bookmarkStart w:id="45" w:name="_Toc30923"/>
      <w:bookmarkStart w:id="46" w:name="_Toc11469"/>
      <w:r>
        <w:rPr>
          <w:rFonts w:hint="eastAsia"/>
        </w:rPr>
        <w:t>规范性引用文件</w:t>
      </w:r>
      <w:bookmarkEnd w:id="35"/>
      <w:bookmarkEnd w:id="36"/>
      <w:bookmarkEnd w:id="37"/>
      <w:bookmarkEnd w:id="38"/>
      <w:bookmarkEnd w:id="39"/>
      <w:bookmarkEnd w:id="40"/>
      <w:bookmarkEnd w:id="41"/>
      <w:bookmarkEnd w:id="42"/>
      <w:bookmarkEnd w:id="43"/>
      <w:bookmarkEnd w:id="44"/>
      <w:bookmarkEnd w:id="45"/>
      <w:bookmarkEnd w:id="46"/>
    </w:p>
    <w:sdt>
      <w:sdtPr>
        <w:rPr>
          <w:rFonts w:hint="eastAsia"/>
        </w:rPr>
        <w:id w:val="715848253"/>
        <w:placeholder>
          <w:docPart w:val="7AB8F6F630504AF19735832308C14B5B"/>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66EAFAE7">
          <w:pPr>
            <w:pStyle w:val="57"/>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00EC3378">
      <w:pPr>
        <w:pStyle w:val="57"/>
        <w:ind w:firstLine="42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GB/T 16886.1  医疗器械生物学评价第1部分：风险管理过程中的评价与试验</w:t>
      </w:r>
    </w:p>
    <w:p w14:paraId="7A7176B9">
      <w:pPr>
        <w:pStyle w:val="57"/>
        <w:ind w:firstLine="420"/>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GB/T 16886.20</w:t>
      </w:r>
      <w:r>
        <w:rPr>
          <w:rFonts w:hint="eastAsia"/>
          <w:color w:val="000000" w:themeColor="text1"/>
          <w:lang w:val="en-US" w:eastAsia="zh-CN"/>
          <w14:textFill>
            <w14:solidFill>
              <w14:schemeClr w14:val="tx1"/>
            </w14:solidFill>
          </w14:textFill>
        </w:rPr>
        <w:t xml:space="preserve">  医疗器械生物学评价 第20部分：医疗器械免疫毒理学试验原则和方法</w:t>
      </w:r>
    </w:p>
    <w:p w14:paraId="7EE304E7">
      <w:pPr>
        <w:pStyle w:val="57"/>
        <w:ind w:firstLine="42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YY/T 1465</w:t>
      </w:r>
      <w:r>
        <w:rPr>
          <w:rFonts w:hint="eastAsia"/>
          <w:color w:val="000000" w:themeColor="text1"/>
          <w:lang w:val="en-US" w:eastAsia="zh-CN"/>
          <w14:textFill>
            <w14:solidFill>
              <w14:schemeClr w14:val="tx1"/>
            </w14:solidFill>
          </w14:textFill>
        </w:rPr>
        <w:t xml:space="preserve">（所有部分） </w:t>
      </w:r>
      <w:r>
        <w:rPr>
          <w:rFonts w:hint="default"/>
          <w:color w:val="000000" w:themeColor="text1"/>
          <w:lang w:val="en-US" w:eastAsia="zh-CN"/>
          <w14:textFill>
            <w14:solidFill>
              <w14:schemeClr w14:val="tx1"/>
            </w14:solidFill>
          </w14:textFill>
        </w:rPr>
        <w:t>医疗器械免疫原性评价方法</w:t>
      </w:r>
    </w:p>
    <w:p w14:paraId="34F6A7AE">
      <w:pPr>
        <w:pStyle w:val="57"/>
        <w:ind w:firstLine="42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YY/T 1849—2022  重组胶原蛋白</w:t>
      </w:r>
    </w:p>
    <w:p w14:paraId="1A8E983A">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《中华人民共和国药典》（2025年版）</w:t>
      </w:r>
    </w:p>
    <w:p w14:paraId="169810F6">
      <w:pPr>
        <w:pStyle w:val="105"/>
        <w:spacing w:before="240" w:after="240"/>
      </w:pPr>
      <w:bookmarkStart w:id="47" w:name="_Toc23160"/>
      <w:bookmarkStart w:id="48" w:name="_Toc97192966"/>
      <w:bookmarkStart w:id="49" w:name="_Toc1131"/>
      <w:bookmarkStart w:id="50" w:name="_Toc29461"/>
      <w:r>
        <w:rPr>
          <w:rFonts w:hint="eastAsia"/>
          <w:szCs w:val="21"/>
        </w:rPr>
        <w:t>术语和定义</w:t>
      </w:r>
      <w:bookmarkEnd w:id="47"/>
      <w:bookmarkEnd w:id="48"/>
      <w:bookmarkEnd w:id="49"/>
      <w:bookmarkEnd w:id="50"/>
    </w:p>
    <w:sdt>
      <w:sdtPr>
        <w:id w:val="-1909835108"/>
        <w:placeholder>
          <w:docPart w:val="E2E4DD8F30F7499B8F2E9EF63130012B"/>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4416F541">
          <w:pPr>
            <w:pStyle w:val="57"/>
            <w:ind w:firstLine="420"/>
            <w:rPr>
              <w:rFonts w:hint="eastAsia" w:ascii="黑体" w:hAnsi="黑体" w:eastAsia="黑体" w:cs="黑体"/>
            </w:rPr>
          </w:pPr>
          <w:bookmarkStart w:id="51" w:name="_Toc26986532"/>
          <w:bookmarkEnd w:id="51"/>
          <w:r>
            <w:t>下列术语和定义适用于本文件。</w:t>
          </w:r>
        </w:p>
      </w:sdtContent>
    </w:sdt>
    <w:p w14:paraId="47B9E64F">
      <w:pPr>
        <w:pStyle w:val="224"/>
        <w:ind w:left="420" w:hanging="420" w:hangingChars="200"/>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br w:type="textWrapping"/>
      </w:r>
      <w:r>
        <w:rPr>
          <w:rFonts w:hint="eastAsia" w:ascii="黑体" w:hAnsi="黑体" w:eastAsia="黑体" w:cs="黑体"/>
          <w:color w:val="000000" w:themeColor="text1"/>
          <w14:textFill>
            <w14:solidFill>
              <w14:schemeClr w14:val="tx1"/>
            </w14:solidFill>
          </w14:textFill>
        </w:rPr>
        <w:t>弹性蛋白 elastin</w:t>
      </w:r>
    </w:p>
    <w:p w14:paraId="6908114F">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具有特征性疏水重复多肽序列，可发生温敏相变，具备弹性回缩等生物学功能的蛋白质及其多肽。</w:t>
      </w:r>
    </w:p>
    <w:p w14:paraId="2AC6C963">
      <w:pPr>
        <w:pStyle w:val="224"/>
        <w:ind w:left="420" w:hanging="420" w:hangingChars="200"/>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br w:type="textWrapping"/>
      </w:r>
      <w:r>
        <w:rPr>
          <w:rFonts w:hint="eastAsia" w:ascii="黑体" w:hAnsi="黑体" w:eastAsia="黑体" w:cs="黑体"/>
          <w:color w:val="000000" w:themeColor="text1"/>
          <w14:textFill>
            <w14:solidFill>
              <w14:schemeClr w14:val="tx1"/>
            </w14:solidFill>
          </w14:textFill>
        </w:rPr>
        <w:t>重组弹性蛋白 recombinant elastin</w:t>
      </w:r>
    </w:p>
    <w:p w14:paraId="792254AF">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采用重组DNA技术，对编码所需人弹性蛋白的基因进行遗传操作和（或）修饰，利用质粒或病毒载体将目的基因导入适当的宿主细胞（细菌、酵母或其他真核细胞等）中，表达并翻译成弹性蛋白或类似弹性蛋白的多肽，经过提取和纯化等步骤制备而成。</w:t>
      </w:r>
    </w:p>
    <w:p w14:paraId="5833E4AA">
      <w:pPr>
        <w:pStyle w:val="105"/>
        <w:spacing w:before="240" w:after="240"/>
      </w:pPr>
      <w:bookmarkStart w:id="52" w:name="_Toc20408"/>
      <w:bookmarkStart w:id="53" w:name="_Toc14578"/>
      <w:bookmarkStart w:id="54" w:name="_Toc24728"/>
      <w:r>
        <w:rPr>
          <w:rFonts w:hint="eastAsia"/>
        </w:rPr>
        <w:t>质量控制</w:t>
      </w:r>
      <w:bookmarkEnd w:id="52"/>
      <w:bookmarkEnd w:id="53"/>
    </w:p>
    <w:p w14:paraId="35F1F848">
      <w:pPr>
        <w:pStyle w:val="106"/>
        <w:spacing w:before="120" w:after="120"/>
      </w:pPr>
      <w:bookmarkStart w:id="55" w:name="_Toc28955"/>
      <w:r>
        <w:rPr>
          <w:rFonts w:hint="eastAsia"/>
        </w:rPr>
        <w:t>通则</w:t>
      </w:r>
      <w:bookmarkEnd w:id="55"/>
    </w:p>
    <w:p w14:paraId="758BABBC">
      <w:pPr>
        <w:pStyle w:val="166"/>
      </w:pPr>
      <w:r>
        <w:rPr>
          <w:rFonts w:hint="eastAsia"/>
        </w:rPr>
        <w:t>由于重组基因片段序列、表达体系差异，重组弹性蛋白产物的氨基酸组成、分子量、二级结构、相变特性会存在差异，甚至得到全新多肽产物，宜开展全面特性分析（见附录 A），实施严格质量控制。</w:t>
      </w:r>
    </w:p>
    <w:p w14:paraId="3D630CF8">
      <w:pPr>
        <w:pStyle w:val="166"/>
      </w:pPr>
      <w:r>
        <w:rPr>
          <w:rFonts w:hint="eastAsia"/>
        </w:rPr>
        <w:t>重组弹性蛋白质量控制与分子量、结构特性、质量属性、生产工艺密切相关。质量控制体系包含原辅料质量控制、生产工艺与过程控制、终产品检测。应结合成品检测、过程控制、工艺验证，保证各类杂质去除或降低至可接受水平。</w:t>
      </w:r>
    </w:p>
    <w:p w14:paraId="5633847D">
      <w:pPr>
        <w:pStyle w:val="106"/>
        <w:spacing w:before="120" w:after="120"/>
      </w:pPr>
      <w:bookmarkStart w:id="56" w:name="_Toc29592"/>
      <w:r>
        <w:rPr>
          <w:rFonts w:hint="eastAsia"/>
        </w:rPr>
        <w:t>制备工艺的质量控制</w:t>
      </w:r>
      <w:bookmarkEnd w:id="56"/>
    </w:p>
    <w:p w14:paraId="4CEB401F">
      <w:pPr>
        <w:pStyle w:val="166"/>
      </w:pPr>
      <w:r>
        <w:rPr>
          <w:rFonts w:hint="eastAsia"/>
        </w:rPr>
        <w:t>重组弹性蛋白属于重组DNA来源蛋白，参照《中华人民共和国药典》“人用重组DNA蛋白制品总论”中“制造”章节全部要求执行。</w:t>
      </w:r>
    </w:p>
    <w:p w14:paraId="4502F73F">
      <w:pPr>
        <w:pStyle w:val="166"/>
      </w:pPr>
      <w:r>
        <w:rPr>
          <w:rFonts w:hint="eastAsia"/>
        </w:rPr>
        <w:t>包括：工程宿主细胞（细菌、酵母或其他真核细胞）控制（表达载体、细胞库系统、细胞库质量控制、宿主遗传稳定性）；生产过程控制（发酵培养、提取纯化、原液、半成品、成品）；工艺变更管理。不适用条款应提供合理解释说明。</w:t>
      </w:r>
    </w:p>
    <w:p w14:paraId="34CC567A">
      <w:pPr>
        <w:pStyle w:val="106"/>
        <w:spacing w:before="120" w:after="120"/>
      </w:pPr>
      <w:bookmarkStart w:id="57" w:name="_Toc9895"/>
      <w:r>
        <w:rPr>
          <w:rFonts w:hint="eastAsia"/>
        </w:rPr>
        <w:t>重组弹性蛋白成品的质量控制</w:t>
      </w:r>
      <w:bookmarkEnd w:id="57"/>
    </w:p>
    <w:p w14:paraId="3AFBB5E8">
      <w:pPr>
        <w:pStyle w:val="166"/>
      </w:pPr>
      <w:r>
        <w:rPr>
          <w:rFonts w:hint="eastAsia"/>
        </w:rPr>
        <w:t>成品质量控制宜采用参比品与经验证的检测方法，评估已知及潜在产物相关杂质、工艺相关杂质。</w:t>
      </w:r>
    </w:p>
    <w:p w14:paraId="53CEF659">
      <w:pPr>
        <w:pStyle w:val="166"/>
      </w:pPr>
      <w:r>
        <w:rPr>
          <w:rFonts w:hint="eastAsia"/>
        </w:rPr>
        <w:t>应对鉴别、理化指标、生物学功能、杂质项目开展检测分析。</w:t>
      </w:r>
    </w:p>
    <w:p w14:paraId="7D925E09">
      <w:pPr>
        <w:pStyle w:val="166"/>
      </w:pPr>
      <w:r>
        <w:rPr>
          <w:rFonts w:hint="eastAsia"/>
        </w:rPr>
        <w:t>应选择经过充分验证、稳定性可靠的代表性批次建立参比品，用于鉴别、理化、生物学功能验证；参比品制备、保存参照《中华人民共和国药典》生物标准物质相关要求。</w:t>
      </w:r>
    </w:p>
    <w:p w14:paraId="3EBBCEE3">
      <w:pPr>
        <w:pStyle w:val="105"/>
        <w:spacing w:before="240" w:after="240"/>
      </w:pPr>
      <w:bookmarkStart w:id="58" w:name="_Toc27541"/>
      <w:bookmarkStart w:id="59" w:name="_Toc5284"/>
      <w:r>
        <w:rPr>
          <w:rFonts w:hint="eastAsia"/>
        </w:rPr>
        <w:t>要求</w:t>
      </w:r>
      <w:bookmarkEnd w:id="54"/>
      <w:bookmarkEnd w:id="58"/>
      <w:bookmarkEnd w:id="59"/>
    </w:p>
    <w:p w14:paraId="51B6B03D">
      <w:pPr>
        <w:pStyle w:val="106"/>
        <w:spacing w:before="120" w:after="120"/>
      </w:pPr>
      <w:bookmarkStart w:id="60" w:name="_Toc5444"/>
      <w:bookmarkStart w:id="61" w:name="_Toc6512"/>
      <w:r>
        <w:rPr>
          <w:rFonts w:hint="eastAsia"/>
        </w:rPr>
        <w:t>鉴别</w:t>
      </w:r>
      <w:bookmarkEnd w:id="60"/>
      <w:bookmarkEnd w:id="61"/>
    </w:p>
    <w:p w14:paraId="356288B2">
      <w:pPr>
        <w:pStyle w:val="166"/>
        <w:rPr>
          <w:color w:val="000000" w:themeColor="text1"/>
          <w14:textFill>
            <w14:solidFill>
              <w14:schemeClr w14:val="tx1"/>
            </w14:solidFill>
          </w14:textFill>
        </w:rPr>
      </w:pPr>
      <w:r>
        <w:rPr>
          <w:rFonts w:hint="eastAsia"/>
          <w:color w:val="000000" w:themeColor="text1"/>
          <w14:textFill>
            <w14:solidFill>
              <w14:schemeClr w14:val="tx1"/>
            </w14:solidFill>
          </w14:textFill>
        </w:rPr>
        <w:t>氨基酸序列：采用LC-MS/MS肽图分析，肽段序列覆盖率</w:t>
      </w:r>
      <w:r>
        <w:rPr>
          <w:rFonts w:hint="eastAsia"/>
          <w:color w:val="000000" w:themeColor="text1"/>
          <w:lang w:val="en-US" w:eastAsia="zh-CN"/>
          <w14:textFill>
            <w14:solidFill>
              <w14:schemeClr w14:val="tx1"/>
            </w14:solidFill>
          </w14:textFill>
        </w:rPr>
        <w:t>不应</w:t>
      </w:r>
      <w:r>
        <w:rPr>
          <w:rFonts w:hint="eastAsia"/>
          <w:color w:val="000000" w:themeColor="text1"/>
          <w14:textFill>
            <w14:solidFill>
              <w14:schemeClr w14:val="tx1"/>
            </w14:solidFill>
          </w14:textFill>
        </w:rPr>
        <w:t>低于95%，且匹配肽段的氨基酸序列应与理论设计序列一致；N端序列应与理论设计一致。</w:t>
      </w:r>
    </w:p>
    <w:p w14:paraId="7BB08394">
      <w:pPr>
        <w:pStyle w:val="166"/>
        <w:rPr>
          <w:color w:val="000000" w:themeColor="text1"/>
          <w14:textFill>
            <w14:solidFill>
              <w14:schemeClr w14:val="tx1"/>
            </w14:solidFill>
          </w14:textFill>
        </w:rPr>
      </w:pPr>
      <w:r>
        <w:rPr>
          <w:rFonts w:hint="eastAsia"/>
          <w:color w:val="000000" w:themeColor="text1"/>
          <w14:textFill>
            <w14:solidFill>
              <w14:schemeClr w14:val="tx1"/>
            </w14:solidFill>
          </w14:textFill>
        </w:rPr>
        <w:t>二级结构：圆二色谱（CD）光谱特征应与参比品一致，在约195 nm～200 nm处有特征负峰，在约220 nm</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230 nm处有弱负峰；应符合标识的二级结构特征。</w:t>
      </w:r>
    </w:p>
    <w:p w14:paraId="4D6B5EBF">
      <w:pPr>
        <w:pStyle w:val="166"/>
        <w:rPr>
          <w:color w:val="000000" w:themeColor="text1"/>
          <w14:textFill>
            <w14:solidFill>
              <w14:schemeClr w14:val="tx1"/>
            </w14:solidFill>
          </w14:textFill>
        </w:rPr>
      </w:pPr>
      <w:r>
        <w:rPr>
          <w:rFonts w:hint="eastAsia"/>
          <w:color w:val="000000" w:themeColor="text1"/>
          <w14:textFill>
            <w14:solidFill>
              <w14:schemeClr w14:val="tx1"/>
            </w14:solidFill>
          </w14:textFill>
        </w:rPr>
        <w:t>分子量：应符合标识要求，实测值与标识值的偏差</w:t>
      </w:r>
      <w:r>
        <w:rPr>
          <w:rFonts w:hint="eastAsia"/>
          <w:color w:val="000000" w:themeColor="text1"/>
          <w:lang w:val="en-US" w:eastAsia="zh-CN"/>
          <w14:textFill>
            <w14:solidFill>
              <w14:schemeClr w14:val="tx1"/>
            </w14:solidFill>
          </w14:textFill>
        </w:rPr>
        <w:t>不应</w:t>
      </w:r>
      <w:r>
        <w:rPr>
          <w:rFonts w:hint="eastAsia"/>
          <w:color w:val="000000" w:themeColor="text1"/>
          <w14:textFill>
            <w14:solidFill>
              <w14:schemeClr w14:val="tx1"/>
            </w14:solidFill>
          </w14:textFill>
        </w:rPr>
        <w:t>超过±10%。</w:t>
      </w:r>
    </w:p>
    <w:p w14:paraId="655B5E6C">
      <w:pPr>
        <w:pStyle w:val="166"/>
        <w:rPr>
          <w:color w:val="000000" w:themeColor="text1"/>
          <w14:textFill>
            <w14:solidFill>
              <w14:schemeClr w14:val="tx1"/>
            </w14:solidFill>
          </w14:textFill>
        </w:rPr>
      </w:pPr>
      <w:r>
        <w:rPr>
          <w:rFonts w:hint="eastAsia"/>
          <w:color w:val="000000" w:themeColor="text1"/>
          <w14:textFill>
            <w14:solidFill>
              <w14:schemeClr w14:val="tx1"/>
            </w14:solidFill>
          </w14:textFill>
        </w:rPr>
        <w:t>等电点：应在标识范围内，实测值与标识值的偏差</w:t>
      </w:r>
      <w:r>
        <w:rPr>
          <w:rFonts w:hint="eastAsia"/>
          <w:color w:val="000000" w:themeColor="text1"/>
          <w:lang w:val="en-US" w:eastAsia="zh-CN"/>
          <w14:textFill>
            <w14:solidFill>
              <w14:schemeClr w14:val="tx1"/>
            </w14:solidFill>
          </w14:textFill>
        </w:rPr>
        <w:t>不应</w:t>
      </w:r>
      <w:r>
        <w:rPr>
          <w:rFonts w:hint="eastAsia"/>
          <w:color w:val="000000" w:themeColor="text1"/>
          <w14:textFill>
            <w14:solidFill>
              <w14:schemeClr w14:val="tx1"/>
            </w14:solidFill>
          </w14:textFill>
        </w:rPr>
        <w:t>超过±0.5</w:t>
      </w:r>
      <w:r>
        <w:rPr>
          <w:rFonts w:hint="eastAsia"/>
          <w:color w:val="000000" w:themeColor="text1"/>
          <w:lang w:val="en-US" w:eastAsia="zh-CN"/>
          <w14:textFill>
            <w14:solidFill>
              <w14:schemeClr w14:val="tx1"/>
            </w14:solidFill>
          </w14:textFill>
        </w:rPr>
        <w:t xml:space="preserve"> PH</w:t>
      </w:r>
      <w:r>
        <w:rPr>
          <w:rFonts w:hint="eastAsia"/>
          <w:color w:val="000000" w:themeColor="text1"/>
          <w14:textFill>
            <w14:solidFill>
              <w14:schemeClr w14:val="tx1"/>
            </w14:solidFill>
          </w14:textFill>
        </w:rPr>
        <w:t>。</w:t>
      </w:r>
    </w:p>
    <w:p w14:paraId="7C6FA662">
      <w:pPr>
        <w:pStyle w:val="106"/>
        <w:spacing w:before="120" w:after="120"/>
      </w:pPr>
      <w:bookmarkStart w:id="62" w:name="_Toc5407"/>
      <w:bookmarkStart w:id="63" w:name="_Toc5013"/>
      <w:r>
        <w:rPr>
          <w:rFonts w:hint="eastAsia"/>
        </w:rPr>
        <w:t>感官指标</w:t>
      </w:r>
      <w:bookmarkEnd w:id="62"/>
      <w:bookmarkEnd w:id="63"/>
    </w:p>
    <w:p w14:paraId="52FFA544">
      <w:pPr>
        <w:pStyle w:val="57"/>
        <w:ind w:firstLine="420"/>
      </w:pPr>
      <w:r>
        <w:rPr>
          <w:rFonts w:hint="eastAsia"/>
        </w:rPr>
        <w:t>感官指标应符合表1的规定。</w:t>
      </w:r>
    </w:p>
    <w:p w14:paraId="4D3E467C">
      <w:pPr>
        <w:pStyle w:val="113"/>
        <w:spacing w:before="120" w:after="120"/>
      </w:pPr>
      <w:r>
        <w:rPr>
          <w:rFonts w:hint="eastAsia"/>
        </w:rPr>
        <w:t>感官指标</w:t>
      </w:r>
    </w:p>
    <w:tbl>
      <w:tblPr>
        <w:tblStyle w:val="28"/>
        <w:tblW w:w="937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283"/>
        <w:gridCol w:w="7091"/>
      </w:tblGrid>
      <w:tr w14:paraId="007824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283" w:type="dxa"/>
            <w:tcBorders>
              <w:bottom w:val="single" w:color="auto" w:sz="8" w:space="0"/>
            </w:tcBorders>
            <w:vAlign w:val="center"/>
          </w:tcPr>
          <w:p w14:paraId="54BC1CC3">
            <w:pPr>
              <w:pStyle w:val="179"/>
            </w:pPr>
            <w:r>
              <w:rPr>
                <w:rFonts w:hint="eastAsia"/>
              </w:rPr>
              <w:t>项目</w:t>
            </w:r>
          </w:p>
        </w:tc>
        <w:tc>
          <w:tcPr>
            <w:tcW w:w="7091" w:type="dxa"/>
            <w:tcBorders>
              <w:bottom w:val="single" w:color="auto" w:sz="8" w:space="0"/>
            </w:tcBorders>
            <w:vAlign w:val="center"/>
          </w:tcPr>
          <w:p w14:paraId="14565462">
            <w:pPr>
              <w:pStyle w:val="179"/>
            </w:pPr>
            <w:r>
              <w:rPr>
                <w:rFonts w:hint="eastAsia"/>
              </w:rPr>
              <w:t>指标</w:t>
            </w:r>
          </w:p>
        </w:tc>
      </w:tr>
      <w:tr w14:paraId="3C0790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83" w:type="dxa"/>
            <w:tcBorders>
              <w:top w:val="single" w:color="auto" w:sz="8" w:space="0"/>
            </w:tcBorders>
            <w:vAlign w:val="center"/>
          </w:tcPr>
          <w:p w14:paraId="6196C2C0">
            <w:pPr>
              <w:pStyle w:val="179"/>
            </w:pPr>
            <w:r>
              <w:rPr>
                <w:rFonts w:hint="eastAsia"/>
              </w:rPr>
              <w:t>外观</w:t>
            </w:r>
          </w:p>
        </w:tc>
        <w:tc>
          <w:tcPr>
            <w:tcW w:w="7091" w:type="dxa"/>
            <w:tcBorders>
              <w:top w:val="single" w:color="auto" w:sz="8" w:space="0"/>
            </w:tcBorders>
            <w:vAlign w:val="center"/>
          </w:tcPr>
          <w:p w14:paraId="5C6D07F3">
            <w:pPr>
              <w:pStyle w:val="179"/>
            </w:pPr>
            <w:r>
              <w:rPr>
                <w:rFonts w:hint="eastAsia"/>
              </w:rPr>
              <w:t>无色至淡黄色透明液体，或白色/类白色疏松海绵状固体（冻干粉），无结块、变色</w:t>
            </w:r>
          </w:p>
        </w:tc>
      </w:tr>
      <w:tr w14:paraId="62F486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83" w:type="dxa"/>
            <w:vAlign w:val="center"/>
          </w:tcPr>
          <w:p w14:paraId="70BC5043">
            <w:pPr>
              <w:pStyle w:val="179"/>
            </w:pPr>
            <w:r>
              <w:rPr>
                <w:rFonts w:hint="eastAsia"/>
              </w:rPr>
              <w:t>气味</w:t>
            </w:r>
          </w:p>
        </w:tc>
        <w:tc>
          <w:tcPr>
            <w:tcW w:w="7091" w:type="dxa"/>
            <w:vAlign w:val="center"/>
          </w:tcPr>
          <w:p w14:paraId="66AC0CE4">
            <w:pPr>
              <w:pStyle w:val="179"/>
            </w:pPr>
            <w:r>
              <w:rPr>
                <w:rFonts w:hint="eastAsia"/>
              </w:rPr>
              <w:t>无味或有微弱特征性气味</w:t>
            </w:r>
          </w:p>
        </w:tc>
      </w:tr>
      <w:tr w14:paraId="53114C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83" w:type="dxa"/>
            <w:vAlign w:val="center"/>
          </w:tcPr>
          <w:p w14:paraId="371938A8">
            <w:pPr>
              <w:pStyle w:val="179"/>
            </w:pPr>
            <w:r>
              <w:rPr>
                <w:rFonts w:hint="eastAsia"/>
              </w:rPr>
              <w:t>可见异物</w:t>
            </w:r>
          </w:p>
        </w:tc>
        <w:tc>
          <w:tcPr>
            <w:tcW w:w="7091" w:type="dxa"/>
            <w:vAlign w:val="center"/>
          </w:tcPr>
          <w:p w14:paraId="7254D070">
            <w:pPr>
              <w:pStyle w:val="179"/>
            </w:pPr>
            <w:r>
              <w:rPr>
                <w:rFonts w:hint="eastAsia"/>
              </w:rPr>
              <w:t>无明显异物</w:t>
            </w:r>
          </w:p>
        </w:tc>
      </w:tr>
    </w:tbl>
    <w:p w14:paraId="4CC17770">
      <w:pPr>
        <w:pStyle w:val="57"/>
        <w:ind w:firstLine="420"/>
      </w:pPr>
    </w:p>
    <w:p w14:paraId="7CEFCD57">
      <w:pPr>
        <w:pStyle w:val="106"/>
        <w:spacing w:before="120" w:after="120"/>
      </w:pPr>
      <w:bookmarkStart w:id="64" w:name="_Toc24767"/>
      <w:bookmarkStart w:id="65" w:name="_Toc18393"/>
      <w:r>
        <w:rPr>
          <w:rFonts w:hint="eastAsia"/>
        </w:rPr>
        <w:t>理化指标</w:t>
      </w:r>
      <w:bookmarkEnd w:id="64"/>
      <w:bookmarkEnd w:id="65"/>
    </w:p>
    <w:p w14:paraId="690DF993">
      <w:pPr>
        <w:pStyle w:val="57"/>
        <w:ind w:firstLine="420"/>
      </w:pPr>
      <w:r>
        <w:rPr>
          <w:rFonts w:hint="eastAsia"/>
        </w:rPr>
        <w:t>理化指标应符合表2的规定。</w:t>
      </w:r>
    </w:p>
    <w:p w14:paraId="7D44931D">
      <w:pPr>
        <w:pStyle w:val="113"/>
        <w:spacing w:before="120" w:after="120"/>
      </w:pPr>
      <w:r>
        <w:rPr>
          <w:rFonts w:hint="eastAsia"/>
        </w:rPr>
        <w:t>理化指标</w:t>
      </w:r>
    </w:p>
    <w:tbl>
      <w:tblPr>
        <w:tblStyle w:val="28"/>
        <w:tblW w:w="933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258"/>
        <w:gridCol w:w="7076"/>
      </w:tblGrid>
      <w:tr w14:paraId="24E54C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2258" w:type="dxa"/>
            <w:tcBorders>
              <w:bottom w:val="single" w:color="auto" w:sz="8" w:space="0"/>
            </w:tcBorders>
            <w:vAlign w:val="center"/>
          </w:tcPr>
          <w:p w14:paraId="6AA4CB6E">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项目</w:t>
            </w:r>
          </w:p>
        </w:tc>
        <w:tc>
          <w:tcPr>
            <w:tcW w:w="7076" w:type="dxa"/>
            <w:tcBorders>
              <w:bottom w:val="single" w:color="auto" w:sz="8" w:space="0"/>
            </w:tcBorders>
            <w:vAlign w:val="center"/>
          </w:tcPr>
          <w:p w14:paraId="6E96E2B6">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指标</w:t>
            </w:r>
          </w:p>
        </w:tc>
      </w:tr>
      <w:tr w14:paraId="118DD9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58" w:type="dxa"/>
            <w:tcBorders>
              <w:top w:val="single" w:color="auto" w:sz="8" w:space="0"/>
            </w:tcBorders>
            <w:vAlign w:val="center"/>
          </w:tcPr>
          <w:p w14:paraId="54B0641F">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蛋白纯度</w:t>
            </w:r>
          </w:p>
        </w:tc>
        <w:tc>
          <w:tcPr>
            <w:tcW w:w="7076" w:type="dxa"/>
            <w:tcBorders>
              <w:top w:val="single" w:color="auto" w:sz="8" w:space="0"/>
            </w:tcBorders>
            <w:vAlign w:val="center"/>
          </w:tcPr>
          <w:p w14:paraId="628BB73B">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≥98%</w:t>
            </w:r>
          </w:p>
        </w:tc>
      </w:tr>
      <w:tr w14:paraId="5FB1BA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58" w:type="dxa"/>
            <w:vAlign w:val="center"/>
          </w:tcPr>
          <w:p w14:paraId="5433C15C">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蛋白含量</w:t>
            </w:r>
          </w:p>
        </w:tc>
        <w:tc>
          <w:tcPr>
            <w:tcW w:w="7076" w:type="dxa"/>
            <w:vAlign w:val="center"/>
          </w:tcPr>
          <w:p w14:paraId="4C2B3BCF">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≥95%</w:t>
            </w:r>
          </w:p>
        </w:tc>
      </w:tr>
      <w:tr w14:paraId="2CBC0A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58" w:type="dxa"/>
            <w:vAlign w:val="center"/>
          </w:tcPr>
          <w:p w14:paraId="37C01173">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pH值</w:t>
            </w:r>
          </w:p>
        </w:tc>
        <w:tc>
          <w:tcPr>
            <w:tcW w:w="7076" w:type="dxa"/>
            <w:vAlign w:val="center"/>
          </w:tcPr>
          <w:p w14:paraId="5F8D9015">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5.5-8.0</w:t>
            </w:r>
          </w:p>
        </w:tc>
      </w:tr>
      <w:tr w14:paraId="794A2D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58" w:type="dxa"/>
            <w:vAlign w:val="center"/>
          </w:tcPr>
          <w:p w14:paraId="0D23EBF3">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水分（冻干粉）</w:t>
            </w:r>
          </w:p>
        </w:tc>
        <w:tc>
          <w:tcPr>
            <w:tcW w:w="7076" w:type="dxa"/>
            <w:vAlign w:val="center"/>
          </w:tcPr>
          <w:p w14:paraId="4D95AF5F">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≤3.0%</w:t>
            </w:r>
          </w:p>
        </w:tc>
      </w:tr>
      <w:tr w14:paraId="661949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58" w:type="dxa"/>
            <w:vAlign w:val="center"/>
          </w:tcPr>
          <w:p w14:paraId="6B0AB90D">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炽灼残渣</w:t>
            </w:r>
          </w:p>
        </w:tc>
        <w:tc>
          <w:tcPr>
            <w:tcW w:w="7076" w:type="dxa"/>
            <w:vAlign w:val="center"/>
          </w:tcPr>
          <w:p w14:paraId="779DA0C9">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≤2.0%</w:t>
            </w:r>
          </w:p>
        </w:tc>
      </w:tr>
      <w:tr w14:paraId="71B6E0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2258" w:type="dxa"/>
            <w:vAlign w:val="center"/>
          </w:tcPr>
          <w:p w14:paraId="2309A19E">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外源性DNA残留量</w:t>
            </w:r>
          </w:p>
        </w:tc>
        <w:tc>
          <w:tcPr>
            <w:tcW w:w="7076" w:type="dxa"/>
            <w:vAlign w:val="center"/>
          </w:tcPr>
          <w:p w14:paraId="1E58E7FB">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≤100 pg/mg（植入类）；≤1.5 ng/mg（体表接触类）</w:t>
            </w:r>
          </w:p>
        </w:tc>
      </w:tr>
      <w:tr w14:paraId="462A27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58" w:type="dxa"/>
            <w:vAlign w:val="center"/>
          </w:tcPr>
          <w:p w14:paraId="45D59479">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宿主蛋白质残留量</w:t>
            </w:r>
          </w:p>
        </w:tc>
        <w:tc>
          <w:tcPr>
            <w:tcW w:w="7076" w:type="dxa"/>
            <w:vAlign w:val="center"/>
          </w:tcPr>
          <w:p w14:paraId="7724524F">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≤0.01%（100 ppm）</w:t>
            </w:r>
          </w:p>
        </w:tc>
      </w:tr>
      <w:tr w14:paraId="4D280D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58" w:type="dxa"/>
            <w:vAlign w:val="center"/>
          </w:tcPr>
          <w:p w14:paraId="5CB170C2">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内毒素</w:t>
            </w:r>
          </w:p>
        </w:tc>
        <w:tc>
          <w:tcPr>
            <w:tcW w:w="7076" w:type="dxa"/>
            <w:vAlign w:val="center"/>
          </w:tcPr>
          <w:p w14:paraId="6D840762">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≤2 EU/mg（植入类）；≤10 EU/mg（体表接触类）</w:t>
            </w:r>
          </w:p>
        </w:tc>
      </w:tr>
      <w:tr w14:paraId="22D061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58" w:type="dxa"/>
            <w:vAlign w:val="center"/>
          </w:tcPr>
          <w:p w14:paraId="63ED4E21">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相变温度</w:t>
            </w:r>
          </w:p>
        </w:tc>
        <w:tc>
          <w:tcPr>
            <w:tcW w:w="7076" w:type="dxa"/>
            <w:vAlign w:val="center"/>
          </w:tcPr>
          <w:p w14:paraId="430870DE">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应符合标识值，实测值与标识值偏差不超过±2℃</w:t>
            </w:r>
          </w:p>
        </w:tc>
      </w:tr>
      <w:tr w14:paraId="37FD46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58" w:type="dxa"/>
            <w:vAlign w:val="center"/>
          </w:tcPr>
          <w:p w14:paraId="07BE20FE">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重金属总量（以Pb计）</w:t>
            </w:r>
          </w:p>
        </w:tc>
        <w:tc>
          <w:tcPr>
            <w:tcW w:w="7076" w:type="dxa"/>
            <w:vAlign w:val="center"/>
          </w:tcPr>
          <w:p w14:paraId="28D1808E">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 xml:space="preserve">≤10 </w:t>
            </w:r>
            <w:r>
              <w:rPr>
                <w:rFonts w:hint="default" w:ascii="Times New Roman" w:hAnsi="Times New Roman" w:cs="Times New Roman"/>
                <w:color w:val="000000" w:themeColor="text1"/>
                <w:sz w:val="18"/>
                <w14:textFill>
                  <w14:solidFill>
                    <w14:schemeClr w14:val="tx1"/>
                  </w14:solidFill>
                </w14:textFill>
              </w:rPr>
              <w:t>μ</w:t>
            </w:r>
            <w:r>
              <w:rPr>
                <w:rFonts w:hint="eastAsia"/>
                <w:color w:val="000000" w:themeColor="text1"/>
                <w:sz w:val="18"/>
                <w14:textFill>
                  <w14:solidFill>
                    <w14:schemeClr w14:val="tx1"/>
                  </w14:solidFill>
                </w14:textFill>
              </w:rPr>
              <w:t>g/g</w:t>
            </w:r>
          </w:p>
        </w:tc>
      </w:tr>
      <w:tr w14:paraId="5EC1FC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58" w:type="dxa"/>
            <w:vAlign w:val="center"/>
          </w:tcPr>
          <w:p w14:paraId="48317DB4">
            <w:pPr>
              <w:pStyle w:val="57"/>
              <w:ind w:firstLine="360"/>
              <w:jc w:val="center"/>
              <w:rPr>
                <w:rFonts w:hint="eastAsia" w:eastAsia="宋体"/>
                <w:color w:val="000000" w:themeColor="text1"/>
                <w:sz w:val="18"/>
                <w:lang w:eastAsia="zh-CN"/>
                <w14:textFill>
                  <w14:solidFill>
                    <w14:schemeClr w14:val="tx1"/>
                  </w14:solidFill>
                </w14:textFill>
              </w:rPr>
            </w:pPr>
            <w:r>
              <w:rPr>
                <w:rFonts w:hint="eastAsia"/>
                <w:color w:val="000000" w:themeColor="text1"/>
                <w:sz w:val="18"/>
                <w14:textFill>
                  <w14:solidFill>
                    <w14:schemeClr w14:val="tx1"/>
                  </w14:solidFill>
                </w14:textFill>
              </w:rPr>
              <w:t>热稳定性</w:t>
            </w:r>
            <w:r>
              <w:rPr>
                <w:rFonts w:hint="eastAsia"/>
                <w:color w:val="000000" w:themeColor="text1"/>
                <w:sz w:val="18"/>
                <w:vertAlign w:val="superscript"/>
                <w:lang w:eastAsia="zh-CN"/>
                <w14:textFill>
                  <w14:solidFill>
                    <w14:schemeClr w14:val="tx1"/>
                  </w14:solidFill>
                </w14:textFill>
              </w:rPr>
              <w:t>a</w:t>
            </w:r>
          </w:p>
        </w:tc>
        <w:tc>
          <w:tcPr>
            <w:tcW w:w="7076" w:type="dxa"/>
            <w:vAlign w:val="center"/>
          </w:tcPr>
          <w:p w14:paraId="226A04C7">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完整蛋白保留率≥90%，生物活性保留率≥80%</w:t>
            </w:r>
          </w:p>
        </w:tc>
      </w:tr>
      <w:tr w14:paraId="2CF3A0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58" w:type="dxa"/>
            <w:vAlign w:val="center"/>
          </w:tcPr>
          <w:p w14:paraId="59682546">
            <w:pPr>
              <w:spacing w:line="240" w:lineRule="auto"/>
              <w:jc w:val="center"/>
              <w:rPr>
                <w:rFonts w:hint="eastAsia" w:ascii="宋体" w:hAnsi="Times New Roman" w:eastAsia="宋体"/>
                <w:color w:val="000000" w:themeColor="text1"/>
                <w:kern w:val="0"/>
                <w:sz w:val="18"/>
                <w:szCs w:val="20"/>
                <w:lang w:eastAsia="zh-CN"/>
                <w14:textFill>
                  <w14:solidFill>
                    <w14:schemeClr w14:val="tx1"/>
                  </w14:solidFill>
                </w14:textFill>
              </w:rPr>
            </w:pPr>
            <w:r>
              <w:rPr>
                <w:rFonts w:hint="eastAsia" w:ascii="宋体" w:hAnsi="Times New Roman"/>
                <w:color w:val="000000" w:themeColor="text1"/>
                <w:kern w:val="0"/>
                <w:sz w:val="18"/>
                <w:szCs w:val="20"/>
                <w14:textFill>
                  <w14:solidFill>
                    <w14:schemeClr w14:val="tx1"/>
                  </w14:solidFill>
                </w14:textFill>
              </w:rPr>
              <w:t>残余抗生素活性</w:t>
            </w:r>
            <w:r>
              <w:rPr>
                <w:rFonts w:hint="eastAsia" w:ascii="宋体" w:hAnsi="Times New Roman"/>
                <w:color w:val="000000" w:themeColor="text1"/>
                <w:kern w:val="0"/>
                <w:sz w:val="18"/>
                <w:szCs w:val="20"/>
                <w:vertAlign w:val="superscript"/>
                <w:lang w:eastAsia="zh-CN"/>
                <w14:textFill>
                  <w14:solidFill>
                    <w14:schemeClr w14:val="tx1"/>
                  </w14:solidFill>
                </w14:textFill>
              </w:rPr>
              <w:t>b</w:t>
            </w:r>
          </w:p>
        </w:tc>
        <w:tc>
          <w:tcPr>
            <w:tcW w:w="7076" w:type="dxa"/>
            <w:vAlign w:val="center"/>
          </w:tcPr>
          <w:p w14:paraId="4E1C4D35">
            <w:pPr>
              <w:spacing w:line="240" w:lineRule="auto"/>
              <w:jc w:val="center"/>
              <w:rPr>
                <w:rFonts w:ascii="宋体" w:hAnsi="Times New Roman"/>
                <w:color w:val="000000" w:themeColor="text1"/>
                <w:kern w:val="0"/>
                <w:sz w:val="18"/>
                <w:szCs w:val="20"/>
                <w14:textFill>
                  <w14:solidFill>
                    <w14:schemeClr w14:val="tx1"/>
                  </w14:solidFill>
                </w14:textFill>
              </w:rPr>
            </w:pPr>
            <w:r>
              <w:rPr>
                <w:rFonts w:hint="eastAsia" w:ascii="宋体" w:hAnsi="Times New Roman"/>
                <w:color w:val="000000" w:themeColor="text1"/>
                <w:kern w:val="0"/>
                <w:sz w:val="18"/>
                <w:szCs w:val="20"/>
                <w14:textFill>
                  <w14:solidFill>
                    <w14:schemeClr w14:val="tx1"/>
                  </w14:solidFill>
                </w14:textFill>
              </w:rPr>
              <w:t>应无残余抗生素活性</w:t>
            </w:r>
          </w:p>
        </w:tc>
      </w:tr>
      <w:tr w14:paraId="3A1ADC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334" w:type="dxa"/>
            <w:gridSpan w:val="2"/>
            <w:vAlign w:val="center"/>
          </w:tcPr>
          <w:p w14:paraId="69010756">
            <w:pPr>
              <w:pStyle w:val="102"/>
              <w:bidi w:val="0"/>
              <w:rPr>
                <w:rFonts w:hint="eastAsia"/>
              </w:rPr>
            </w:pPr>
            <w:r>
              <w:rPr>
                <w:rFonts w:hint="eastAsia"/>
                <w:lang w:eastAsia="zh-CN"/>
              </w:rPr>
              <w:t>热稳定性仅适用于采用灭菌工艺处理的产品，灭菌工艺应经过验证。</w:t>
            </w:r>
          </w:p>
          <w:p w14:paraId="0CD839BB">
            <w:pPr>
              <w:pStyle w:val="102"/>
              <w:bidi w:val="0"/>
              <w:rPr>
                <w:rFonts w:hint="eastAsia" w:ascii="宋体" w:hAnsi="Times New Roman"/>
                <w:color w:val="000000" w:themeColor="text1"/>
                <w:kern w:val="0"/>
                <w:sz w:val="18"/>
                <w:szCs w:val="20"/>
                <w14:textFill>
                  <w14:solidFill>
                    <w14:schemeClr w14:val="tx1"/>
                  </w14:solidFill>
                </w14:textFill>
              </w:rPr>
            </w:pPr>
            <w:r>
              <w:rPr>
                <w:rFonts w:hint="eastAsia"/>
                <w:lang w:eastAsia="zh-CN"/>
              </w:rPr>
              <w:t>残余抗生素活性仅适用于生产过程中使用抗生素的原料</w:t>
            </w:r>
          </w:p>
        </w:tc>
      </w:tr>
    </w:tbl>
    <w:p w14:paraId="57C0B0E6">
      <w:pPr>
        <w:pStyle w:val="57"/>
        <w:ind w:firstLine="420"/>
      </w:pPr>
    </w:p>
    <w:p w14:paraId="2620BBEF">
      <w:pPr>
        <w:pStyle w:val="106"/>
        <w:spacing w:before="120" w:after="120"/>
      </w:pPr>
      <w:bookmarkStart w:id="66" w:name="_Toc5766"/>
      <w:bookmarkStart w:id="67" w:name="_Toc20699"/>
      <w:r>
        <w:rPr>
          <w:rFonts w:hint="eastAsia"/>
        </w:rPr>
        <w:t>微生物限度</w:t>
      </w:r>
      <w:bookmarkEnd w:id="66"/>
      <w:bookmarkEnd w:id="67"/>
    </w:p>
    <w:p w14:paraId="3193694E">
      <w:pPr>
        <w:pStyle w:val="57"/>
        <w:ind w:firstLine="420"/>
      </w:pPr>
      <w:r>
        <w:rPr>
          <w:rFonts w:hint="eastAsia"/>
        </w:rPr>
        <w:t>微生物限度应符合表3的规定。</w:t>
      </w:r>
    </w:p>
    <w:p w14:paraId="59CFA824">
      <w:pPr>
        <w:pStyle w:val="113"/>
        <w:spacing w:before="120" w:after="120"/>
      </w:pPr>
      <w:r>
        <w:rPr>
          <w:rFonts w:hint="eastAsia"/>
        </w:rPr>
        <w:t>微生物限度</w:t>
      </w:r>
    </w:p>
    <w:tbl>
      <w:tblPr>
        <w:tblStyle w:val="28"/>
        <w:tblW w:w="933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667"/>
        <w:gridCol w:w="4667"/>
      </w:tblGrid>
      <w:tr w14:paraId="17714C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4667" w:type="dxa"/>
            <w:tcBorders>
              <w:bottom w:val="single" w:color="auto" w:sz="8" w:space="0"/>
            </w:tcBorders>
            <w:vAlign w:val="center"/>
          </w:tcPr>
          <w:p w14:paraId="2B2669A6">
            <w:pPr>
              <w:pStyle w:val="57"/>
              <w:ind w:firstLine="360"/>
              <w:jc w:val="center"/>
              <w:rPr>
                <w:sz w:val="18"/>
              </w:rPr>
            </w:pPr>
            <w:r>
              <w:rPr>
                <w:rFonts w:hint="eastAsia"/>
                <w:sz w:val="18"/>
              </w:rPr>
              <w:t>项目</w:t>
            </w:r>
          </w:p>
        </w:tc>
        <w:tc>
          <w:tcPr>
            <w:tcW w:w="4667" w:type="dxa"/>
            <w:tcBorders>
              <w:bottom w:val="single" w:color="auto" w:sz="8" w:space="0"/>
            </w:tcBorders>
            <w:vAlign w:val="center"/>
          </w:tcPr>
          <w:p w14:paraId="1D9DEE0B">
            <w:pPr>
              <w:pStyle w:val="57"/>
              <w:ind w:firstLine="360"/>
              <w:jc w:val="center"/>
              <w:rPr>
                <w:sz w:val="18"/>
              </w:rPr>
            </w:pPr>
            <w:r>
              <w:rPr>
                <w:rFonts w:hint="eastAsia"/>
                <w:sz w:val="18"/>
              </w:rPr>
              <w:t>指标</w:t>
            </w:r>
          </w:p>
        </w:tc>
      </w:tr>
      <w:tr w14:paraId="0F491D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tcBorders>
              <w:top w:val="single" w:color="auto" w:sz="8" w:space="0"/>
            </w:tcBorders>
            <w:vAlign w:val="center"/>
          </w:tcPr>
          <w:p w14:paraId="1095F399">
            <w:pPr>
              <w:pStyle w:val="57"/>
              <w:ind w:firstLine="360"/>
              <w:jc w:val="center"/>
              <w:rPr>
                <w:sz w:val="18"/>
              </w:rPr>
            </w:pPr>
            <w:r>
              <w:rPr>
                <w:rFonts w:hint="eastAsia"/>
                <w:sz w:val="18"/>
              </w:rPr>
              <w:t>需氧菌总数</w:t>
            </w:r>
          </w:p>
        </w:tc>
        <w:tc>
          <w:tcPr>
            <w:tcW w:w="4667" w:type="dxa"/>
            <w:tcBorders>
              <w:top w:val="single" w:color="auto" w:sz="8" w:space="0"/>
            </w:tcBorders>
            <w:vAlign w:val="center"/>
          </w:tcPr>
          <w:p w14:paraId="3BBB10CB">
            <w:pPr>
              <w:pStyle w:val="57"/>
              <w:ind w:firstLine="360"/>
              <w:jc w:val="center"/>
              <w:rPr>
                <w:sz w:val="18"/>
              </w:rPr>
            </w:pPr>
            <w:r>
              <w:rPr>
                <w:rFonts w:hint="eastAsia"/>
                <w:sz w:val="18"/>
              </w:rPr>
              <w:t>≤100 CFU/g</w:t>
            </w:r>
          </w:p>
        </w:tc>
      </w:tr>
      <w:tr w14:paraId="4F8A0C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vAlign w:val="center"/>
          </w:tcPr>
          <w:p w14:paraId="0F70E690">
            <w:pPr>
              <w:pStyle w:val="57"/>
              <w:ind w:firstLine="360"/>
              <w:jc w:val="center"/>
              <w:rPr>
                <w:sz w:val="18"/>
              </w:rPr>
            </w:pPr>
            <w:r>
              <w:rPr>
                <w:rFonts w:hint="eastAsia"/>
                <w:sz w:val="18"/>
              </w:rPr>
              <w:t>霉菌和酵母菌总数</w:t>
            </w:r>
          </w:p>
        </w:tc>
        <w:tc>
          <w:tcPr>
            <w:tcW w:w="4667" w:type="dxa"/>
            <w:vAlign w:val="center"/>
          </w:tcPr>
          <w:p w14:paraId="29615DA1">
            <w:pPr>
              <w:pStyle w:val="57"/>
              <w:ind w:firstLine="360"/>
              <w:jc w:val="center"/>
              <w:rPr>
                <w:sz w:val="18"/>
              </w:rPr>
            </w:pPr>
            <w:r>
              <w:rPr>
                <w:rFonts w:hint="eastAsia"/>
                <w:sz w:val="18"/>
              </w:rPr>
              <w:t>≤10 CFU/g</w:t>
            </w:r>
          </w:p>
        </w:tc>
      </w:tr>
      <w:tr w14:paraId="03FC54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vAlign w:val="center"/>
          </w:tcPr>
          <w:p w14:paraId="62A46089">
            <w:pPr>
              <w:pStyle w:val="57"/>
              <w:ind w:firstLine="360"/>
              <w:jc w:val="center"/>
              <w:rPr>
                <w:sz w:val="18"/>
              </w:rPr>
            </w:pPr>
            <w:r>
              <w:rPr>
                <w:rFonts w:hint="eastAsia"/>
                <w:sz w:val="18"/>
              </w:rPr>
              <w:t>大肠埃希菌</w:t>
            </w:r>
          </w:p>
        </w:tc>
        <w:tc>
          <w:tcPr>
            <w:tcW w:w="4667" w:type="dxa"/>
            <w:vAlign w:val="center"/>
          </w:tcPr>
          <w:p w14:paraId="2D72D240">
            <w:pPr>
              <w:pStyle w:val="57"/>
              <w:ind w:firstLine="360"/>
              <w:jc w:val="center"/>
              <w:rPr>
                <w:sz w:val="18"/>
              </w:rPr>
            </w:pPr>
            <w:r>
              <w:rPr>
                <w:rFonts w:hint="eastAsia"/>
                <w:sz w:val="18"/>
              </w:rPr>
              <w:t>不得检出</w:t>
            </w:r>
          </w:p>
        </w:tc>
      </w:tr>
      <w:tr w14:paraId="6975BC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vAlign w:val="center"/>
          </w:tcPr>
          <w:p w14:paraId="3F6BE98F">
            <w:pPr>
              <w:pStyle w:val="57"/>
              <w:ind w:firstLine="360"/>
              <w:jc w:val="center"/>
              <w:rPr>
                <w:sz w:val="18"/>
              </w:rPr>
            </w:pPr>
            <w:r>
              <w:rPr>
                <w:rFonts w:hint="eastAsia"/>
                <w:sz w:val="18"/>
              </w:rPr>
              <w:t>金黄色葡萄球菌</w:t>
            </w:r>
          </w:p>
        </w:tc>
        <w:tc>
          <w:tcPr>
            <w:tcW w:w="4667" w:type="dxa"/>
            <w:vAlign w:val="center"/>
          </w:tcPr>
          <w:p w14:paraId="634B2C20">
            <w:pPr>
              <w:pStyle w:val="57"/>
              <w:ind w:firstLine="360"/>
              <w:jc w:val="center"/>
              <w:rPr>
                <w:sz w:val="18"/>
              </w:rPr>
            </w:pPr>
            <w:r>
              <w:rPr>
                <w:rFonts w:hint="eastAsia"/>
                <w:sz w:val="18"/>
              </w:rPr>
              <w:t>不得检出</w:t>
            </w:r>
          </w:p>
        </w:tc>
      </w:tr>
      <w:tr w14:paraId="77D6B6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vAlign w:val="center"/>
          </w:tcPr>
          <w:p w14:paraId="6B3BC972">
            <w:pPr>
              <w:spacing w:line="240" w:lineRule="auto"/>
              <w:ind w:firstLine="360" w:firstLineChars="200"/>
              <w:jc w:val="center"/>
              <w:rPr>
                <w:rFonts w:ascii="宋体" w:hAnsi="Times New Roman"/>
                <w:kern w:val="0"/>
                <w:sz w:val="18"/>
                <w:szCs w:val="20"/>
              </w:rPr>
            </w:pPr>
            <w:r>
              <w:rPr>
                <w:rFonts w:hint="eastAsia" w:ascii="宋体" w:hAnsi="Times New Roman"/>
                <w:kern w:val="0"/>
                <w:sz w:val="18"/>
                <w:szCs w:val="20"/>
              </w:rPr>
              <w:t>铜绿假单胞菌</w:t>
            </w:r>
          </w:p>
        </w:tc>
        <w:tc>
          <w:tcPr>
            <w:tcW w:w="4667" w:type="dxa"/>
            <w:vAlign w:val="center"/>
          </w:tcPr>
          <w:p w14:paraId="0E2AFB12">
            <w:pPr>
              <w:spacing w:line="240" w:lineRule="auto"/>
              <w:ind w:firstLine="360" w:firstLineChars="200"/>
              <w:jc w:val="center"/>
              <w:rPr>
                <w:rFonts w:ascii="宋体" w:hAnsi="Times New Roman"/>
                <w:kern w:val="0"/>
                <w:sz w:val="18"/>
                <w:szCs w:val="20"/>
              </w:rPr>
            </w:pPr>
            <w:r>
              <w:rPr>
                <w:rFonts w:hint="eastAsia" w:ascii="宋体" w:hAnsi="Times New Roman"/>
                <w:kern w:val="0"/>
                <w:sz w:val="18"/>
                <w:szCs w:val="20"/>
              </w:rPr>
              <w:t>不得检出</w:t>
            </w:r>
          </w:p>
        </w:tc>
      </w:tr>
    </w:tbl>
    <w:p w14:paraId="0CEE6B0B">
      <w:pPr>
        <w:pStyle w:val="57"/>
        <w:ind w:firstLine="0" w:firstLineChars="0"/>
      </w:pPr>
    </w:p>
    <w:p w14:paraId="25852033">
      <w:pPr>
        <w:pStyle w:val="106"/>
        <w:spacing w:before="120" w:after="120"/>
      </w:pPr>
      <w:bookmarkStart w:id="68" w:name="_Toc27163"/>
      <w:bookmarkStart w:id="69" w:name="_Toc27946"/>
      <w:r>
        <w:rPr>
          <w:rFonts w:hint="eastAsia"/>
        </w:rPr>
        <w:t>生物学功能</w:t>
      </w:r>
      <w:bookmarkEnd w:id="68"/>
      <w:bookmarkEnd w:id="69"/>
    </w:p>
    <w:p w14:paraId="55DE1544">
      <w:pPr>
        <w:pStyle w:val="57"/>
        <w:ind w:firstLine="420"/>
      </w:pPr>
      <w:r>
        <w:rPr>
          <w:rFonts w:hint="eastAsia"/>
        </w:rPr>
        <w:t>生物学功能应符合表4规定。</w:t>
      </w:r>
    </w:p>
    <w:p w14:paraId="1D1F5155">
      <w:pPr>
        <w:pStyle w:val="113"/>
        <w:spacing w:before="120" w:after="120"/>
      </w:pPr>
      <w:r>
        <w:rPr>
          <w:rFonts w:hint="eastAsia"/>
        </w:rPr>
        <w:t>生物学功能</w:t>
      </w:r>
    </w:p>
    <w:tbl>
      <w:tblPr>
        <w:tblStyle w:val="28"/>
        <w:tblW w:w="933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667"/>
        <w:gridCol w:w="4667"/>
      </w:tblGrid>
      <w:tr w14:paraId="757288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4667" w:type="dxa"/>
            <w:tcBorders>
              <w:bottom w:val="single" w:color="auto" w:sz="8" w:space="0"/>
            </w:tcBorders>
            <w:vAlign w:val="center"/>
          </w:tcPr>
          <w:p w14:paraId="4211FDE5">
            <w:pPr>
              <w:pStyle w:val="57"/>
              <w:ind w:firstLine="360"/>
              <w:jc w:val="center"/>
              <w:rPr>
                <w:sz w:val="18"/>
              </w:rPr>
            </w:pPr>
            <w:r>
              <w:rPr>
                <w:rFonts w:hint="eastAsia"/>
                <w:sz w:val="18"/>
              </w:rPr>
              <w:t>项目</w:t>
            </w:r>
          </w:p>
        </w:tc>
        <w:tc>
          <w:tcPr>
            <w:tcW w:w="4667" w:type="dxa"/>
            <w:tcBorders>
              <w:bottom w:val="single" w:color="auto" w:sz="8" w:space="0"/>
            </w:tcBorders>
            <w:vAlign w:val="center"/>
          </w:tcPr>
          <w:p w14:paraId="7BC6E404">
            <w:pPr>
              <w:pStyle w:val="57"/>
              <w:ind w:firstLine="360"/>
              <w:jc w:val="center"/>
              <w:rPr>
                <w:sz w:val="18"/>
              </w:rPr>
            </w:pPr>
            <w:r>
              <w:rPr>
                <w:rFonts w:hint="eastAsia"/>
                <w:sz w:val="18"/>
              </w:rPr>
              <w:t>指标</w:t>
            </w:r>
          </w:p>
        </w:tc>
      </w:tr>
      <w:tr w14:paraId="143EDC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tcBorders>
              <w:top w:val="single" w:color="auto" w:sz="8" w:space="0"/>
            </w:tcBorders>
            <w:vAlign w:val="center"/>
          </w:tcPr>
          <w:p w14:paraId="0C3885C3">
            <w:pPr>
              <w:pStyle w:val="57"/>
              <w:ind w:firstLine="360"/>
              <w:jc w:val="center"/>
              <w:rPr>
                <w:rFonts w:hint="eastAsia" w:eastAsia="宋体"/>
                <w:color w:val="000000" w:themeColor="text1"/>
                <w:sz w:val="18"/>
                <w:lang w:eastAsia="zh-CN"/>
                <w14:textFill>
                  <w14:solidFill>
                    <w14:schemeClr w14:val="tx1"/>
                  </w14:solidFill>
                </w14:textFill>
              </w:rPr>
            </w:pPr>
            <w:r>
              <w:rPr>
                <w:rFonts w:hint="eastAsia"/>
                <w:color w:val="000000" w:themeColor="text1"/>
                <w:sz w:val="18"/>
                <w14:textFill>
                  <w14:solidFill>
                    <w14:schemeClr w14:val="tx1"/>
                  </w14:solidFill>
                </w14:textFill>
              </w:rPr>
              <w:t>细胞黏附性</w:t>
            </w:r>
            <w:r>
              <w:rPr>
                <w:rFonts w:hint="eastAsia"/>
                <w:color w:val="000000" w:themeColor="text1"/>
                <w:sz w:val="18"/>
                <w:vertAlign w:val="superscript"/>
                <w:lang w:eastAsia="zh-CN"/>
                <w14:textFill>
                  <w14:solidFill>
                    <w14:schemeClr w14:val="tx1"/>
                  </w14:solidFill>
                </w14:textFill>
              </w:rPr>
              <w:t>a</w:t>
            </w:r>
          </w:p>
        </w:tc>
        <w:tc>
          <w:tcPr>
            <w:tcW w:w="4667" w:type="dxa"/>
            <w:tcBorders>
              <w:top w:val="single" w:color="auto" w:sz="8" w:space="0"/>
            </w:tcBorders>
            <w:vAlign w:val="center"/>
          </w:tcPr>
          <w:p w14:paraId="6BF8BF89">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细胞黏附率提升应≥50%</w:t>
            </w:r>
          </w:p>
        </w:tc>
      </w:tr>
      <w:tr w14:paraId="5966EC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vAlign w:val="center"/>
          </w:tcPr>
          <w:p w14:paraId="41479562">
            <w:pPr>
              <w:pStyle w:val="57"/>
              <w:ind w:firstLine="360"/>
              <w:jc w:val="center"/>
              <w:rPr>
                <w:rFonts w:hint="eastAsia" w:eastAsia="宋体"/>
                <w:color w:val="000000" w:themeColor="text1"/>
                <w:sz w:val="18"/>
                <w:vertAlign w:val="baseline"/>
                <w:lang w:eastAsia="zh-CN"/>
                <w14:textFill>
                  <w14:solidFill>
                    <w14:schemeClr w14:val="tx1"/>
                  </w14:solidFill>
                </w14:textFill>
              </w:rPr>
            </w:pPr>
            <w:r>
              <w:rPr>
                <w:rFonts w:hint="eastAsia"/>
                <w:color w:val="000000" w:themeColor="text1"/>
                <w:sz w:val="18"/>
                <w14:textFill>
                  <w14:solidFill>
                    <w14:schemeClr w14:val="tx1"/>
                  </w14:solidFill>
                </w14:textFill>
              </w:rPr>
              <w:t>细胞增殖</w:t>
            </w:r>
            <w:r>
              <w:rPr>
                <w:rFonts w:hint="eastAsia"/>
                <w:color w:val="000000" w:themeColor="text1"/>
                <w:sz w:val="18"/>
                <w:vertAlign w:val="superscript"/>
                <w:lang w:eastAsia="zh-CN"/>
                <w14:textFill>
                  <w14:solidFill>
                    <w14:schemeClr w14:val="tx1"/>
                  </w14:solidFill>
                </w14:textFill>
              </w:rPr>
              <w:t>a</w:t>
            </w:r>
          </w:p>
        </w:tc>
        <w:tc>
          <w:tcPr>
            <w:tcW w:w="4667" w:type="dxa"/>
            <w:vAlign w:val="center"/>
          </w:tcPr>
          <w:p w14:paraId="02C02E91">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细胞增殖率应≥120%</w:t>
            </w:r>
          </w:p>
        </w:tc>
      </w:tr>
      <w:tr w14:paraId="49F1BE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vAlign w:val="center"/>
          </w:tcPr>
          <w:p w14:paraId="792799BB">
            <w:pPr>
              <w:pStyle w:val="57"/>
              <w:ind w:firstLine="360"/>
              <w:jc w:val="center"/>
              <w:rPr>
                <w:rFonts w:hint="eastAsia" w:eastAsia="宋体"/>
                <w:color w:val="000000" w:themeColor="text1"/>
                <w:sz w:val="18"/>
                <w:vertAlign w:val="baseline"/>
                <w:lang w:eastAsia="zh-CN"/>
                <w14:textFill>
                  <w14:solidFill>
                    <w14:schemeClr w14:val="tx1"/>
                  </w14:solidFill>
                </w14:textFill>
              </w:rPr>
            </w:pPr>
            <w:r>
              <w:rPr>
                <w:rFonts w:hint="eastAsia"/>
                <w:color w:val="000000" w:themeColor="text1"/>
                <w:sz w:val="18"/>
                <w14:textFill>
                  <w14:solidFill>
                    <w14:schemeClr w14:val="tx1"/>
                  </w14:solidFill>
                </w14:textFill>
              </w:rPr>
              <w:t>细胞迁移</w:t>
            </w:r>
            <w:r>
              <w:rPr>
                <w:rFonts w:hint="eastAsia"/>
                <w:color w:val="000000" w:themeColor="text1"/>
                <w:sz w:val="18"/>
                <w:vertAlign w:val="superscript"/>
                <w:lang w:eastAsia="zh-CN"/>
                <w14:textFill>
                  <w14:solidFill>
                    <w14:schemeClr w14:val="tx1"/>
                  </w14:solidFill>
                </w14:textFill>
              </w:rPr>
              <w:t>a</w:t>
            </w:r>
          </w:p>
        </w:tc>
        <w:tc>
          <w:tcPr>
            <w:tcW w:w="4667" w:type="dxa"/>
            <w:vAlign w:val="center"/>
          </w:tcPr>
          <w:p w14:paraId="3FCE9EC7">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细胞迁移率提升应≥50%</w:t>
            </w:r>
          </w:p>
        </w:tc>
      </w:tr>
      <w:tr w14:paraId="558B33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vAlign w:val="center"/>
          </w:tcPr>
          <w:p w14:paraId="2518A20E">
            <w:pPr>
              <w:pStyle w:val="57"/>
              <w:ind w:firstLine="360"/>
              <w:jc w:val="center"/>
              <w:rPr>
                <w:rFonts w:hint="eastAsia" w:eastAsia="宋体"/>
                <w:color w:val="000000" w:themeColor="text1"/>
                <w:sz w:val="18"/>
                <w:lang w:eastAsia="zh-CN"/>
                <w14:textFill>
                  <w14:solidFill>
                    <w14:schemeClr w14:val="tx1"/>
                  </w14:solidFill>
                </w14:textFill>
              </w:rPr>
            </w:pPr>
            <w:r>
              <w:rPr>
                <w:rFonts w:hint="eastAsia"/>
                <w:color w:val="000000" w:themeColor="text1"/>
                <w:sz w:val="18"/>
                <w:lang w:val="en-US" w:eastAsia="zh-CN"/>
                <w14:textFill>
                  <w14:solidFill>
                    <w14:schemeClr w14:val="tx1"/>
                  </w14:solidFill>
                </w14:textFill>
              </w:rPr>
              <w:t>液体</w:t>
            </w:r>
            <w:r>
              <w:rPr>
                <w:rFonts w:hint="eastAsia"/>
                <w:color w:val="000000" w:themeColor="text1"/>
                <w:sz w:val="18"/>
                <w14:textFill>
                  <w14:solidFill>
                    <w14:schemeClr w14:val="tx1"/>
                  </w14:solidFill>
                </w14:textFill>
              </w:rPr>
              <w:t>生物活性保留率</w:t>
            </w:r>
            <w:r>
              <w:rPr>
                <w:rFonts w:hint="eastAsia"/>
                <w:color w:val="000000" w:themeColor="text1"/>
                <w:sz w:val="18"/>
                <w:vertAlign w:val="superscript"/>
                <w:lang w:eastAsia="zh-CN"/>
                <w14:textFill>
                  <w14:solidFill>
                    <w14:schemeClr w14:val="tx1"/>
                  </w14:solidFill>
                </w14:textFill>
              </w:rPr>
              <w:t>b</w:t>
            </w:r>
          </w:p>
        </w:tc>
        <w:tc>
          <w:tcPr>
            <w:tcW w:w="4667" w:type="dxa"/>
            <w:vAlign w:val="center"/>
          </w:tcPr>
          <w:p w14:paraId="21B6782E">
            <w:pPr>
              <w:pStyle w:val="57"/>
              <w:ind w:firstLine="36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≥85%</w:t>
            </w:r>
          </w:p>
        </w:tc>
      </w:tr>
      <w:tr w14:paraId="781753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vAlign w:val="center"/>
          </w:tcPr>
          <w:p w14:paraId="16DB5A78">
            <w:pPr>
              <w:spacing w:line="240" w:lineRule="auto"/>
              <w:ind w:firstLine="360" w:firstLineChars="200"/>
              <w:jc w:val="center"/>
              <w:rPr>
                <w:rFonts w:hint="eastAsia" w:ascii="宋体" w:hAnsi="Times New Roman" w:eastAsia="宋体"/>
                <w:color w:val="000000" w:themeColor="text1"/>
                <w:kern w:val="0"/>
                <w:sz w:val="18"/>
                <w:szCs w:val="20"/>
                <w:lang w:eastAsia="zh-CN"/>
                <w14:textFill>
                  <w14:solidFill>
                    <w14:schemeClr w14:val="tx1"/>
                  </w14:solidFill>
                </w14:textFill>
              </w:rPr>
            </w:pPr>
            <w:r>
              <w:rPr>
                <w:rFonts w:hint="eastAsia" w:ascii="宋体" w:hAnsi="Times New Roman"/>
                <w:color w:val="000000" w:themeColor="text1"/>
                <w:kern w:val="0"/>
                <w:sz w:val="18"/>
                <w:szCs w:val="20"/>
                <w:lang w:val="en-US" w:eastAsia="zh-CN"/>
                <w14:textFill>
                  <w14:solidFill>
                    <w14:schemeClr w14:val="tx1"/>
                  </w14:solidFill>
                </w14:textFill>
              </w:rPr>
              <w:t>冻干粉</w:t>
            </w:r>
            <w:r>
              <w:rPr>
                <w:rFonts w:hint="eastAsia" w:ascii="宋体" w:hAnsi="Times New Roman"/>
                <w:color w:val="000000" w:themeColor="text1"/>
                <w:kern w:val="0"/>
                <w:sz w:val="18"/>
                <w:szCs w:val="20"/>
                <w14:textFill>
                  <w14:solidFill>
                    <w14:schemeClr w14:val="tx1"/>
                  </w14:solidFill>
                </w14:textFill>
              </w:rPr>
              <w:t>生物活性保留率</w:t>
            </w:r>
            <w:r>
              <w:rPr>
                <w:rFonts w:hint="eastAsia" w:ascii="宋体" w:hAnsi="Times New Roman"/>
                <w:color w:val="000000" w:themeColor="text1"/>
                <w:kern w:val="0"/>
                <w:sz w:val="18"/>
                <w:szCs w:val="20"/>
                <w:vertAlign w:val="superscript"/>
                <w:lang w:eastAsia="zh-CN"/>
                <w14:textFill>
                  <w14:solidFill>
                    <w14:schemeClr w14:val="tx1"/>
                  </w14:solidFill>
                </w14:textFill>
              </w:rPr>
              <w:t>c</w:t>
            </w:r>
          </w:p>
        </w:tc>
        <w:tc>
          <w:tcPr>
            <w:tcW w:w="4667" w:type="dxa"/>
            <w:vAlign w:val="center"/>
          </w:tcPr>
          <w:p w14:paraId="09E04312">
            <w:pPr>
              <w:spacing w:line="240" w:lineRule="auto"/>
              <w:ind w:firstLine="360" w:firstLineChars="200"/>
              <w:jc w:val="center"/>
              <w:rPr>
                <w:rFonts w:ascii="宋体" w:hAnsi="Times New Roman"/>
                <w:color w:val="000000" w:themeColor="text1"/>
                <w:kern w:val="0"/>
                <w:sz w:val="18"/>
                <w:szCs w:val="20"/>
                <w14:textFill>
                  <w14:solidFill>
                    <w14:schemeClr w14:val="tx1"/>
                  </w14:solidFill>
                </w14:textFill>
              </w:rPr>
            </w:pPr>
            <w:r>
              <w:rPr>
                <w:rFonts w:hint="eastAsia" w:ascii="宋体" w:hAnsi="Times New Roman"/>
                <w:color w:val="000000" w:themeColor="text1"/>
                <w:kern w:val="0"/>
                <w:sz w:val="18"/>
                <w:szCs w:val="20"/>
                <w14:textFill>
                  <w14:solidFill>
                    <w14:schemeClr w14:val="tx1"/>
                  </w14:solidFill>
                </w14:textFill>
              </w:rPr>
              <w:t>≥90%</w:t>
            </w:r>
          </w:p>
        </w:tc>
      </w:tr>
      <w:tr w14:paraId="07C5DF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334" w:type="dxa"/>
            <w:gridSpan w:val="2"/>
            <w:vAlign w:val="center"/>
          </w:tcPr>
          <w:p w14:paraId="6A46714E">
            <w:pPr>
              <w:pStyle w:val="102"/>
              <w:numPr>
                <w:ilvl w:val="0"/>
                <w:numId w:val="32"/>
              </w:numPr>
              <w:bidi w:val="0"/>
              <w:rPr>
                <w:rFonts w:hint="eastAsia"/>
                <w:color w:val="000000" w:themeColor="text1"/>
                <w14:textFill>
                  <w14:solidFill>
                    <w14:schemeClr w14:val="tx1"/>
                  </w14:solidFill>
                </w14:textFill>
              </w:rPr>
            </w:pPr>
            <w:bookmarkStart w:id="70" w:name="_Toc20596"/>
            <w:bookmarkStart w:id="71" w:name="_Toc31621"/>
            <w:bookmarkStart w:id="72" w:name="_Toc14729"/>
            <w:r>
              <w:rPr>
                <w:rFonts w:hint="eastAsia"/>
                <w:color w:val="000000" w:themeColor="text1"/>
                <w:lang w:eastAsia="zh-CN"/>
                <w14:textFill>
                  <w14:solidFill>
                    <w14:schemeClr w14:val="tx1"/>
                  </w14:solidFill>
                </w14:textFill>
              </w:rPr>
              <w:t>细胞黏附性、细胞增殖、细胞迁移测试结果均相对于空白对照组计算。</w:t>
            </w:r>
          </w:p>
          <w:p w14:paraId="1C0847DC">
            <w:pPr>
              <w:pStyle w:val="102"/>
              <w:bidi w:val="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≥85% 适用于液体制剂，2 ℃～8 ℃条件储存 12 个月。</w:t>
            </w:r>
          </w:p>
          <w:p w14:paraId="03ADD188">
            <w:pPr>
              <w:pStyle w:val="102"/>
              <w:bidi w:val="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≥90% 适用于冻干粉制剂，2 ℃～8 ℃条件储存 24 个月。</w:t>
            </w:r>
          </w:p>
        </w:tc>
      </w:tr>
    </w:tbl>
    <w:p w14:paraId="4193CA59">
      <w:pPr>
        <w:pStyle w:val="105"/>
        <w:spacing w:before="240" w:after="240"/>
        <w:rPr>
          <w:color w:val="000000" w:themeColor="text1"/>
          <w14:textFill>
            <w14:solidFill>
              <w14:schemeClr w14:val="tx1"/>
            </w14:solidFill>
          </w14:textFill>
        </w:rPr>
      </w:pPr>
      <w:r>
        <w:rPr>
          <w:rFonts w:hint="eastAsia"/>
          <w:color w:val="000000" w:themeColor="text1"/>
          <w14:textFill>
            <w14:solidFill>
              <w14:schemeClr w14:val="tx1"/>
            </w14:solidFill>
          </w14:textFill>
        </w:rPr>
        <w:t>试验方法</w:t>
      </w:r>
      <w:bookmarkEnd w:id="70"/>
      <w:bookmarkEnd w:id="71"/>
      <w:bookmarkEnd w:id="72"/>
    </w:p>
    <w:p w14:paraId="6E06E713">
      <w:pPr>
        <w:pStyle w:val="106"/>
        <w:spacing w:before="120" w:after="120"/>
        <w:rPr>
          <w:color w:val="000000" w:themeColor="text1"/>
          <w14:textFill>
            <w14:solidFill>
              <w14:schemeClr w14:val="tx1"/>
            </w14:solidFill>
          </w14:textFill>
        </w:rPr>
      </w:pPr>
      <w:bookmarkStart w:id="73" w:name="_Toc27409"/>
      <w:bookmarkStart w:id="74" w:name="_Toc23113"/>
      <w:r>
        <w:rPr>
          <w:rFonts w:hint="eastAsia"/>
          <w:color w:val="000000" w:themeColor="text1"/>
          <w14:textFill>
            <w14:solidFill>
              <w14:schemeClr w14:val="tx1"/>
            </w14:solidFill>
          </w14:textFill>
        </w:rPr>
        <w:t>鉴别</w:t>
      </w:r>
      <w:bookmarkEnd w:id="73"/>
      <w:bookmarkEnd w:id="74"/>
    </w:p>
    <w:p w14:paraId="0A004BDB">
      <w:pPr>
        <w:pStyle w:val="66"/>
        <w:spacing w:before="120" w:after="120"/>
        <w:rPr>
          <w:color w:val="000000" w:themeColor="text1"/>
          <w14:textFill>
            <w14:solidFill>
              <w14:schemeClr w14:val="tx1"/>
            </w14:solidFill>
          </w14:textFill>
        </w:rPr>
      </w:pPr>
      <w:r>
        <w:rPr>
          <w:rFonts w:hint="eastAsia"/>
          <w:color w:val="000000" w:themeColor="text1"/>
          <w14:textFill>
            <w14:solidFill>
              <w14:schemeClr w14:val="tx1"/>
            </w14:solidFill>
          </w14:textFill>
        </w:rPr>
        <w:t>氨基酸序列</w:t>
      </w:r>
    </w:p>
    <w:p w14:paraId="1FC6EC5E">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完整序列确认采用液相色谱-串联质谱联用技术（LC-MS/MS）进行肽图分析，酶解肽段序列覆盖率</w:t>
      </w:r>
      <w:r>
        <w:rPr>
          <w:rFonts w:hint="eastAsia"/>
          <w:color w:val="000000" w:themeColor="text1"/>
          <w:lang w:val="en-US" w:eastAsia="zh-CN"/>
          <w14:textFill>
            <w14:solidFill>
              <w14:schemeClr w14:val="tx1"/>
            </w14:solidFill>
          </w14:textFill>
        </w:rPr>
        <w:t>不应</w:t>
      </w:r>
      <w:r>
        <w:rPr>
          <w:rFonts w:hint="eastAsia"/>
          <w:color w:val="000000" w:themeColor="text1"/>
          <w14:textFill>
            <w14:solidFill>
              <w14:schemeClr w14:val="tx1"/>
            </w14:solidFill>
          </w14:textFill>
        </w:rPr>
        <w:t>低于95%，并与理论设计序列比对；N端序列采用埃德曼降解法测定（测定不少于10个氨基酸残基）。</w:t>
      </w:r>
    </w:p>
    <w:p w14:paraId="0BD4C5F9">
      <w:pPr>
        <w:pStyle w:val="66"/>
        <w:spacing w:before="120" w:after="120"/>
      </w:pPr>
      <w:r>
        <w:rPr>
          <w:rFonts w:hint="eastAsia"/>
        </w:rPr>
        <w:t>二级结构</w:t>
      </w:r>
    </w:p>
    <w:p w14:paraId="315D8FE6">
      <w:pPr>
        <w:pStyle w:val="57"/>
        <w:ind w:firstLine="420"/>
      </w:pPr>
      <w:r>
        <w:rPr>
          <w:rFonts w:hint="eastAsia"/>
        </w:rPr>
        <w:t>采用圆二色谱法（CD）测定蛋白二级结构特征。</w:t>
      </w:r>
    </w:p>
    <w:p w14:paraId="1E8284D1">
      <w:pPr>
        <w:pStyle w:val="66"/>
        <w:spacing w:before="120" w:after="120"/>
        <w:rPr>
          <w:color w:val="000000" w:themeColor="text1"/>
          <w14:textFill>
            <w14:solidFill>
              <w14:schemeClr w14:val="tx1"/>
            </w14:solidFill>
          </w14:textFill>
        </w:rPr>
      </w:pPr>
      <w:r>
        <w:rPr>
          <w:rFonts w:hint="eastAsia"/>
          <w:color w:val="000000" w:themeColor="text1"/>
          <w14:textFill>
            <w14:solidFill>
              <w14:schemeClr w14:val="tx1"/>
            </w14:solidFill>
          </w14:textFill>
        </w:rPr>
        <w:t>分子量</w:t>
      </w:r>
    </w:p>
    <w:p w14:paraId="0520C449">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采用SDS-聚丙烯酰胺凝胶电泳法（SDS-PAGE）进行快速鉴别；仲裁方法采用分子排阻色谱-多角度激光散射联用技术（SEC-MALLS）或质谱法（MS）测定，按《中华人民共和国药典》（2025年版）四部通则0512“高效液相色谱法”执行。</w:t>
      </w:r>
    </w:p>
    <w:p w14:paraId="69DFE544">
      <w:pPr>
        <w:pStyle w:val="66"/>
        <w:spacing w:before="120" w:after="120"/>
        <w:rPr>
          <w:color w:val="000000" w:themeColor="text1"/>
          <w14:textFill>
            <w14:solidFill>
              <w14:schemeClr w14:val="tx1"/>
            </w14:solidFill>
          </w14:textFill>
        </w:rPr>
      </w:pPr>
      <w:r>
        <w:rPr>
          <w:rFonts w:hint="eastAsia"/>
          <w:color w:val="000000" w:themeColor="text1"/>
          <w14:textFill>
            <w14:solidFill>
              <w14:schemeClr w14:val="tx1"/>
            </w14:solidFill>
          </w14:textFill>
        </w:rPr>
        <w:t>等电点</w:t>
      </w:r>
    </w:p>
    <w:p w14:paraId="23751061">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按《中华人民共和国药典》（2025年版）四部通则0541“电泳法”的“电聚焦电泳法”或“毛细管电泳法”测定。</w:t>
      </w:r>
    </w:p>
    <w:p w14:paraId="0867F085">
      <w:pPr>
        <w:pStyle w:val="106"/>
        <w:spacing w:before="120" w:after="120"/>
      </w:pPr>
      <w:bookmarkStart w:id="75" w:name="_Toc19613"/>
      <w:bookmarkStart w:id="76" w:name="_Toc6209"/>
      <w:r>
        <w:rPr>
          <w:rFonts w:hint="eastAsia"/>
        </w:rPr>
        <w:t>感官指标</w:t>
      </w:r>
      <w:bookmarkEnd w:id="75"/>
      <w:bookmarkEnd w:id="76"/>
    </w:p>
    <w:p w14:paraId="751047B0">
      <w:pPr>
        <w:pStyle w:val="66"/>
        <w:spacing w:before="120" w:after="120"/>
      </w:pPr>
      <w:r>
        <w:rPr>
          <w:rFonts w:hint="eastAsia"/>
        </w:rPr>
        <w:t>外观、气味</w:t>
      </w:r>
    </w:p>
    <w:p w14:paraId="14F196A4">
      <w:pPr>
        <w:pStyle w:val="57"/>
        <w:ind w:firstLine="420"/>
      </w:pPr>
      <w:r>
        <w:rPr>
          <w:rFonts w:hint="eastAsia"/>
        </w:rPr>
        <w:t>置于非阳光直射或日光灯下，目视检查外观、鼻嗅检查气味。</w:t>
      </w:r>
    </w:p>
    <w:p w14:paraId="1ABD0E65">
      <w:pPr>
        <w:pStyle w:val="66"/>
        <w:spacing w:before="120" w:after="120"/>
      </w:pPr>
      <w:r>
        <w:rPr>
          <w:rFonts w:hint="eastAsia"/>
        </w:rPr>
        <w:t>可见异物</w:t>
      </w:r>
    </w:p>
    <w:p w14:paraId="52ECAFE8">
      <w:pPr>
        <w:pStyle w:val="57"/>
        <w:ind w:firstLine="420"/>
      </w:pPr>
      <w:r>
        <w:rPr>
          <w:rFonts w:hint="eastAsia"/>
        </w:rPr>
        <w:t>按《中华人民共和国药典》（2025年版）四部通则0904“可见异物检查法”中“灯检法”规定的方法进行测定。</w:t>
      </w:r>
    </w:p>
    <w:p w14:paraId="7730F132">
      <w:pPr>
        <w:pStyle w:val="106"/>
        <w:spacing w:before="120" w:after="120"/>
      </w:pPr>
      <w:bookmarkStart w:id="77" w:name="_Toc31273"/>
      <w:bookmarkStart w:id="78" w:name="_Toc13015"/>
      <w:r>
        <w:rPr>
          <w:rFonts w:hint="eastAsia"/>
        </w:rPr>
        <w:t>理化指标</w:t>
      </w:r>
      <w:bookmarkEnd w:id="77"/>
      <w:bookmarkEnd w:id="78"/>
    </w:p>
    <w:p w14:paraId="2A24B658">
      <w:pPr>
        <w:pStyle w:val="66"/>
        <w:spacing w:before="120" w:after="120"/>
      </w:pPr>
      <w:r>
        <w:rPr>
          <w:rFonts w:hint="eastAsia"/>
        </w:rPr>
        <w:t>纯度</w:t>
      </w:r>
    </w:p>
    <w:p w14:paraId="24A905E3">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电泳纯度按《中华人民共和国药典》（2025年版）四部通则0541“电泳法”中“第五法 非还原型SDS-聚丙烯酰胺凝胶电泳法”测定，分离胶浓度根据目标分子量选择（10%</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 xml:space="preserve">15%），上样量应不低于10 </w:t>
      </w:r>
      <w:r>
        <w:rPr>
          <w:rFonts w:hint="default" w:ascii="Times New Roman" w:hAnsi="Times New Roman" w:cs="Times New Roman"/>
          <w:color w:val="000000" w:themeColor="text1"/>
          <w14:textFill>
            <w14:solidFill>
              <w14:schemeClr w14:val="tx1"/>
            </w14:solidFill>
          </w14:textFill>
        </w:rPr>
        <w:t>μ</w:t>
      </w:r>
      <w:r>
        <w:rPr>
          <w:rFonts w:hint="eastAsia"/>
          <w:color w:val="000000" w:themeColor="text1"/>
          <w14:textFill>
            <w14:solidFill>
              <w14:schemeClr w14:val="tx1"/>
            </w14:solidFill>
          </w14:textFill>
        </w:rPr>
        <w:t>g/泳道，经考马斯亮蓝R250染色后扫描定量；单体纯度采用分子排阻高效液相色谱法（SEC-HPLC）测定，按《中华人民共和国药典》（2025年版）四部通则0512“高效液相色谱法”执行。</w:t>
      </w:r>
    </w:p>
    <w:p w14:paraId="63922D4C">
      <w:pPr>
        <w:pStyle w:val="66"/>
        <w:spacing w:before="120" w:after="120"/>
      </w:pPr>
      <w:r>
        <w:rPr>
          <w:rFonts w:hint="eastAsia"/>
        </w:rPr>
        <w:t>蛋白含量</w:t>
      </w:r>
    </w:p>
    <w:p w14:paraId="64608A11">
      <w:pPr>
        <w:pStyle w:val="57"/>
        <w:ind w:firstLine="420"/>
      </w:pPr>
      <w:r>
        <w:rPr>
          <w:rFonts w:hint="eastAsia"/>
        </w:rPr>
        <w:t>按《中华人民共和国药典》（2025年版）四部通则0731“蛋白质含量测定法”中“第一法 凯氏定氮法”或“BCA法”规定的方法进行测定。</w:t>
      </w:r>
    </w:p>
    <w:p w14:paraId="2FFA342B">
      <w:pPr>
        <w:pStyle w:val="180"/>
      </w:pPr>
      <w:r>
        <w:rPr>
          <w:rFonts w:hint="eastAsia"/>
        </w:rPr>
        <w:t>如试样中含有对蛋白测定干扰的物质，应对方法的适用性进行验证和确认，可采用经验证的等效方法进行试验。</w:t>
      </w:r>
    </w:p>
    <w:p w14:paraId="13166C9C">
      <w:pPr>
        <w:pStyle w:val="66"/>
        <w:spacing w:before="120" w:after="120"/>
      </w:pPr>
      <w:r>
        <w:rPr>
          <w:rFonts w:hint="eastAsia"/>
        </w:rPr>
        <w:t>pH值</w:t>
      </w:r>
    </w:p>
    <w:p w14:paraId="2E8D9BCC">
      <w:pPr>
        <w:pStyle w:val="57"/>
        <w:ind w:firstLine="420"/>
      </w:pPr>
      <w:r>
        <w:rPr>
          <w:rFonts w:hint="eastAsia"/>
        </w:rPr>
        <w:t>按《中华人民共和国药典》（2025年版）四部通则0631“pH值测定法”规定的方法进行测定。</w:t>
      </w:r>
    </w:p>
    <w:p w14:paraId="288710FD">
      <w:pPr>
        <w:pStyle w:val="66"/>
        <w:spacing w:before="120" w:after="120"/>
      </w:pPr>
      <w:r>
        <w:rPr>
          <w:rFonts w:hint="eastAsia"/>
        </w:rPr>
        <w:t>水分</w:t>
      </w:r>
    </w:p>
    <w:p w14:paraId="0C4A6045">
      <w:pPr>
        <w:pStyle w:val="57"/>
        <w:ind w:firstLine="420"/>
      </w:pPr>
      <w:r>
        <w:rPr>
          <w:rFonts w:hint="eastAsia"/>
        </w:rPr>
        <w:t>按《中华人民共和国药典》（2025年版）四部通则0832“水分测定法”规定的方法进行测定。</w:t>
      </w:r>
    </w:p>
    <w:p w14:paraId="347CB2E5">
      <w:pPr>
        <w:pStyle w:val="66"/>
        <w:spacing w:before="120" w:after="120"/>
      </w:pPr>
      <w:r>
        <w:rPr>
          <w:rFonts w:hint="eastAsia"/>
        </w:rPr>
        <w:t>炽灼残渣</w:t>
      </w:r>
    </w:p>
    <w:p w14:paraId="78DDD55A">
      <w:pPr>
        <w:pStyle w:val="57"/>
        <w:ind w:firstLine="420"/>
      </w:pPr>
      <w:r>
        <w:rPr>
          <w:rFonts w:hint="eastAsia"/>
        </w:rPr>
        <w:t>按《中华人民共和国药典》（2025年版）四部通则0841“炽灼残渣测定法”规定的方法进行测定。</w:t>
      </w:r>
    </w:p>
    <w:p w14:paraId="39FB82E6">
      <w:pPr>
        <w:pStyle w:val="66"/>
        <w:spacing w:before="120" w:after="120"/>
      </w:pPr>
      <w:r>
        <w:rPr>
          <w:rFonts w:hint="eastAsia"/>
        </w:rPr>
        <w:t>外源性DNA残留量</w:t>
      </w:r>
    </w:p>
    <w:p w14:paraId="128CEE1A">
      <w:pPr>
        <w:pStyle w:val="57"/>
        <w:ind w:firstLine="420"/>
      </w:pPr>
      <w:r>
        <w:rPr>
          <w:rFonts w:hint="eastAsia"/>
        </w:rPr>
        <w:t>按《中华人民共和国药典》（2025年版）四部通则3407“外源性DNA残留量测定法”规定的方法进行测定。</w:t>
      </w:r>
    </w:p>
    <w:p w14:paraId="1CDD73B2">
      <w:pPr>
        <w:pStyle w:val="66"/>
        <w:spacing w:before="120" w:after="120"/>
      </w:pPr>
      <w:r>
        <w:rPr>
          <w:rFonts w:hint="eastAsia"/>
        </w:rPr>
        <w:t>宿主蛋白质残留量</w:t>
      </w:r>
    </w:p>
    <w:p w14:paraId="0AE44356">
      <w:pPr>
        <w:pStyle w:val="57"/>
        <w:ind w:firstLine="420"/>
      </w:pPr>
      <w:r>
        <w:rPr>
          <w:rFonts w:hint="eastAsia"/>
        </w:rPr>
        <w:t>按《中华人民共和国药典》（2025年版）四部通则3412“大肠埃希菌菌体蛋白质残留量测定法”或3414“酵母工程菌菌体蛋白质残留量测定法”规定的方法进行测定。按宿主菌选用试样方法。</w:t>
      </w:r>
    </w:p>
    <w:p w14:paraId="2CAA1F62">
      <w:pPr>
        <w:pStyle w:val="66"/>
        <w:spacing w:before="120" w:after="120"/>
      </w:pPr>
      <w:r>
        <w:rPr>
          <w:rFonts w:hint="eastAsia"/>
        </w:rPr>
        <w:t>内毒素</w:t>
      </w:r>
    </w:p>
    <w:p w14:paraId="44C741AC">
      <w:pPr>
        <w:pStyle w:val="57"/>
        <w:ind w:firstLine="420"/>
      </w:pPr>
      <w:r>
        <w:rPr>
          <w:rFonts w:hint="eastAsia"/>
        </w:rPr>
        <w:t>按《中华人民共和国药典》（2025年版）四部通则1143“细菌内毒素检查法”规定的方法进行测定。</w:t>
      </w:r>
    </w:p>
    <w:p w14:paraId="7F7C4DFC">
      <w:pPr>
        <w:pStyle w:val="66"/>
        <w:spacing w:before="120" w:after="120"/>
      </w:pPr>
      <w:r>
        <w:rPr>
          <w:rFonts w:hint="eastAsia"/>
        </w:rPr>
        <w:t>相变温度</w:t>
      </w:r>
    </w:p>
    <w:p w14:paraId="4A1C95AC">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采用紫外分光光度法测定：样品浓度</w:t>
      </w:r>
      <w:r>
        <w:rPr>
          <w:color w:val="000000" w:themeColor="text1"/>
          <w14:textFill>
            <w14:solidFill>
              <w14:schemeClr w14:val="tx1"/>
            </w14:solidFill>
          </w14:textFill>
        </w:rPr>
        <w:t>0.5 mg/mL</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1.0 mg/mL</w:t>
      </w:r>
      <w:r>
        <w:rPr>
          <w:rFonts w:hint="eastAsia"/>
          <w:color w:val="000000" w:themeColor="text1"/>
          <w14:textFill>
            <w14:solidFill>
              <w14:schemeClr w14:val="tx1"/>
            </w14:solidFill>
          </w14:textFill>
        </w:rPr>
        <w:t>，以</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/min</w:t>
      </w:r>
      <w:r>
        <w:rPr>
          <w:rFonts w:hint="eastAsia"/>
          <w:color w:val="000000" w:themeColor="text1"/>
          <w14:textFill>
            <w14:solidFill>
              <w14:schemeClr w14:val="tx1"/>
            </w14:solidFill>
          </w14:textFill>
        </w:rPr>
        <w:t>的升温速率在</w:t>
      </w:r>
      <w:r>
        <w:rPr>
          <w:color w:val="000000" w:themeColor="text1"/>
          <w14:textFill>
            <w14:solidFill>
              <w14:schemeClr w14:val="tx1"/>
            </w14:solidFill>
          </w14:textFill>
        </w:rPr>
        <w:t>10</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55</w:t>
      </w:r>
      <w:r>
        <w:rPr>
          <w:rFonts w:hint="eastAsia"/>
          <w:color w:val="000000" w:themeColor="text1"/>
          <w14:textFill>
            <w14:solidFill>
              <w14:schemeClr w14:val="tx1"/>
            </w14:solidFill>
          </w14:textFill>
        </w:rPr>
        <w:t>℃范围内梯度升温，同步测定</w:t>
      </w:r>
      <w:r>
        <w:rPr>
          <w:color w:val="000000" w:themeColor="text1"/>
          <w14:textFill>
            <w14:solidFill>
              <w14:schemeClr w14:val="tx1"/>
            </w14:solidFill>
          </w14:textFill>
        </w:rPr>
        <w:t>OD₃₄₅ₙₘ</w:t>
      </w:r>
      <w:r>
        <w:rPr>
          <w:rFonts w:hint="eastAsia"/>
          <w:color w:val="000000" w:themeColor="text1"/>
          <w14:textFill>
            <w14:solidFill>
              <w14:schemeClr w14:val="tx1"/>
            </w14:solidFill>
          </w14:textFill>
        </w:rPr>
        <w:t>吸光度变化，以吸光度</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温度曲线一阶导数的峰值对应温度为相变温度。</w:t>
      </w:r>
    </w:p>
    <w:p w14:paraId="4CAB2361">
      <w:pPr>
        <w:pStyle w:val="66"/>
        <w:spacing w:before="120" w:after="120"/>
      </w:pPr>
      <w:r>
        <w:rPr>
          <w:rFonts w:hint="eastAsia"/>
        </w:rPr>
        <w:t>重金属总量</w:t>
      </w:r>
    </w:p>
    <w:p w14:paraId="33A67EFD">
      <w:pPr>
        <w:pStyle w:val="57"/>
        <w:ind w:firstLine="420"/>
      </w:pPr>
      <w:r>
        <w:rPr>
          <w:rFonts w:hint="eastAsia"/>
        </w:rPr>
        <w:t>按《中华人民共和国药典》（2025年版）四部通则0821“重金属检查法”规定的方法进行测定。</w:t>
      </w:r>
    </w:p>
    <w:p w14:paraId="5E276224">
      <w:pPr>
        <w:pStyle w:val="66"/>
        <w:spacing w:before="120" w:after="120"/>
      </w:pPr>
      <w:r>
        <w:rPr>
          <w:rFonts w:hint="eastAsia"/>
        </w:rPr>
        <w:t>热稳定性</w:t>
      </w:r>
    </w:p>
    <w:p w14:paraId="3D8A494E">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如适用，将样品经经验证的灭菌工艺处理后，采用SEC-HPLC法测定完整蛋白保留率（以未灭菌样品为对照），采用MTT法或CCK-8法测定细胞增殖活性，计算生物活性保留率。</w:t>
      </w:r>
    </w:p>
    <w:p w14:paraId="6DC70254">
      <w:pPr>
        <w:pStyle w:val="66"/>
        <w:spacing w:before="120" w:after="120"/>
      </w:pPr>
      <w:r>
        <w:rPr>
          <w:rFonts w:hint="eastAsia"/>
        </w:rPr>
        <w:t>残余抗生素活性</w:t>
      </w:r>
    </w:p>
    <w:p w14:paraId="44281371">
      <w:pPr>
        <w:pStyle w:val="57"/>
        <w:ind w:firstLine="420"/>
      </w:pPr>
      <w:r>
        <w:rPr>
          <w:rFonts w:hint="eastAsia"/>
        </w:rPr>
        <w:t>按《中华人民共和国药典》（2025年版）四部通则3408“抗生素残留量检查法”规定的方法进行测定。</w:t>
      </w:r>
    </w:p>
    <w:p w14:paraId="46B09ABB">
      <w:pPr>
        <w:pStyle w:val="106"/>
        <w:spacing w:before="120" w:after="120"/>
      </w:pPr>
      <w:bookmarkStart w:id="79" w:name="_Toc17016"/>
      <w:bookmarkStart w:id="80" w:name="_Toc16695"/>
      <w:r>
        <w:rPr>
          <w:rFonts w:hint="eastAsia"/>
        </w:rPr>
        <w:t>微生物限度</w:t>
      </w:r>
      <w:bookmarkEnd w:id="79"/>
      <w:bookmarkEnd w:id="80"/>
    </w:p>
    <w:p w14:paraId="5729BC87">
      <w:pPr>
        <w:pStyle w:val="57"/>
        <w:ind w:firstLine="420"/>
      </w:pPr>
      <w:r>
        <w:rPr>
          <w:rFonts w:hint="eastAsia"/>
        </w:rPr>
        <w:t>按《中华人民共和国药典》（2025年版）四部通则1105“非无菌产品微生物限度检查：微生物计数法”、1106“非无菌产品微生物限度检查：控制菌检查法”规定的方法进行测定。</w:t>
      </w:r>
    </w:p>
    <w:p w14:paraId="2445E9B0">
      <w:pPr>
        <w:pStyle w:val="106"/>
        <w:spacing w:before="120" w:after="120"/>
      </w:pPr>
      <w:bookmarkStart w:id="81" w:name="_Toc27180"/>
      <w:bookmarkStart w:id="82" w:name="_Toc7896"/>
      <w:r>
        <w:rPr>
          <w:rFonts w:hint="eastAsia"/>
        </w:rPr>
        <w:t>生物学功能</w:t>
      </w:r>
      <w:bookmarkEnd w:id="81"/>
      <w:bookmarkEnd w:id="82"/>
    </w:p>
    <w:p w14:paraId="21D9DFED">
      <w:pPr>
        <w:pStyle w:val="66"/>
        <w:spacing w:before="120" w:after="120"/>
      </w:pPr>
      <w:r>
        <w:rPr>
          <w:rFonts w:hint="eastAsia"/>
        </w:rPr>
        <w:t>细胞黏附性</w:t>
      </w:r>
    </w:p>
    <w:p w14:paraId="2C4320A5">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参照</w:t>
      </w:r>
      <w:r>
        <w:rPr>
          <w:color w:val="000000" w:themeColor="text1"/>
          <w14:textFill>
            <w14:solidFill>
              <w14:schemeClr w14:val="tx1"/>
            </w14:solidFill>
          </w14:textFill>
        </w:rPr>
        <w:t>YY/T 1849—2022</w:t>
      </w:r>
      <w:r>
        <w:rPr>
          <w:rFonts w:hint="eastAsia"/>
          <w:color w:val="000000" w:themeColor="text1"/>
          <w14:textFill>
            <w14:solidFill>
              <w14:schemeClr w14:val="tx1"/>
            </w14:solidFill>
          </w14:textFill>
        </w:rPr>
        <w:t>中附录</w:t>
      </w:r>
      <w:r>
        <w:rPr>
          <w:color w:val="000000" w:themeColor="text1"/>
          <w14:textFill>
            <w14:solidFill>
              <w14:schemeClr w14:val="tx1"/>
            </w14:solidFill>
          </w14:textFill>
        </w:rPr>
        <w:t>B</w:t>
      </w:r>
      <w:r>
        <w:rPr>
          <w:rFonts w:hint="eastAsia"/>
          <w:color w:val="000000" w:themeColor="text1"/>
          <w14:textFill>
            <w14:solidFill>
              <w14:schemeClr w14:val="tx1"/>
            </w14:solidFill>
          </w14:textFill>
        </w:rPr>
        <w:t>或其他经验证的方法进行。采用结晶紫染色法测定：将重组弹性蛋白包被于培养板（包被浓度</w:t>
      </w:r>
      <w:r>
        <w:rPr>
          <w:color w:val="000000" w:themeColor="text1"/>
          <w14:textFill>
            <w14:solidFill>
              <w14:schemeClr w14:val="tx1"/>
            </w14:solidFill>
          </w14:textFill>
        </w:rPr>
        <w:t>10 μg/mL</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50 μg/mL</w:t>
      </w:r>
      <w:r>
        <w:rPr>
          <w:rFonts w:hint="eastAsia"/>
          <w:color w:val="000000" w:themeColor="text1"/>
          <w14:textFill>
            <w14:solidFill>
              <w14:schemeClr w14:val="tx1"/>
            </w14:solidFill>
          </w14:textFill>
        </w:rPr>
        <w:t>），接种人皮肤成纤维细胞（</w:t>
      </w:r>
      <w:r>
        <w:rPr>
          <w:color w:val="000000" w:themeColor="text1"/>
          <w14:textFill>
            <w14:solidFill>
              <w14:schemeClr w14:val="tx1"/>
            </w14:solidFill>
          </w14:textFill>
        </w:rPr>
        <w:t>HDF</w:t>
      </w:r>
      <w:r>
        <w:rPr>
          <w:rFonts w:hint="eastAsia"/>
          <w:color w:val="000000" w:themeColor="text1"/>
          <w14:textFill>
            <w14:solidFill>
              <w14:schemeClr w14:val="tx1"/>
            </w14:solidFill>
          </w14:textFill>
        </w:rPr>
        <w:t>）或</w:t>
      </w:r>
      <w:r>
        <w:rPr>
          <w:color w:val="000000" w:themeColor="text1"/>
          <w14:textFill>
            <w14:solidFill>
              <w14:schemeClr w14:val="tx1"/>
            </w14:solidFill>
          </w14:textFill>
        </w:rPr>
        <w:t>L929</w:t>
      </w:r>
      <w:r>
        <w:rPr>
          <w:rFonts w:hint="eastAsia"/>
          <w:color w:val="000000" w:themeColor="text1"/>
          <w14:textFill>
            <w14:solidFill>
              <w14:schemeClr w14:val="tx1"/>
            </w14:solidFill>
          </w14:textFill>
        </w:rPr>
        <w:t>细胞（接种密度</w:t>
      </w:r>
      <w:r>
        <w:rPr>
          <w:color w:val="000000" w:themeColor="text1"/>
          <w14:textFill>
            <w14:solidFill>
              <w14:schemeClr w14:val="tx1"/>
            </w14:solidFill>
          </w14:textFill>
        </w:rPr>
        <w:t>1×10⁴</w:t>
      </w:r>
      <w:r>
        <w:rPr>
          <w:rFonts w:hint="eastAsia"/>
          <w:color w:val="000000" w:themeColor="text1"/>
          <w14:textFill>
            <w14:solidFill>
              <w14:schemeClr w14:val="tx1"/>
            </w14:solidFill>
          </w14:textFill>
        </w:rPr>
        <w:t>个</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孔</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5×10⁴</w:t>
      </w:r>
      <w:r>
        <w:rPr>
          <w:rFonts w:hint="eastAsia"/>
          <w:color w:val="000000" w:themeColor="text1"/>
          <w14:textFill>
            <w14:solidFill>
              <w14:schemeClr w14:val="tx1"/>
            </w14:solidFill>
          </w14:textFill>
        </w:rPr>
        <w:t>个</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孔），培养</w:t>
      </w:r>
      <w:r>
        <w:rPr>
          <w:color w:val="000000" w:themeColor="text1"/>
          <w14:textFill>
            <w14:solidFill>
              <w14:schemeClr w14:val="tx1"/>
            </w14:solidFill>
          </w14:textFill>
        </w:rPr>
        <w:t>1 h</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4 h</w:t>
      </w:r>
      <w:r>
        <w:rPr>
          <w:rFonts w:hint="eastAsia"/>
          <w:color w:val="000000" w:themeColor="text1"/>
          <w14:textFill>
            <w14:solidFill>
              <w14:schemeClr w14:val="tx1"/>
            </w14:solidFill>
          </w14:textFill>
        </w:rPr>
        <w:t>后</w:t>
      </w:r>
      <w:r>
        <w:rPr>
          <w:color w:val="000000" w:themeColor="text1"/>
          <w14:textFill>
            <w14:solidFill>
              <w14:schemeClr w14:val="tx1"/>
            </w14:solidFill>
          </w14:textFill>
        </w:rPr>
        <w:t>PBS</w:t>
      </w:r>
      <w:r>
        <w:rPr>
          <w:rFonts w:hint="eastAsia"/>
          <w:color w:val="000000" w:themeColor="text1"/>
          <w14:textFill>
            <w14:solidFill>
              <w14:schemeClr w14:val="tx1"/>
            </w14:solidFill>
          </w14:textFill>
        </w:rPr>
        <w:t>洗涤，结晶紫染色，酶标仪</w:t>
      </w:r>
      <w:r>
        <w:rPr>
          <w:color w:val="000000" w:themeColor="text1"/>
          <w14:textFill>
            <w14:solidFill>
              <w14:schemeClr w14:val="tx1"/>
            </w14:solidFill>
          </w14:textFill>
        </w:rPr>
        <w:t>570 nm</w:t>
      </w:r>
      <w:r>
        <w:rPr>
          <w:rFonts w:hint="eastAsia"/>
          <w:color w:val="000000" w:themeColor="text1"/>
          <w14:textFill>
            <w14:solidFill>
              <w14:schemeClr w14:val="tx1"/>
            </w14:solidFill>
          </w14:textFill>
        </w:rPr>
        <w:t>处测定吸光度，以未包被孔为空白对照，计算细胞黏附率。</w:t>
      </w:r>
    </w:p>
    <w:p w14:paraId="50321B9A">
      <w:pPr>
        <w:pStyle w:val="66"/>
        <w:spacing w:before="120" w:after="120"/>
        <w:rPr>
          <w:color w:val="000000" w:themeColor="text1"/>
          <w14:textFill>
            <w14:solidFill>
              <w14:schemeClr w14:val="tx1"/>
            </w14:solidFill>
          </w14:textFill>
        </w:rPr>
      </w:pPr>
      <w:r>
        <w:rPr>
          <w:rFonts w:hint="eastAsia"/>
          <w:color w:val="000000" w:themeColor="text1"/>
          <w14:textFill>
            <w14:solidFill>
              <w14:schemeClr w14:val="tx1"/>
            </w14:solidFill>
          </w14:textFill>
        </w:rPr>
        <w:t>细胞增殖</w:t>
      </w:r>
    </w:p>
    <w:p w14:paraId="18715976">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采用MTT法或CCK-8法测定：以人皮肤成纤维细胞（HDF）或L929细胞为模型（接种密度1×10³个/孔</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 xml:space="preserve">5×10³个/孔），加入含重组弹性蛋白（终浓度1 </w:t>
      </w:r>
      <w:r>
        <w:rPr>
          <w:rFonts w:hint="default" w:ascii="Times New Roman" w:hAnsi="Times New Roman" w:cs="Times New Roman"/>
          <w:color w:val="000000" w:themeColor="text1"/>
          <w14:textFill>
            <w14:solidFill>
              <w14:schemeClr w14:val="tx1"/>
            </w14:solidFill>
          </w14:textFill>
        </w:rPr>
        <w:t>μ</w:t>
      </w:r>
      <w:r>
        <w:rPr>
          <w:rFonts w:hint="eastAsia"/>
          <w:color w:val="000000" w:themeColor="text1"/>
          <w14:textFill>
            <w14:solidFill>
              <w14:schemeClr w14:val="tx1"/>
            </w14:solidFill>
          </w14:textFill>
        </w:rPr>
        <w:t>g/mL</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 xml:space="preserve">100 </w:t>
      </w:r>
      <w:r>
        <w:rPr>
          <w:rFonts w:hint="default" w:ascii="Times New Roman" w:hAnsi="Times New Roman" w:cs="Times New Roman"/>
          <w:color w:val="000000" w:themeColor="text1"/>
          <w14:textFill>
            <w14:solidFill>
              <w14:schemeClr w14:val="tx1"/>
            </w14:solidFill>
          </w14:textFill>
        </w:rPr>
        <w:t>μ</w:t>
      </w:r>
      <w:r>
        <w:rPr>
          <w:rFonts w:hint="eastAsia"/>
          <w:color w:val="000000" w:themeColor="text1"/>
          <w14:textFill>
            <w14:solidFill>
              <w14:schemeClr w14:val="tx1"/>
            </w14:solidFill>
          </w14:textFill>
        </w:rPr>
        <w:t>g/mL）的培养基培养24 h</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72 h，以不含样品的培养基为空白对照，计算相对细胞增殖率。</w:t>
      </w:r>
    </w:p>
    <w:p w14:paraId="21965E61">
      <w:pPr>
        <w:pStyle w:val="66"/>
        <w:spacing w:before="120" w:after="120"/>
        <w:rPr>
          <w:color w:val="000000" w:themeColor="text1"/>
          <w14:textFill>
            <w14:solidFill>
              <w14:schemeClr w14:val="tx1"/>
            </w14:solidFill>
          </w14:textFill>
        </w:rPr>
      </w:pPr>
      <w:r>
        <w:rPr>
          <w:rFonts w:hint="eastAsia"/>
          <w:color w:val="000000" w:themeColor="text1"/>
          <w14:textFill>
            <w14:solidFill>
              <w14:schemeClr w14:val="tx1"/>
            </w14:solidFill>
          </w14:textFill>
        </w:rPr>
        <w:t>细胞迁移</w:t>
      </w:r>
    </w:p>
    <w:p w14:paraId="3FFC0E0B">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采用细胞划痕试验或Transwell小室法测定：以人皮肤成纤维细胞（HDF）或L929细胞为模型，细胞融合度达90%以上时进行划痕，加入含重组弹性蛋白（终浓度1 </w:t>
      </w:r>
      <w:r>
        <w:rPr>
          <w:rFonts w:hint="default" w:ascii="Times New Roman" w:hAnsi="Times New Roman" w:cs="Times New Roman"/>
          <w:color w:val="000000" w:themeColor="text1"/>
          <w14:textFill>
            <w14:solidFill>
              <w14:schemeClr w14:val="tx1"/>
            </w14:solidFill>
          </w14:textFill>
        </w:rPr>
        <w:t>μ</w:t>
      </w:r>
      <w:r>
        <w:rPr>
          <w:rFonts w:hint="eastAsia"/>
          <w:color w:val="000000" w:themeColor="text1"/>
          <w14:textFill>
            <w14:solidFill>
              <w14:schemeClr w14:val="tx1"/>
            </w14:solidFill>
          </w14:textFill>
        </w:rPr>
        <w:t>g/mL</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 xml:space="preserve">100 </w:t>
      </w:r>
      <w:r>
        <w:rPr>
          <w:rFonts w:hint="default" w:ascii="Times New Roman" w:hAnsi="Times New Roman" w:cs="Times New Roman"/>
          <w:color w:val="000000" w:themeColor="text1"/>
          <w14:textFill>
            <w14:solidFill>
              <w14:schemeClr w14:val="tx1"/>
            </w14:solidFill>
          </w14:textFill>
        </w:rPr>
        <w:t>μ</w:t>
      </w:r>
      <w:r>
        <w:rPr>
          <w:rFonts w:hint="eastAsia"/>
          <w:color w:val="000000" w:themeColor="text1"/>
          <w14:textFill>
            <w14:solidFill>
              <w14:schemeClr w14:val="tx1"/>
            </w14:solidFill>
          </w14:textFill>
        </w:rPr>
        <w:t>g/mL）的无血清培养基，培养12 h</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24 h后测量划痕宽度，以不含样品的无血清培养基为空白对照，计算细胞迁移率。</w:t>
      </w:r>
    </w:p>
    <w:p w14:paraId="62F5C489">
      <w:pPr>
        <w:pStyle w:val="66"/>
        <w:spacing w:before="120" w:after="120"/>
        <w:rPr>
          <w:color w:val="000000" w:themeColor="text1"/>
          <w14:textFill>
            <w14:solidFill>
              <w14:schemeClr w14:val="tx1"/>
            </w14:solidFill>
          </w14:textFill>
        </w:rPr>
      </w:pPr>
      <w:r>
        <w:rPr>
          <w:rFonts w:hint="eastAsia"/>
          <w:color w:val="000000" w:themeColor="text1"/>
          <w14:textFill>
            <w14:solidFill>
              <w14:schemeClr w14:val="tx1"/>
            </w14:solidFill>
          </w14:textFill>
        </w:rPr>
        <w:t>生物活性保留率</w:t>
      </w:r>
    </w:p>
    <w:p w14:paraId="60C9A355">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在规定的贮存条件下，分别于0、3、6、9、12、24个月（按产品有效期确定取样点）取样，采用MTT法或CCK-8法测定促细胞增殖活性，计算相对于初始活性（0月）的保留率。</w:t>
      </w:r>
    </w:p>
    <w:p w14:paraId="54CF874D">
      <w:pPr>
        <w:pStyle w:val="105"/>
        <w:spacing w:before="240" w:after="240"/>
        <w:rPr>
          <w:color w:val="000000" w:themeColor="text1"/>
          <w14:textFill>
            <w14:solidFill>
              <w14:schemeClr w14:val="tx1"/>
            </w14:solidFill>
          </w14:textFill>
        </w:rPr>
      </w:pPr>
      <w:bookmarkStart w:id="83" w:name="_Toc2766"/>
      <w:bookmarkStart w:id="84" w:name="_Toc26533"/>
      <w:bookmarkStart w:id="85" w:name="_Toc12639"/>
      <w:r>
        <w:rPr>
          <w:rFonts w:hint="eastAsia"/>
          <w:color w:val="000000" w:themeColor="text1"/>
          <w14:textFill>
            <w14:solidFill>
              <w14:schemeClr w14:val="tx1"/>
            </w14:solidFill>
          </w14:textFill>
        </w:rPr>
        <w:t>生物学评价</w:t>
      </w:r>
      <w:bookmarkEnd w:id="83"/>
      <w:bookmarkEnd w:id="84"/>
      <w:bookmarkEnd w:id="85"/>
    </w:p>
    <w:p w14:paraId="4FAE2069">
      <w:pPr>
        <w:pStyle w:val="163"/>
        <w:rPr>
          <w:color w:val="000000" w:themeColor="text1"/>
          <w14:textFill>
            <w14:solidFill>
              <w14:schemeClr w14:val="tx1"/>
            </w14:solidFill>
          </w14:textFill>
        </w:rPr>
      </w:pPr>
      <w:r>
        <w:rPr>
          <w:rFonts w:hint="eastAsia"/>
          <w:color w:val="000000" w:themeColor="text1"/>
          <w14:textFill>
            <w14:solidFill>
              <w14:schemeClr w14:val="tx1"/>
            </w14:solidFill>
          </w14:textFill>
        </w:rPr>
        <w:t>当本产品作为医疗器械原材料时，应按GB/T 16886.1的要求，结合最终器械的接触部位、接触时间和接触方式开展生物学评价，评价项目至少包括细胞毒性、致敏、刺激（如适用）、植入（如适用）。</w:t>
      </w:r>
    </w:p>
    <w:p w14:paraId="5D6216A7">
      <w:pPr>
        <w:pStyle w:val="163"/>
        <w:rPr>
          <w:color w:val="000000" w:themeColor="text1"/>
          <w14:textFill>
            <w14:solidFill>
              <w14:schemeClr w14:val="tx1"/>
            </w14:solidFill>
          </w14:textFill>
        </w:rPr>
      </w:pPr>
      <w:r>
        <w:rPr>
          <w:rFonts w:hint="eastAsia"/>
          <w:color w:val="000000" w:themeColor="text1"/>
          <w14:textFill>
            <w14:solidFill>
              <w14:schemeClr w14:val="tx1"/>
            </w14:solidFill>
          </w14:textFill>
        </w:rPr>
        <w:t>基于人弹性蛋白序列编辑、重组修饰得到的产物，存在不可预知免疫原性风险；若不能排除免疫风险，应开展免疫学研究，试验方法执行GB/T 16886.20、YY/T 1465（所有部分）。</w:t>
      </w:r>
    </w:p>
    <w:p w14:paraId="75FB2172">
      <w:pPr>
        <w:pStyle w:val="163"/>
      </w:pPr>
      <w:r>
        <w:rPr>
          <w:rFonts w:hint="eastAsia"/>
        </w:rPr>
        <w:t>若产品以非无菌形式提供，灭菌处理用于生物学评价试验时，应当评估灭菌工艺对重组弹性蛋白结构、生物活性的影响。</w:t>
      </w:r>
    </w:p>
    <w:p w14:paraId="2AC2EDBB">
      <w:pPr>
        <w:pStyle w:val="105"/>
        <w:spacing w:before="240" w:after="240"/>
      </w:pPr>
      <w:bookmarkStart w:id="86" w:name="_Toc18009"/>
      <w:bookmarkStart w:id="87" w:name="_Toc26250"/>
      <w:bookmarkStart w:id="88" w:name="_Toc28190"/>
      <w:r>
        <w:rPr>
          <w:rFonts w:hint="eastAsia"/>
        </w:rPr>
        <w:t>检验规则</w:t>
      </w:r>
      <w:bookmarkEnd w:id="86"/>
      <w:bookmarkEnd w:id="87"/>
      <w:bookmarkEnd w:id="88"/>
    </w:p>
    <w:p w14:paraId="74923FA7">
      <w:pPr>
        <w:pStyle w:val="106"/>
        <w:spacing w:before="120" w:after="120"/>
      </w:pPr>
      <w:bookmarkStart w:id="89" w:name="_Toc5557"/>
      <w:bookmarkStart w:id="90" w:name="_Toc26165"/>
      <w:r>
        <w:rPr>
          <w:rFonts w:hint="eastAsia"/>
        </w:rPr>
        <w:t>组批</w:t>
      </w:r>
      <w:bookmarkEnd w:id="89"/>
      <w:bookmarkEnd w:id="90"/>
    </w:p>
    <w:p w14:paraId="14E0AF77">
      <w:pPr>
        <w:pStyle w:val="57"/>
        <w:ind w:firstLine="420"/>
      </w:pPr>
      <w:r>
        <w:rPr>
          <w:rFonts w:hint="eastAsia"/>
        </w:rPr>
        <w:t>以一个发酵罐发酵纯化生产的产品为一检验批。</w:t>
      </w:r>
    </w:p>
    <w:p w14:paraId="7D2FA294">
      <w:pPr>
        <w:pStyle w:val="106"/>
        <w:spacing w:before="120" w:after="120"/>
      </w:pPr>
      <w:bookmarkStart w:id="91" w:name="_Toc7513"/>
      <w:bookmarkStart w:id="92" w:name="_Toc727"/>
      <w:r>
        <w:rPr>
          <w:rFonts w:hint="eastAsia"/>
        </w:rPr>
        <w:t>抽样</w:t>
      </w:r>
      <w:bookmarkEnd w:id="91"/>
      <w:bookmarkEnd w:id="92"/>
    </w:p>
    <w:p w14:paraId="04F521C7">
      <w:pPr>
        <w:pStyle w:val="57"/>
        <w:ind w:firstLine="420"/>
      </w:pPr>
      <w:r>
        <w:rPr>
          <w:rFonts w:hint="eastAsia"/>
        </w:rPr>
        <w:t>自检验批中随机抽取样品，总量应不少于2 g，均分为两份，1份做检样，另一份留样备查。</w:t>
      </w:r>
    </w:p>
    <w:p w14:paraId="07D81F14">
      <w:pPr>
        <w:pStyle w:val="106"/>
        <w:spacing w:before="120" w:after="120"/>
      </w:pPr>
      <w:bookmarkStart w:id="93" w:name="_Toc881"/>
      <w:bookmarkStart w:id="94" w:name="_Toc26605"/>
      <w:r>
        <w:rPr>
          <w:rFonts w:hint="eastAsia"/>
        </w:rPr>
        <w:t>出厂检验</w:t>
      </w:r>
      <w:bookmarkEnd w:id="93"/>
      <w:bookmarkEnd w:id="94"/>
    </w:p>
    <w:p w14:paraId="07DAF779">
      <w:pPr>
        <w:pStyle w:val="66"/>
        <w:spacing w:before="120" w:after="120"/>
      </w:pPr>
      <w:r>
        <w:rPr>
          <w:rFonts w:hint="eastAsia"/>
        </w:rPr>
        <w:t>检验规则</w:t>
      </w:r>
    </w:p>
    <w:p w14:paraId="4438CDBE">
      <w:pPr>
        <w:pStyle w:val="57"/>
        <w:ind w:firstLine="420"/>
      </w:pPr>
      <w:r>
        <w:rPr>
          <w:rFonts w:hint="eastAsia"/>
        </w:rPr>
        <w:t>每批产品应经生产厂检验部门按本文件的规定进行检验，产品合格后方可出厂。</w:t>
      </w:r>
    </w:p>
    <w:p w14:paraId="29630145">
      <w:pPr>
        <w:pStyle w:val="66"/>
        <w:spacing w:before="120" w:after="120"/>
      </w:pPr>
      <w:r>
        <w:rPr>
          <w:rFonts w:hint="eastAsia"/>
        </w:rPr>
        <w:t>检验项目</w:t>
      </w:r>
    </w:p>
    <w:p w14:paraId="3E181741">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出厂检验的项目包括鉴别（氨基酸序列、分子量）、感官指标、蛋白纯度、蛋白含量、pH值、水分（冻干粉）、炽灼残渣、细菌内毒素、重金属总量、相变温度、微生物限度。</w:t>
      </w:r>
    </w:p>
    <w:p w14:paraId="3DA1824E">
      <w:pPr>
        <w:pStyle w:val="106"/>
        <w:spacing w:before="120" w:after="120"/>
      </w:pPr>
      <w:bookmarkStart w:id="95" w:name="_Toc27305"/>
      <w:bookmarkStart w:id="96" w:name="_Toc25808"/>
      <w:r>
        <w:rPr>
          <w:rFonts w:hint="eastAsia"/>
        </w:rPr>
        <w:t>型式检验</w:t>
      </w:r>
      <w:bookmarkEnd w:id="95"/>
      <w:bookmarkEnd w:id="96"/>
    </w:p>
    <w:p w14:paraId="5FE53580">
      <w:pPr>
        <w:pStyle w:val="66"/>
        <w:spacing w:before="120" w:after="120"/>
        <w:rPr>
          <w:color w:val="000000" w:themeColor="text1"/>
          <w14:textFill>
            <w14:solidFill>
              <w14:schemeClr w14:val="tx1"/>
            </w14:solidFill>
          </w14:textFill>
        </w:rPr>
      </w:pPr>
      <w:r>
        <w:rPr>
          <w:rFonts w:hint="eastAsia"/>
        </w:rPr>
        <w:t>检验规则</w:t>
      </w:r>
    </w:p>
    <w:p w14:paraId="0638ABCD">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型式检验应每</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年进行一次，有下列情况之一时亦应进行型式检验：</w:t>
      </w:r>
    </w:p>
    <w:p w14:paraId="573E85C4">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——新产品的试制鉴定或老产品转厂生产时；</w:t>
      </w:r>
    </w:p>
    <w:p w14:paraId="46BECBCE">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——原料、工艺有较大改变，可能影响产品质量时；</w:t>
      </w:r>
    </w:p>
    <w:p w14:paraId="02DDF841">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——更换主要生产设备时；</w:t>
      </w:r>
    </w:p>
    <w:p w14:paraId="6C7CE1AA">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——产品停产</w:t>
      </w: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年以上恢复生产时；</w:t>
      </w:r>
    </w:p>
    <w:p w14:paraId="0522AE79">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——出厂检验结果与上次型式检验有较大差异时；</w:t>
      </w:r>
    </w:p>
    <w:p w14:paraId="28E1059A">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——行业主管部门提出型式检验的要求时。</w:t>
      </w:r>
    </w:p>
    <w:p w14:paraId="14583177">
      <w:pPr>
        <w:pStyle w:val="66"/>
        <w:spacing w:before="120" w:after="120"/>
        <w:rPr>
          <w:color w:val="000000" w:themeColor="text1"/>
          <w14:textFill>
            <w14:solidFill>
              <w14:schemeClr w14:val="tx1"/>
            </w14:solidFill>
          </w14:textFill>
        </w:rPr>
      </w:pPr>
      <w:r>
        <w:rPr>
          <w:rFonts w:hint="eastAsia"/>
          <w:color w:val="000000" w:themeColor="text1"/>
          <w14:textFill>
            <w14:solidFill>
              <w14:schemeClr w14:val="tx1"/>
            </w14:solidFill>
          </w14:textFill>
        </w:rPr>
        <w:t>检验项目</w:t>
      </w:r>
    </w:p>
    <w:p w14:paraId="171625E9">
      <w:pPr>
        <w:pStyle w:val="57"/>
        <w:ind w:firstLine="420"/>
      </w:pPr>
      <w:r>
        <w:rPr>
          <w:rFonts w:hint="eastAsia"/>
          <w:color w:val="000000" w:themeColor="text1"/>
          <w14:textFill>
            <w14:solidFill>
              <w14:schemeClr w14:val="tx1"/>
            </w14:solidFill>
          </w14:textFill>
        </w:rPr>
        <w:t>型式检验项目为第</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章规定的全</w:t>
      </w:r>
      <w:r>
        <w:rPr>
          <w:rFonts w:hint="eastAsia"/>
        </w:rPr>
        <w:t>部项目。</w:t>
      </w:r>
    </w:p>
    <w:p w14:paraId="3A9BF015">
      <w:pPr>
        <w:pStyle w:val="66"/>
        <w:spacing w:before="120" w:after="120"/>
      </w:pPr>
      <w:r>
        <w:rPr>
          <w:rFonts w:hint="eastAsia"/>
        </w:rPr>
        <w:t>结果判定</w:t>
      </w:r>
    </w:p>
    <w:p w14:paraId="3E26E2F2">
      <w:pPr>
        <w:pStyle w:val="57"/>
        <w:ind w:firstLine="420"/>
        <w:rPr>
          <w:rFonts w:hint="eastAsia"/>
        </w:rPr>
      </w:pPr>
      <w:r>
        <w:rPr>
          <w:rFonts w:hint="eastAsia"/>
        </w:rPr>
        <w:t>若所有检验项目全部合格，则判定型式检验合格，否则判定为型式检验不合格。</w:t>
      </w:r>
    </w:p>
    <w:p w14:paraId="408D404D">
      <w:pPr>
        <w:pStyle w:val="57"/>
        <w:ind w:firstLine="420"/>
      </w:pPr>
      <w:r>
        <w:rPr>
          <w:rFonts w:hint="eastAsia"/>
        </w:rPr>
        <w:t>复检规则：检验结果中如有指标不符合本文件要求，可从同批产品中加倍抽样对不合格项进行复检。复检结果仍不合格，则判定该批产品不合格。微生物限度项目不得复检。</w:t>
      </w:r>
    </w:p>
    <w:p w14:paraId="1E9A305D">
      <w:pPr>
        <w:pStyle w:val="57"/>
        <w:ind w:firstLine="420"/>
      </w:pPr>
    </w:p>
    <w:p w14:paraId="7FE4514B">
      <w:pPr>
        <w:pStyle w:val="105"/>
        <w:spacing w:before="240" w:after="240"/>
      </w:pPr>
      <w:bookmarkStart w:id="97" w:name="_Toc30746"/>
      <w:bookmarkStart w:id="98" w:name="_Toc9644"/>
      <w:bookmarkStart w:id="99" w:name="_Toc25521"/>
      <w:r>
        <w:rPr>
          <w:rFonts w:hint="eastAsia"/>
        </w:rPr>
        <w:t>标志、包装、运输、贮存</w:t>
      </w:r>
      <w:bookmarkEnd w:id="97"/>
      <w:bookmarkEnd w:id="98"/>
      <w:bookmarkEnd w:id="99"/>
    </w:p>
    <w:p w14:paraId="7F1B777B">
      <w:pPr>
        <w:pStyle w:val="106"/>
        <w:spacing w:before="120" w:after="120"/>
      </w:pPr>
      <w:bookmarkStart w:id="100" w:name="_Toc28502"/>
      <w:bookmarkStart w:id="101" w:name="_Toc5210"/>
      <w:r>
        <w:rPr>
          <w:rFonts w:hint="eastAsia"/>
        </w:rPr>
        <w:t>标志</w:t>
      </w:r>
      <w:bookmarkEnd w:id="100"/>
      <w:bookmarkEnd w:id="101"/>
    </w:p>
    <w:p w14:paraId="6036806D">
      <w:pPr>
        <w:pStyle w:val="57"/>
        <w:ind w:firstLine="420"/>
      </w:pPr>
      <w:r>
        <w:rPr>
          <w:rFonts w:hint="eastAsia"/>
        </w:rPr>
        <w:t>产品包装标志至少应有下列内容：</w:t>
      </w:r>
    </w:p>
    <w:p w14:paraId="48C8032B">
      <w:pPr>
        <w:pStyle w:val="57"/>
        <w:ind w:firstLine="420"/>
      </w:pPr>
      <w:r>
        <w:rPr>
          <w:rFonts w:hint="eastAsia"/>
        </w:rPr>
        <w:t>——原料名称；</w:t>
      </w:r>
    </w:p>
    <w:p w14:paraId="126DA47F">
      <w:pPr>
        <w:pStyle w:val="57"/>
        <w:ind w:firstLine="420"/>
      </w:pPr>
      <w:r>
        <w:rPr>
          <w:rFonts w:hint="eastAsia"/>
        </w:rPr>
        <w:t>——原料规格（液体/冻干粉）；</w:t>
      </w:r>
    </w:p>
    <w:p w14:paraId="3D31D78B">
      <w:pPr>
        <w:pStyle w:val="57"/>
        <w:ind w:firstLine="420"/>
      </w:pPr>
      <w:r>
        <w:rPr>
          <w:rFonts w:hint="eastAsia"/>
        </w:rPr>
        <w:t>——含量；</w:t>
      </w:r>
    </w:p>
    <w:p w14:paraId="42F1B8A1">
      <w:pPr>
        <w:pStyle w:val="57"/>
        <w:ind w:firstLine="420"/>
      </w:pPr>
      <w:r>
        <w:rPr>
          <w:rFonts w:hint="eastAsia"/>
        </w:rPr>
        <w:t>——贮存条件；</w:t>
      </w:r>
    </w:p>
    <w:p w14:paraId="744E8AE1">
      <w:pPr>
        <w:pStyle w:val="57"/>
        <w:ind w:firstLine="420"/>
      </w:pPr>
      <w:r>
        <w:rPr>
          <w:rFonts w:hint="eastAsia"/>
        </w:rPr>
        <w:t>——使用期限（生产日期和保质期，或生产批号和限期使用日期）；</w:t>
      </w:r>
    </w:p>
    <w:p w14:paraId="6256262B">
      <w:pPr>
        <w:pStyle w:val="57"/>
        <w:ind w:firstLine="420"/>
      </w:pPr>
      <w:r>
        <w:rPr>
          <w:rFonts w:hint="eastAsia"/>
        </w:rPr>
        <w:t>——生产商基本信息；</w:t>
      </w:r>
    </w:p>
    <w:p w14:paraId="0E1F06C2">
      <w:pPr>
        <w:pStyle w:val="57"/>
        <w:ind w:firstLine="420"/>
      </w:pPr>
      <w:r>
        <w:rPr>
          <w:rFonts w:hint="eastAsia"/>
        </w:rPr>
        <w:t>——安全或警示信息；</w:t>
      </w:r>
    </w:p>
    <w:p w14:paraId="05467F6E">
      <w:pPr>
        <w:pStyle w:val="57"/>
        <w:ind w:firstLine="420"/>
      </w:pPr>
      <w:r>
        <w:rPr>
          <w:rFonts w:hint="eastAsia"/>
        </w:rPr>
        <w:t>——其他。</w:t>
      </w:r>
    </w:p>
    <w:p w14:paraId="47378700">
      <w:pPr>
        <w:pStyle w:val="106"/>
        <w:spacing w:before="120" w:after="120"/>
        <w:rPr>
          <w:color w:val="000000" w:themeColor="text1"/>
          <w14:textFill>
            <w14:solidFill>
              <w14:schemeClr w14:val="tx1"/>
            </w14:solidFill>
          </w14:textFill>
        </w:rPr>
      </w:pPr>
      <w:bookmarkStart w:id="102" w:name="_Toc14561"/>
      <w:bookmarkStart w:id="103" w:name="_Toc21501"/>
      <w:r>
        <w:rPr>
          <w:rFonts w:hint="eastAsia"/>
          <w:color w:val="000000" w:themeColor="text1"/>
          <w14:textFill>
            <w14:solidFill>
              <w14:schemeClr w14:val="tx1"/>
            </w14:solidFill>
          </w14:textFill>
        </w:rPr>
        <w:t>包装</w:t>
      </w:r>
      <w:bookmarkEnd w:id="102"/>
      <w:bookmarkEnd w:id="103"/>
    </w:p>
    <w:p w14:paraId="3BE2A62D">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产品包装应使用经验证的包装材料（如西林瓶、铝箔袋等），密封完好，应防水、防尘、防潮。</w:t>
      </w:r>
    </w:p>
    <w:p w14:paraId="74AFB0B4">
      <w:pPr>
        <w:pStyle w:val="106"/>
        <w:spacing w:before="120" w:after="120"/>
        <w:rPr>
          <w:color w:val="000000" w:themeColor="text1"/>
          <w14:textFill>
            <w14:solidFill>
              <w14:schemeClr w14:val="tx1"/>
            </w14:solidFill>
          </w14:textFill>
        </w:rPr>
      </w:pPr>
      <w:bookmarkStart w:id="104" w:name="_Toc25790"/>
      <w:bookmarkStart w:id="105" w:name="_Toc21437"/>
      <w:r>
        <w:rPr>
          <w:rFonts w:hint="eastAsia"/>
          <w:color w:val="000000" w:themeColor="text1"/>
          <w14:textFill>
            <w14:solidFill>
              <w14:schemeClr w14:val="tx1"/>
            </w14:solidFill>
          </w14:textFill>
        </w:rPr>
        <w:t>运输</w:t>
      </w:r>
      <w:bookmarkEnd w:id="104"/>
      <w:bookmarkEnd w:id="105"/>
    </w:p>
    <w:p w14:paraId="24900ACE">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液体剂型应在2℃</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8℃条件下冷链运输；冻干粉剂型可在常温（不超过25℃）条件下运输，运输时间不宜超过7天。运输时应使用洁净、有篷盖的运输工具，不应受潮、受热，不应与有毒物品混装。</w:t>
      </w:r>
    </w:p>
    <w:p w14:paraId="03BE5159">
      <w:pPr>
        <w:pStyle w:val="106"/>
        <w:spacing w:before="120" w:after="120"/>
        <w:rPr>
          <w:color w:val="000000" w:themeColor="text1"/>
          <w14:textFill>
            <w14:solidFill>
              <w14:schemeClr w14:val="tx1"/>
            </w14:solidFill>
          </w14:textFill>
        </w:rPr>
      </w:pPr>
      <w:bookmarkStart w:id="106" w:name="_Toc13167"/>
      <w:bookmarkStart w:id="107" w:name="_Toc7640"/>
      <w:r>
        <w:rPr>
          <w:rFonts w:hint="eastAsia"/>
          <w:color w:val="000000" w:themeColor="text1"/>
          <w14:textFill>
            <w14:solidFill>
              <w14:schemeClr w14:val="tx1"/>
            </w14:solidFill>
          </w14:textFill>
        </w:rPr>
        <w:t>贮存</w:t>
      </w:r>
      <w:bookmarkEnd w:id="106"/>
      <w:bookmarkEnd w:id="107"/>
    </w:p>
    <w:p w14:paraId="53D8B4DE">
      <w:pPr>
        <w:pStyle w:val="57"/>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液体剂型应在2℃</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8℃条件下冷藏保存；冻干粉剂型应在2℃</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8℃条件下冷藏保存，长期保存应于-20℃以下温度冻存。</w:t>
      </w:r>
    </w:p>
    <w:p w14:paraId="74343CD3">
      <w:pPr>
        <w:pStyle w:val="105"/>
        <w:spacing w:before="240" w:after="240"/>
        <w:rPr>
          <w:color w:val="000000" w:themeColor="text1"/>
          <w14:textFill>
            <w14:solidFill>
              <w14:schemeClr w14:val="tx1"/>
            </w14:solidFill>
          </w14:textFill>
        </w:rPr>
      </w:pPr>
      <w:bookmarkStart w:id="108" w:name="_Toc31208"/>
      <w:bookmarkStart w:id="109" w:name="_Toc26292"/>
      <w:bookmarkStart w:id="110" w:name="_Toc7774"/>
      <w:r>
        <w:rPr>
          <w:rFonts w:hint="eastAsia"/>
          <w:color w:val="000000" w:themeColor="text1"/>
          <w14:textFill>
            <w14:solidFill>
              <w14:schemeClr w14:val="tx1"/>
            </w14:solidFill>
          </w14:textFill>
        </w:rPr>
        <w:t>有效期</w:t>
      </w:r>
      <w:bookmarkEnd w:id="108"/>
      <w:bookmarkEnd w:id="109"/>
      <w:bookmarkEnd w:id="110"/>
    </w:p>
    <w:p w14:paraId="756B72FF">
      <w:pPr>
        <w:pStyle w:val="57"/>
        <w:ind w:firstLine="42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产品在2℃</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8℃条件下冷藏保存，有效期：液体剂型不少于12个月，冻干粉剂型不少于24个月；在-20℃以下条件下冻存，有效期不少于36个月。有效期应基于加速稳定性和长期稳定性研究数据确定，稳定性研究应至少包括外观、pH值、蛋白纯度、蛋白含量、相变温度、生物活性、微生物限度等考察指标。</w:t>
      </w:r>
    </w:p>
    <w:bookmarkEnd w:id="21"/>
    <w:p w14:paraId="5C9F2D5B">
      <w:pPr>
        <w:pStyle w:val="199"/>
        <w:rPr>
          <w:rFonts w:hint="eastAsia"/>
        </w:rPr>
      </w:pPr>
      <w:bookmarkStart w:id="111" w:name="BookMark5"/>
    </w:p>
    <w:p w14:paraId="583B77BA">
      <w:pPr>
        <w:pStyle w:val="200"/>
      </w:pPr>
    </w:p>
    <w:p w14:paraId="06C664BF">
      <w:pPr>
        <w:pStyle w:val="77"/>
        <w:spacing w:after="120"/>
      </w:pPr>
      <w:bookmarkStart w:id="112" w:name="_Toc22349"/>
      <w:bookmarkStart w:id="113" w:name="_Toc32487"/>
      <w:r>
        <w:br w:type="textWrapping"/>
      </w:r>
      <w:r>
        <w:rPr>
          <w:rFonts w:hint="eastAsia"/>
        </w:rPr>
        <w:t>（资料性）</w:t>
      </w:r>
      <w:r>
        <w:rPr>
          <w:rFonts w:hint="eastAsia"/>
        </w:rPr>
        <w:br w:type="textWrapping"/>
      </w:r>
      <w:r>
        <w:rPr>
          <w:rFonts w:hint="eastAsia"/>
        </w:rPr>
        <w:t>重组弹性蛋白特性分析</w:t>
      </w:r>
      <w:bookmarkEnd w:id="112"/>
      <w:bookmarkEnd w:id="113"/>
    </w:p>
    <w:p w14:paraId="2ED09C55">
      <w:pPr>
        <w:pStyle w:val="79"/>
        <w:spacing w:before="120" w:after="120"/>
      </w:pPr>
      <w:bookmarkStart w:id="114" w:name="_Toc4941"/>
      <w:r>
        <w:rPr>
          <w:rFonts w:hint="eastAsia"/>
        </w:rPr>
        <w:t>概述</w:t>
      </w:r>
      <w:bookmarkEnd w:id="114"/>
    </w:p>
    <w:p w14:paraId="327A4779">
      <w:pPr>
        <w:pStyle w:val="57"/>
        <w:ind w:firstLine="420"/>
      </w:pPr>
      <w:r>
        <w:rPr>
          <w:rFonts w:hint="eastAsia"/>
        </w:rPr>
        <w:t>研发阶段需要对重组弹性蛋白开展理化、生物学功能、免疫学特性、纯度杂质的完整特性分析，是制定质量标准的基础。应采用多种分析手段表征分子量、等电点、氨基酸组成、疏水重复序列、相变特性；评估翻译后修饰、聚集、降解，确认目标二级结构、温敏相变功能完整。</w:t>
      </w:r>
    </w:p>
    <w:p w14:paraId="3A1C6F27">
      <w:pPr>
        <w:pStyle w:val="79"/>
        <w:spacing w:before="120" w:after="120"/>
      </w:pPr>
      <w:bookmarkStart w:id="115" w:name="_Toc10224"/>
      <w:r>
        <w:rPr>
          <w:rFonts w:hint="eastAsia"/>
        </w:rPr>
        <w:t>理化特性</w:t>
      </w:r>
      <w:bookmarkEnd w:id="115"/>
    </w:p>
    <w:p w14:paraId="504E3527">
      <w:pPr>
        <w:pStyle w:val="80"/>
        <w:spacing w:before="120" w:after="120"/>
      </w:pPr>
      <w:r>
        <w:rPr>
          <w:rFonts w:hint="eastAsia"/>
        </w:rPr>
        <w:t>一级结构</w:t>
      </w:r>
    </w:p>
    <w:p w14:paraId="6CAA58BA">
      <w:pPr>
        <w:pStyle w:val="57"/>
        <w:ind w:firstLine="420"/>
      </w:pPr>
      <w:r>
        <w:rPr>
          <w:rFonts w:hint="eastAsia"/>
        </w:rPr>
        <w:t>氨基酸序列测定，比对基因推导理论序列；关注N端、C端修饰，脱酰胺、氧化、碎片化、聚集等异质性。</w:t>
      </w:r>
    </w:p>
    <w:p w14:paraId="4F76E606">
      <w:pPr>
        <w:pStyle w:val="80"/>
        <w:spacing w:before="120" w:after="120"/>
      </w:pPr>
      <w:r>
        <w:rPr>
          <w:rFonts w:hint="eastAsia"/>
        </w:rPr>
        <w:t>二级结构与相变特性</w:t>
      </w:r>
    </w:p>
    <w:p w14:paraId="290D2256">
      <w:pPr>
        <w:pStyle w:val="214"/>
      </w:pPr>
      <w:r>
        <w:rPr>
          <w:rFonts w:hint="eastAsia"/>
        </w:rPr>
        <w:t>圆二色谱CD：验证弹性蛋白特征二级结构谱图。</w:t>
      </w:r>
    </w:p>
    <w:p w14:paraId="50AE020C">
      <w:pPr>
        <w:pStyle w:val="214"/>
      </w:pPr>
      <w:r>
        <w:rPr>
          <w:rFonts w:hint="eastAsia"/>
        </w:rPr>
        <w:t>相变温度：梯度升温紫外OD345nm测定，评价温敏可逆溶胶‑凝胶转变。</w:t>
      </w:r>
    </w:p>
    <w:p w14:paraId="07678592">
      <w:pPr>
        <w:pStyle w:val="214"/>
      </w:pPr>
      <w:r>
        <w:rPr>
          <w:rFonts w:hint="eastAsia"/>
        </w:rPr>
        <w:t>可补充红外光谱，作为高级结构辅助表征手段。</w:t>
      </w:r>
    </w:p>
    <w:p w14:paraId="73782376">
      <w:pPr>
        <w:pStyle w:val="80"/>
        <w:spacing w:before="120" w:after="120"/>
      </w:pPr>
      <w:r>
        <w:rPr>
          <w:rFonts w:hint="eastAsia"/>
        </w:rPr>
        <w:t>分子量、等电点</w:t>
      </w:r>
    </w:p>
    <w:p w14:paraId="48952AB9">
      <w:pPr>
        <w:pStyle w:val="57"/>
        <w:ind w:firstLine="420"/>
      </w:pPr>
      <w:r>
        <w:rPr>
          <w:rFonts w:hint="eastAsia"/>
        </w:rPr>
        <w:t>采用电泳、质谱、毛细管等电聚焦完整表征，确认产物异质性。</w:t>
      </w:r>
    </w:p>
    <w:p w14:paraId="3CB639D4">
      <w:pPr>
        <w:pStyle w:val="79"/>
        <w:spacing w:before="120" w:after="120"/>
      </w:pPr>
      <w:bookmarkStart w:id="116" w:name="_Toc148"/>
      <w:r>
        <w:rPr>
          <w:rFonts w:hint="eastAsia"/>
        </w:rPr>
        <w:t>纯度、工艺相关杂质</w:t>
      </w:r>
      <w:bookmarkEnd w:id="116"/>
    </w:p>
    <w:p w14:paraId="23D2EF83">
      <w:pPr>
        <w:pStyle w:val="213"/>
      </w:pPr>
      <w:r>
        <w:rPr>
          <w:rFonts w:hint="eastAsia"/>
        </w:rPr>
        <w:t>产物相关杂质：降解片段、聚集寡聚体；评估储存过程降解趋势。</w:t>
      </w:r>
    </w:p>
    <w:p w14:paraId="4F74C46C">
      <w:pPr>
        <w:pStyle w:val="213"/>
      </w:pPr>
      <w:r>
        <w:rPr>
          <w:rFonts w:hint="eastAsia"/>
        </w:rPr>
        <w:t>工艺相关杂质：宿主DNA、宿主蛋白、纯化试剂残留。</w:t>
      </w:r>
    </w:p>
    <w:p w14:paraId="6C9E6CCD">
      <w:pPr>
        <w:pStyle w:val="213"/>
      </w:pPr>
      <w:r>
        <w:rPr>
          <w:rFonts w:hint="eastAsia"/>
        </w:rPr>
        <w:t>污染物：内毒素、重金属、微生物。</w:t>
      </w:r>
    </w:p>
    <w:p w14:paraId="18FCB381">
      <w:pPr>
        <w:pStyle w:val="79"/>
        <w:spacing w:before="120" w:after="120"/>
      </w:pPr>
      <w:bookmarkStart w:id="117" w:name="_Toc8627"/>
      <w:r>
        <w:rPr>
          <w:rFonts w:hint="eastAsia"/>
        </w:rPr>
        <w:t>生物学功能</w:t>
      </w:r>
      <w:bookmarkEnd w:id="117"/>
    </w:p>
    <w:p w14:paraId="1FEF7DE8">
      <w:pPr>
        <w:pStyle w:val="57"/>
        <w:ind w:firstLine="420"/>
      </w:pPr>
      <w:r>
        <w:rPr>
          <w:rFonts w:hint="eastAsia"/>
        </w:rPr>
        <w:t>除标准规定细胞黏附、增殖、迁移外，研发阶段宜补充弹性蛋白特有的弹性相关功能、相变响应行为的体外评估。生物学功能是高级结构是否保留的功能性佐证。</w:t>
      </w:r>
    </w:p>
    <w:p w14:paraId="6095DE63">
      <w:pPr>
        <w:pStyle w:val="79"/>
        <w:spacing w:before="120" w:after="120"/>
      </w:pPr>
      <w:bookmarkStart w:id="118" w:name="_Toc12578"/>
      <w:r>
        <w:rPr>
          <w:rFonts w:hint="eastAsia"/>
        </w:rPr>
        <w:t>免疫化学特性</w:t>
      </w:r>
      <w:bookmarkEnd w:id="118"/>
    </w:p>
    <w:p w14:paraId="69AFF57D">
      <w:pPr>
        <w:pStyle w:val="57"/>
        <w:ind w:firstLine="420"/>
      </w:pPr>
      <w:r>
        <w:rPr>
          <w:rFonts w:hint="eastAsia"/>
        </w:rPr>
        <w:t>重组弹性蛋白经过序列编辑，存在潜在免疫原性风险。研发阶段应开展免疫原性评估，如预期体内植入使用，应充分评估免疫应答风险。</w:t>
      </w:r>
    </w:p>
    <w:p w14:paraId="48BC3582">
      <w:pPr>
        <w:pStyle w:val="79"/>
        <w:spacing w:before="120" w:after="120"/>
      </w:pPr>
      <w:bookmarkStart w:id="119" w:name="_Toc3747"/>
      <w:r>
        <w:rPr>
          <w:rFonts w:hint="eastAsia"/>
        </w:rPr>
        <w:t>参比品</w:t>
      </w:r>
      <w:bookmarkEnd w:id="119"/>
    </w:p>
    <w:p w14:paraId="04DB05B3">
      <w:pPr>
        <w:pStyle w:val="57"/>
        <w:ind w:firstLine="420"/>
      </w:pPr>
      <w:r>
        <w:rPr>
          <w:rFonts w:hint="eastAsia"/>
        </w:rPr>
        <w:t>选择代表性批次建立参比品，开展全套特性分析；原液分装，</w:t>
      </w:r>
      <w:r>
        <w:rPr>
          <w:rFonts w:hint="eastAsia"/>
          <w:lang w:val="en-US" w:eastAsia="zh-CN"/>
        </w:rPr>
        <w:t>-</w:t>
      </w:r>
      <w:r>
        <w:rPr>
          <w:rFonts w:hint="eastAsia"/>
        </w:rPr>
        <w:t>70℃或经验证条件保存；用于鉴别、理化、生物学功能比对。</w:t>
      </w:r>
    </w:p>
    <w:p w14:paraId="1C73B653">
      <w:pPr>
        <w:pStyle w:val="57"/>
        <w:ind w:firstLine="420"/>
      </w:pPr>
    </w:p>
    <w:p w14:paraId="16F11774">
      <w:pPr>
        <w:pStyle w:val="57"/>
        <w:ind w:firstLine="420"/>
      </w:pPr>
    </w:p>
    <w:p w14:paraId="12318127">
      <w:pPr>
        <w:pStyle w:val="57"/>
        <w:ind w:firstLine="420"/>
      </w:pPr>
    </w:p>
    <w:bookmarkEnd w:id="111"/>
    <w:p w14:paraId="4BC227E5">
      <w:pPr>
        <w:pStyle w:val="57"/>
        <w:ind w:firstLine="0" w:firstLineChars="0"/>
        <w:jc w:val="center"/>
      </w:pPr>
      <w:bookmarkStart w:id="120" w:name="BookMark8"/>
      <w:r>
        <w:rPr>
          <w:rFonts w:hint="eastAsia"/>
        </w:rPr>
        <w:drawing>
          <wp:inline distT="0" distB="0" distL="114300" distR="114300">
            <wp:extent cx="1485900" cy="317500"/>
            <wp:effectExtent l="0" t="0" r="0" b="0"/>
            <wp:docPr id="3" name="图片 3" descr="1"/>
            <wp:cNvGraphicFramePr/>
            <a:graphic xmlns:a="http://schemas.openxmlformats.org/drawingml/2006/main">
              <a:graphicData uri="http://schemas.openxmlformats.org/drawingml/2006/picture">
                <pic:pic xmlns:pic="http://schemas.openxmlformats.org/drawingml/2006/picture">
                  <pic:nvPicPr>
                    <pic:cNvPr id="3" name="图片 3" descr="1"/>
                    <pic:cNvPicPr/>
                  </pic:nvPicPr>
                  <pic:blipFill>
                    <a:blip r:embed="rId16"/>
                    <a:stretch>
                      <a:fillRect/>
                    </a:stretch>
                  </pic:blipFill>
                  <pic:spPr>
                    <a:xfrm>
                      <a:off x="0" y="0"/>
                      <a:ext cx="1485900" cy="317500"/>
                    </a:xfrm>
                    <a:prstGeom prst="rect">
                      <a:avLst/>
                    </a:prstGeom>
                  </pic:spPr>
                </pic:pic>
              </a:graphicData>
            </a:graphic>
          </wp:inline>
        </w:drawing>
      </w:r>
      <w:bookmarkEnd w:id="120"/>
    </w:p>
    <w:sectPr>
      <w:pgSz w:w="11906" w:h="16838"/>
      <w:pgMar w:top="1928" w:right="1134" w:bottom="1134" w:left="1134" w:header="1418" w:footer="1134" w:gutter="284"/>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19AB9">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F55A5">
    <w:pPr>
      <w:pStyle w:val="18"/>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0FBF9">
    <w:pPr>
      <w:pStyle w:val="18"/>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FE780">
    <w:pPr>
      <w:pStyle w:val="53"/>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196D6">
    <w:pPr>
      <w:pStyle w:val="19"/>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44969">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C7ED1">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DE0E8">
    <w:pPr>
      <w:pStyle w:val="62"/>
      <w:rPr>
        <w:rFonts w:hint="eastAsia"/>
      </w:rPr>
    </w:pPr>
    <w:r>
      <w:fldChar w:fldCharType="begin"/>
    </w:r>
    <w:r>
      <w:instrText xml:space="preserve"> STYLEREF  标准文件_文件编号  \* MERGEFORMAT </w:instrText>
    </w:r>
    <w:r>
      <w:fldChar w:fldCharType="separate"/>
    </w:r>
    <w:r>
      <w:t>T/CSBM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5"/>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0"/>
      <w:suff w:val="nothing"/>
      <w:lvlText w:val="%1%2.%3　"/>
      <w:lvlJc w:val="left"/>
      <w:pPr>
        <w:ind w:left="0" w:firstLine="0"/>
      </w:pPr>
    </w:lvl>
    <w:lvl w:ilvl="3" w:tentative="0">
      <w:start w:val="1"/>
      <w:numFmt w:val="decimal"/>
      <w:pStyle w:val="119"/>
      <w:suff w:val="nothing"/>
      <w:lvlText w:val="%1%2.%3.%4　"/>
      <w:lvlJc w:val="left"/>
      <w:pPr>
        <w:ind w:left="0" w:firstLine="0"/>
      </w:pPr>
    </w:lvl>
    <w:lvl w:ilvl="4" w:tentative="0">
      <w:start w:val="1"/>
      <w:numFmt w:val="decimal"/>
      <w:pStyle w:val="154"/>
      <w:suff w:val="nothing"/>
      <w:lvlText w:val="%1%2.%3.%4.%5　"/>
      <w:lvlJc w:val="left"/>
      <w:pPr>
        <w:ind w:left="0" w:firstLine="0"/>
      </w:pPr>
    </w:lvl>
    <w:lvl w:ilvl="5" w:tentative="0">
      <w:start w:val="1"/>
      <w:numFmt w:val="decimal"/>
      <w:pStyle w:val="156"/>
      <w:suff w:val="nothing"/>
      <w:lvlText w:val="%1%2.%3.%4.%5.%6　"/>
      <w:lvlJc w:val="left"/>
      <w:pPr>
        <w:ind w:left="0" w:firstLine="0"/>
      </w:pPr>
    </w:lvl>
    <w:lvl w:ilvl="6" w:tentative="0">
      <w:start w:val="1"/>
      <w:numFmt w:val="decimal"/>
      <w:pStyle w:val="159"/>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1"/>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0"/>
      <w:lvlText w:val="%1"/>
      <w:lvlJc w:val="left"/>
      <w:pPr>
        <w:ind w:left="425" w:hanging="425"/>
      </w:pPr>
      <w:rPr>
        <w:rFonts w:hint="eastAsia"/>
      </w:rPr>
    </w:lvl>
    <w:lvl w:ilvl="1" w:tentative="0">
      <w:start w:val="1"/>
      <w:numFmt w:val="decimal"/>
      <w:pStyle w:val="201"/>
      <w:suff w:val="nothing"/>
      <w:lvlText w:val="%10.%2 "/>
      <w:lvlJc w:val="left"/>
      <w:pPr>
        <w:ind w:left="0" w:firstLine="0"/>
      </w:pPr>
      <w:rPr>
        <w:rFonts w:hint="eastAsia" w:ascii="黑体" w:eastAsia="黑体" w:hAnsiTheme="minorHAnsi"/>
        <w:b w:val="0"/>
        <w:i w:val="0"/>
        <w:sz w:val="21"/>
      </w:rPr>
    </w:lvl>
    <w:lvl w:ilvl="2" w:tentative="0">
      <w:start w:val="1"/>
      <w:numFmt w:val="decimal"/>
      <w:pStyle w:val="202"/>
      <w:suff w:val="nothing"/>
      <w:lvlText w:val="%10.%2.%3 "/>
      <w:lvlJc w:val="left"/>
      <w:pPr>
        <w:ind w:left="0" w:firstLine="0"/>
      </w:pPr>
      <w:rPr>
        <w:rFonts w:hint="eastAsia" w:ascii="黑体" w:eastAsia="黑体" w:hAnsiTheme="minorHAnsi"/>
        <w:b w:val="0"/>
        <w:i w:val="0"/>
        <w:sz w:val="21"/>
      </w:rPr>
    </w:lvl>
    <w:lvl w:ilvl="3" w:tentative="0">
      <w:start w:val="1"/>
      <w:numFmt w:val="decimal"/>
      <w:pStyle w:val="203"/>
      <w:suff w:val="nothing"/>
      <w:lvlText w:val="%10.%2.%3.%4 "/>
      <w:lvlJc w:val="left"/>
      <w:pPr>
        <w:ind w:left="0" w:firstLine="0"/>
      </w:pPr>
      <w:rPr>
        <w:rFonts w:hint="eastAsia" w:ascii="黑体" w:eastAsia="黑体" w:hAnsiTheme="minorHAnsi"/>
        <w:b w:val="0"/>
        <w:i w:val="0"/>
        <w:sz w:val="21"/>
      </w:rPr>
    </w:lvl>
    <w:lvl w:ilvl="4" w:tentative="0">
      <w:start w:val="1"/>
      <w:numFmt w:val="decimal"/>
      <w:pStyle w:val="204"/>
      <w:suff w:val="nothing"/>
      <w:lvlText w:val="%10.%2.%3.%4.%5 "/>
      <w:lvlJc w:val="left"/>
      <w:pPr>
        <w:ind w:left="0" w:firstLine="0"/>
      </w:pPr>
      <w:rPr>
        <w:rFonts w:hint="eastAsia" w:ascii="黑体" w:eastAsia="黑体" w:hAnsiTheme="minorHAnsi"/>
        <w:b w:val="0"/>
        <w:i w:val="0"/>
        <w:sz w:val="21"/>
      </w:rPr>
    </w:lvl>
    <w:lvl w:ilvl="5" w:tentative="0">
      <w:start w:val="1"/>
      <w:numFmt w:val="decimal"/>
      <w:pStyle w:val="205"/>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2"/>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8"/>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1"/>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6"/>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3"/>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3"/>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8"/>
      <w:lvlText w:val=""/>
      <w:lvlJc w:val="left"/>
      <w:pPr>
        <w:ind w:left="851" w:hanging="431"/>
      </w:pPr>
      <w:rPr>
        <w:rFonts w:hint="default" w:ascii="Symbol" w:hAnsi="Symbol"/>
        <w:sz w:val="21"/>
      </w:rPr>
    </w:lvl>
    <w:lvl w:ilvl="2" w:tentative="0">
      <w:start w:val="1"/>
      <w:numFmt w:val="bullet"/>
      <w:pStyle w:val="173"/>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2"/>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5"/>
      <w:lvlText w:val="%1)"/>
      <w:lvlJc w:val="left"/>
      <w:pPr>
        <w:tabs>
          <w:tab w:val="left" w:pos="851"/>
        </w:tabs>
        <w:ind w:left="851" w:hanging="426"/>
      </w:pPr>
      <w:rPr>
        <w:rFonts w:hint="eastAsia" w:ascii="宋体" w:hAnsi="Times New Roman" w:eastAsia="宋体"/>
        <w:sz w:val="21"/>
      </w:rPr>
    </w:lvl>
    <w:lvl w:ilvl="1" w:tentative="0">
      <w:start w:val="1"/>
      <w:numFmt w:val="decimal"/>
      <w:pStyle w:val="110"/>
      <w:lvlText w:val="%2)"/>
      <w:lvlJc w:val="left"/>
      <w:pPr>
        <w:tabs>
          <w:tab w:val="left" w:pos="1276"/>
        </w:tabs>
        <w:ind w:left="1276" w:hanging="425"/>
      </w:pPr>
      <w:rPr>
        <w:rFonts w:hint="eastAsia" w:ascii="宋体" w:hAnsi="Times New Roman" w:eastAsia="宋体"/>
        <w:sz w:val="21"/>
      </w:rPr>
    </w:lvl>
    <w:lvl w:ilvl="2" w:tentative="0">
      <w:start w:val="1"/>
      <w:numFmt w:val="decimal"/>
      <w:pStyle w:val="118"/>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9"/>
      <w:lvlText w:val="%1"/>
      <w:lvlJc w:val="left"/>
      <w:pPr>
        <w:ind w:left="420" w:hanging="420"/>
      </w:pPr>
      <w:rPr>
        <w:rFonts w:hint="eastAsia"/>
      </w:rPr>
    </w:lvl>
    <w:lvl w:ilvl="1" w:tentative="0">
      <w:start w:val="1"/>
      <w:numFmt w:val="decimal"/>
      <w:pStyle w:val="8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4"/>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7"/>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4"/>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0"/>
      <w:suff w:val="space"/>
      <w:lvlText w:val="%1"/>
      <w:lvlJc w:val="left"/>
      <w:pPr>
        <w:ind w:left="425" w:hanging="425"/>
      </w:pPr>
      <w:rPr>
        <w:rFonts w:hint="eastAsia"/>
      </w:rPr>
    </w:lvl>
    <w:lvl w:ilvl="1" w:tentative="0">
      <w:start w:val="1"/>
      <w:numFmt w:val="decimal"/>
      <w:pStyle w:val="78"/>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2"/>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3"/>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0"/>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7"/>
      <w:suff w:val="nothing"/>
      <w:lvlText w:val="附录%1"/>
      <w:lvlJc w:val="left"/>
      <w:pPr>
        <w:ind w:left="0" w:firstLine="0"/>
      </w:pPr>
      <w:rPr>
        <w:rFonts w:hint="eastAsia"/>
        <w:spacing w:val="100"/>
      </w:rPr>
    </w:lvl>
    <w:lvl w:ilvl="1" w:tentative="0">
      <w:start w:val="1"/>
      <w:numFmt w:val="decimal"/>
      <w:pStyle w:val="79"/>
      <w:suff w:val="nothing"/>
      <w:lvlText w:val="%1.%2　"/>
      <w:lvlJc w:val="left"/>
      <w:pPr>
        <w:ind w:left="0" w:firstLine="0"/>
      </w:pPr>
      <w:rPr>
        <w:rFonts w:hint="eastAsia" w:ascii="黑体" w:eastAsia="黑体"/>
        <w:b w:val="0"/>
        <w:i w:val="0"/>
        <w:sz w:val="21"/>
      </w:rPr>
    </w:lvl>
    <w:lvl w:ilvl="2" w:tentative="0">
      <w:start w:val="1"/>
      <w:numFmt w:val="decimal"/>
      <w:pStyle w:val="80"/>
      <w:suff w:val="nothing"/>
      <w:lvlText w:val="%1.%2.%3　"/>
      <w:lvlJc w:val="left"/>
      <w:pPr>
        <w:ind w:left="0" w:firstLine="0"/>
      </w:pPr>
      <w:rPr>
        <w:rFonts w:hint="eastAsia" w:ascii="黑体" w:eastAsia="黑体"/>
        <w:b w:val="0"/>
        <w:i w:val="0"/>
        <w:sz w:val="21"/>
      </w:rPr>
    </w:lvl>
    <w:lvl w:ilvl="3" w:tentative="0">
      <w:start w:val="1"/>
      <w:numFmt w:val="decimal"/>
      <w:pStyle w:val="82"/>
      <w:suff w:val="nothing"/>
      <w:lvlText w:val="%1.%2.%3.%4　"/>
      <w:lvlJc w:val="left"/>
      <w:pPr>
        <w:ind w:left="0" w:firstLine="0"/>
      </w:pPr>
      <w:rPr>
        <w:rFonts w:hint="eastAsia" w:ascii="黑体" w:eastAsia="黑体"/>
        <w:b w:val="0"/>
        <w:i w:val="0"/>
        <w:sz w:val="21"/>
      </w:rPr>
    </w:lvl>
    <w:lvl w:ilvl="4" w:tentative="0">
      <w:start w:val="1"/>
      <w:numFmt w:val="decimal"/>
      <w:pStyle w:val="83"/>
      <w:suff w:val="nothing"/>
      <w:lvlText w:val="%1.%2.%3.%4.%5　"/>
      <w:lvlJc w:val="left"/>
      <w:pPr>
        <w:ind w:left="0" w:firstLine="0"/>
      </w:pPr>
      <w:rPr>
        <w:rFonts w:hint="eastAsia" w:ascii="黑体" w:eastAsia="黑体"/>
        <w:b w:val="0"/>
        <w:i w:val="0"/>
        <w:sz w:val="21"/>
      </w:rPr>
    </w:lvl>
    <w:lvl w:ilvl="5" w:tentative="0">
      <w:start w:val="1"/>
      <w:numFmt w:val="decimal"/>
      <w:pStyle w:val="85"/>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9"/>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8"/>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3"/>
      <w:suff w:val="nothing"/>
      <w:lvlText w:val="%1"/>
      <w:lvlJc w:val="left"/>
      <w:pPr>
        <w:ind w:left="0" w:firstLine="0"/>
      </w:pPr>
      <w:rPr>
        <w:rFonts w:hint="eastAsia"/>
      </w:rPr>
    </w:lvl>
    <w:lvl w:ilvl="1" w:tentative="0">
      <w:start w:val="1"/>
      <w:numFmt w:val="decimal"/>
      <w:pStyle w:val="105"/>
      <w:suff w:val="nothing"/>
      <w:lvlText w:val="%1%2　"/>
      <w:lvlJc w:val="left"/>
      <w:pPr>
        <w:ind w:left="0" w:firstLine="0"/>
      </w:pPr>
      <w:rPr>
        <w:rFonts w:hint="eastAsia" w:ascii="黑体" w:eastAsia="黑体"/>
        <w:b w:val="0"/>
        <w:i w:val="0"/>
        <w:sz w:val="21"/>
      </w:rPr>
    </w:lvl>
    <w:lvl w:ilvl="2" w:tentative="0">
      <w:start w:val="1"/>
      <w:numFmt w:val="decimal"/>
      <w:pStyle w:val="10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6"/>
      <w:suff w:val="nothing"/>
      <w:lvlText w:val="%1%2.%3.%4　"/>
      <w:lvlJc w:val="left"/>
      <w:pPr>
        <w:ind w:left="992" w:firstLine="0"/>
      </w:pPr>
      <w:rPr>
        <w:rFonts w:hint="eastAsia" w:ascii="黑体" w:eastAsia="黑体"/>
        <w:b w:val="0"/>
        <w:i w:val="0"/>
        <w:sz w:val="21"/>
      </w:rPr>
    </w:lvl>
    <w:lvl w:ilvl="4" w:tentative="0">
      <w:start w:val="1"/>
      <w:numFmt w:val="decimal"/>
      <w:pStyle w:val="95"/>
      <w:suff w:val="nothing"/>
      <w:lvlText w:val="%1%2.%3.%4.%5　"/>
      <w:lvlJc w:val="left"/>
      <w:pPr>
        <w:ind w:left="0" w:firstLine="0"/>
      </w:pPr>
      <w:rPr>
        <w:rFonts w:hint="eastAsia" w:ascii="黑体" w:eastAsia="黑体"/>
        <w:b w:val="0"/>
        <w:i w:val="0"/>
        <w:sz w:val="21"/>
      </w:rPr>
    </w:lvl>
    <w:lvl w:ilvl="5" w:tentative="0">
      <w:start w:val="1"/>
      <w:numFmt w:val="decimal"/>
      <w:pStyle w:val="99"/>
      <w:suff w:val="nothing"/>
      <w:lvlText w:val="%1%2.%3.%4.%5.%6　"/>
      <w:lvlJc w:val="left"/>
      <w:pPr>
        <w:ind w:left="0" w:firstLine="0"/>
      </w:pPr>
      <w:rPr>
        <w:rFonts w:hint="eastAsia" w:ascii="黑体" w:eastAsia="黑体"/>
        <w:b w:val="0"/>
        <w:i w:val="0"/>
        <w:sz w:val="21"/>
      </w:rPr>
    </w:lvl>
    <w:lvl w:ilvl="6" w:tentative="0">
      <w:start w:val="1"/>
      <w:numFmt w:val="decimal"/>
      <w:pStyle w:val="104"/>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0"/>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0"/>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attachedTemplate r:id="rId1"/>
  <w:documentProtection w:edit="forms" w:enforcement="1" w:cryptProviderType="rsaFull" w:cryptAlgorithmClass="hash" w:cryptAlgorithmType="typeAny" w:cryptAlgorithmSid="4" w:cryptSpinCount="0" w:hash="K4u7gbovo90aOkD2Zu20ApyAE94=" w:salt="6dNFAVPauzi1mesxzFY0OA=="/>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D067E8"/>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1FE8"/>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0FB0"/>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3FE8"/>
    <w:rsid w:val="003D6D61"/>
    <w:rsid w:val="003E019F"/>
    <w:rsid w:val="003E091D"/>
    <w:rsid w:val="003E1C53"/>
    <w:rsid w:val="003E2A69"/>
    <w:rsid w:val="003E2D49"/>
    <w:rsid w:val="003E2FD4"/>
    <w:rsid w:val="003E49F6"/>
    <w:rsid w:val="003E660F"/>
    <w:rsid w:val="003F0841"/>
    <w:rsid w:val="003F23D3"/>
    <w:rsid w:val="003F3F08"/>
    <w:rsid w:val="003F48FC"/>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5BF"/>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0759E"/>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26B6"/>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25B572D"/>
    <w:rsid w:val="02D067E8"/>
    <w:rsid w:val="0F4433A3"/>
    <w:rsid w:val="12371C88"/>
    <w:rsid w:val="141C6C87"/>
    <w:rsid w:val="25186B69"/>
    <w:rsid w:val="28CA52F9"/>
    <w:rsid w:val="29577E22"/>
    <w:rsid w:val="2FA3158A"/>
    <w:rsid w:val="323750BC"/>
    <w:rsid w:val="32413F4F"/>
    <w:rsid w:val="32A204B0"/>
    <w:rsid w:val="45BC239D"/>
    <w:rsid w:val="4C5C6889"/>
    <w:rsid w:val="4CC60AD8"/>
    <w:rsid w:val="5105271F"/>
    <w:rsid w:val="54857F19"/>
    <w:rsid w:val="59617814"/>
    <w:rsid w:val="60AF67F3"/>
    <w:rsid w:val="67391603"/>
    <w:rsid w:val="6BB64010"/>
    <w:rsid w:val="6C4105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7"/>
    <w:qFormat/>
    <w:uiPriority w:val="0"/>
    <w:pPr>
      <w:keepNext/>
      <w:keepLines/>
      <w:spacing w:before="260" w:after="260" w:line="416" w:lineRule="auto"/>
      <w:outlineLvl w:val="2"/>
    </w:pPr>
    <w:rPr>
      <w:b/>
      <w:bCs/>
      <w:sz w:val="32"/>
      <w:szCs w:val="32"/>
    </w:rPr>
  </w:style>
  <w:style w:type="paragraph" w:styleId="5">
    <w:name w:val="heading 4"/>
    <w:basedOn w:val="1"/>
    <w:next w:val="1"/>
    <w:link w:val="38"/>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9"/>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0"/>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1"/>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2"/>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3"/>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semiHidden/>
    <w:unhideWhenUsed/>
    <w:qFormat/>
    <w:uiPriority w:val="99"/>
    <w:pPr>
      <w:jc w:val="left"/>
    </w:pPr>
  </w:style>
  <w:style w:type="paragraph" w:styleId="14">
    <w:name w:val="Body Text"/>
    <w:basedOn w:val="1"/>
    <w:link w:val="87"/>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6"/>
    <w:semiHidden/>
    <w:unhideWhenUsed/>
    <w:qFormat/>
    <w:uiPriority w:val="99"/>
    <w:rPr>
      <w:sz w:val="18"/>
      <w:szCs w:val="18"/>
    </w:rPr>
  </w:style>
  <w:style w:type="paragraph" w:styleId="18">
    <w:name w:val="footer"/>
    <w:basedOn w:val="1"/>
    <w:link w:val="45"/>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4"/>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0"/>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Title"/>
    <w:basedOn w:val="1"/>
    <w:link w:val="49"/>
    <w:qFormat/>
    <w:uiPriority w:val="0"/>
    <w:pPr>
      <w:spacing w:before="240" w:after="60"/>
      <w:jc w:val="center"/>
      <w:outlineLvl w:val="0"/>
    </w:pPr>
    <w:rPr>
      <w:rFonts w:ascii="Arial" w:hAnsi="Arial" w:cs="Arial"/>
      <w:b/>
      <w:bCs/>
      <w:sz w:val="32"/>
      <w:szCs w:val="32"/>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footnote reference"/>
    <w:semiHidden/>
    <w:qFormat/>
    <w:uiPriority w:val="0"/>
    <w:rPr>
      <w:rFonts w:ascii="宋体" w:hAnsi="宋体" w:eastAsia="宋体" w:cs="Times New Roman"/>
      <w:spacing w:val="0"/>
      <w:sz w:val="18"/>
      <w:vertAlign w:val="superscript"/>
    </w:rPr>
  </w:style>
  <w:style w:type="character" w:customStyle="1" w:styleId="35">
    <w:name w:val="标题 1 字符"/>
    <w:link w:val="2"/>
    <w:qFormat/>
    <w:uiPriority w:val="0"/>
    <w:rPr>
      <w:b/>
      <w:bCs/>
      <w:kern w:val="44"/>
      <w:sz w:val="44"/>
      <w:szCs w:val="44"/>
    </w:rPr>
  </w:style>
  <w:style w:type="character" w:customStyle="1" w:styleId="36">
    <w:name w:val="标题 2 字符"/>
    <w:link w:val="3"/>
    <w:qFormat/>
    <w:uiPriority w:val="0"/>
    <w:rPr>
      <w:rFonts w:ascii="Arial" w:hAnsi="Arial" w:eastAsia="黑体"/>
      <w:b/>
      <w:bCs/>
      <w:kern w:val="2"/>
      <w:sz w:val="32"/>
      <w:szCs w:val="32"/>
    </w:rPr>
  </w:style>
  <w:style w:type="character" w:customStyle="1" w:styleId="37">
    <w:name w:val="标题 3 字符"/>
    <w:link w:val="4"/>
    <w:qFormat/>
    <w:uiPriority w:val="0"/>
    <w:rPr>
      <w:b/>
      <w:bCs/>
      <w:kern w:val="2"/>
      <w:sz w:val="32"/>
      <w:szCs w:val="32"/>
    </w:rPr>
  </w:style>
  <w:style w:type="character" w:customStyle="1" w:styleId="38">
    <w:name w:val="标题 4 字符"/>
    <w:link w:val="5"/>
    <w:qFormat/>
    <w:uiPriority w:val="0"/>
    <w:rPr>
      <w:rFonts w:ascii="Arial" w:hAnsi="Arial" w:eastAsia="黑体"/>
      <w:b/>
      <w:bCs/>
      <w:kern w:val="2"/>
      <w:sz w:val="28"/>
      <w:szCs w:val="28"/>
    </w:rPr>
  </w:style>
  <w:style w:type="character" w:customStyle="1" w:styleId="39">
    <w:name w:val="标题 5 字符"/>
    <w:link w:val="6"/>
    <w:qFormat/>
    <w:uiPriority w:val="0"/>
    <w:rPr>
      <w:b/>
      <w:bCs/>
      <w:kern w:val="2"/>
      <w:sz w:val="28"/>
      <w:szCs w:val="28"/>
    </w:rPr>
  </w:style>
  <w:style w:type="character" w:customStyle="1" w:styleId="40">
    <w:name w:val="标题 6 字符"/>
    <w:link w:val="7"/>
    <w:qFormat/>
    <w:uiPriority w:val="0"/>
    <w:rPr>
      <w:rFonts w:ascii="Arial" w:hAnsi="Arial" w:eastAsia="黑体"/>
      <w:b/>
      <w:bCs/>
      <w:kern w:val="2"/>
      <w:sz w:val="24"/>
      <w:szCs w:val="24"/>
    </w:rPr>
  </w:style>
  <w:style w:type="character" w:customStyle="1" w:styleId="41">
    <w:name w:val="标题 7 字符"/>
    <w:link w:val="8"/>
    <w:qFormat/>
    <w:uiPriority w:val="0"/>
    <w:rPr>
      <w:b/>
      <w:bCs/>
      <w:kern w:val="2"/>
      <w:sz w:val="24"/>
      <w:szCs w:val="24"/>
    </w:rPr>
  </w:style>
  <w:style w:type="character" w:customStyle="1" w:styleId="42">
    <w:name w:val="标题 8 字符"/>
    <w:link w:val="9"/>
    <w:qFormat/>
    <w:uiPriority w:val="0"/>
    <w:rPr>
      <w:rFonts w:ascii="Arial" w:hAnsi="Arial" w:eastAsia="黑体"/>
      <w:kern w:val="2"/>
      <w:sz w:val="24"/>
      <w:szCs w:val="24"/>
    </w:rPr>
  </w:style>
  <w:style w:type="character" w:customStyle="1" w:styleId="43">
    <w:name w:val="标题 9 字符"/>
    <w:link w:val="10"/>
    <w:qFormat/>
    <w:uiPriority w:val="0"/>
    <w:rPr>
      <w:rFonts w:ascii="Arial" w:hAnsi="Arial" w:eastAsia="黑体"/>
      <w:kern w:val="2"/>
      <w:sz w:val="21"/>
      <w:szCs w:val="21"/>
    </w:rPr>
  </w:style>
  <w:style w:type="character" w:customStyle="1" w:styleId="44">
    <w:name w:val="页眉 字符"/>
    <w:link w:val="19"/>
    <w:qFormat/>
    <w:uiPriority w:val="99"/>
    <w:rPr>
      <w:kern w:val="2"/>
      <w:sz w:val="18"/>
      <w:szCs w:val="18"/>
    </w:rPr>
  </w:style>
  <w:style w:type="character" w:customStyle="1" w:styleId="45">
    <w:name w:val="页脚 字符"/>
    <w:link w:val="18"/>
    <w:qFormat/>
    <w:uiPriority w:val="99"/>
    <w:rPr>
      <w:rFonts w:ascii="宋体"/>
      <w:kern w:val="2"/>
      <w:sz w:val="18"/>
      <w:szCs w:val="18"/>
    </w:rPr>
  </w:style>
  <w:style w:type="character" w:customStyle="1" w:styleId="46">
    <w:name w:val="批注框文本 字符"/>
    <w:link w:val="17"/>
    <w:semiHidden/>
    <w:qFormat/>
    <w:uiPriority w:val="99"/>
    <w:rPr>
      <w:kern w:val="2"/>
      <w:sz w:val="18"/>
      <w:szCs w:val="18"/>
    </w:rPr>
  </w:style>
  <w:style w:type="paragraph" w:styleId="47">
    <w:name w:val="Quote"/>
    <w:basedOn w:val="1"/>
    <w:next w:val="1"/>
    <w:link w:val="48"/>
    <w:qFormat/>
    <w:uiPriority w:val="29"/>
    <w:rPr>
      <w:i/>
      <w:iCs/>
      <w:color w:val="000000"/>
    </w:rPr>
  </w:style>
  <w:style w:type="character" w:customStyle="1" w:styleId="48">
    <w:name w:val="引用 字符"/>
    <w:link w:val="47"/>
    <w:qFormat/>
    <w:uiPriority w:val="29"/>
    <w:rPr>
      <w:i/>
      <w:iCs/>
      <w:color w:val="000000"/>
      <w:kern w:val="2"/>
      <w:sz w:val="21"/>
      <w:szCs w:val="21"/>
    </w:rPr>
  </w:style>
  <w:style w:type="character" w:customStyle="1" w:styleId="49">
    <w:name w:val="标题 字符"/>
    <w:link w:val="26"/>
    <w:qFormat/>
    <w:uiPriority w:val="0"/>
    <w:rPr>
      <w:rFonts w:ascii="Arial" w:hAnsi="Arial" w:cs="Arial"/>
      <w:b/>
      <w:bCs/>
      <w:kern w:val="2"/>
      <w:sz w:val="32"/>
      <w:szCs w:val="32"/>
    </w:rPr>
  </w:style>
  <w:style w:type="paragraph" w:customStyle="1" w:styleId="5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3">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4">
    <w:name w:val="标准书眉一"/>
    <w:qFormat/>
    <w:uiPriority w:val="0"/>
    <w:pPr>
      <w:jc w:val="both"/>
    </w:pPr>
    <w:rPr>
      <w:rFonts w:ascii="Times New Roman" w:hAnsi="Times New Roman" w:eastAsia="宋体" w:cs="Times New Roman"/>
      <w:lang w:val="en-US" w:eastAsia="zh-CN" w:bidi="ar-SA"/>
    </w:rPr>
  </w:style>
  <w:style w:type="paragraph" w:customStyle="1" w:styleId="55">
    <w:name w:val="标准文件_ICS"/>
    <w:basedOn w:val="1"/>
    <w:qFormat/>
    <w:uiPriority w:val="0"/>
    <w:pPr>
      <w:spacing w:line="0" w:lineRule="atLeast"/>
    </w:pPr>
    <w:rPr>
      <w:rFonts w:ascii="黑体" w:hAnsi="宋体" w:eastAsia="黑体"/>
    </w:rPr>
  </w:style>
  <w:style w:type="paragraph" w:customStyle="1" w:styleId="56">
    <w:name w:val="标准文件_标准正文"/>
    <w:basedOn w:val="1"/>
    <w:next w:val="57"/>
    <w:qFormat/>
    <w:uiPriority w:val="0"/>
    <w:pPr>
      <w:snapToGrid w:val="0"/>
      <w:ind w:firstLine="200" w:firstLineChars="200"/>
    </w:pPr>
    <w:rPr>
      <w:kern w:val="0"/>
    </w:rPr>
  </w:style>
  <w:style w:type="paragraph" w:customStyle="1" w:styleId="57">
    <w:name w:val="标准文件_段"/>
    <w:link w:val="18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8">
    <w:name w:val="标准文件_版本"/>
    <w:basedOn w:val="56"/>
    <w:qFormat/>
    <w:uiPriority w:val="0"/>
    <w:pPr>
      <w:adjustRightInd/>
      <w:snapToGrid/>
      <w:ind w:firstLine="0" w:firstLineChars="0"/>
    </w:pPr>
    <w:rPr>
      <w:rFonts w:ascii="宋体" w:hAnsi="宋体"/>
      <w:kern w:val="2"/>
    </w:rPr>
  </w:style>
  <w:style w:type="paragraph" w:customStyle="1" w:styleId="59">
    <w:name w:val="标准文件_标准部门"/>
    <w:basedOn w:val="1"/>
    <w:qFormat/>
    <w:uiPriority w:val="0"/>
    <w:pPr>
      <w:jc w:val="center"/>
    </w:pPr>
    <w:rPr>
      <w:rFonts w:ascii="黑体" w:eastAsia="黑体"/>
      <w:kern w:val="0"/>
      <w:sz w:val="44"/>
    </w:rPr>
  </w:style>
  <w:style w:type="paragraph" w:customStyle="1" w:styleId="60">
    <w:name w:val="标准文件_标准代替"/>
    <w:basedOn w:val="1"/>
    <w:next w:val="1"/>
    <w:qFormat/>
    <w:uiPriority w:val="0"/>
    <w:pPr>
      <w:spacing w:line="310" w:lineRule="exact"/>
      <w:jc w:val="right"/>
    </w:pPr>
    <w:rPr>
      <w:rFonts w:ascii="宋体" w:hAnsi="宋体"/>
      <w:kern w:val="0"/>
    </w:rPr>
  </w:style>
  <w:style w:type="paragraph" w:customStyle="1" w:styleId="61">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2">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3">
    <w:name w:val="标准文件_页眉偶数页"/>
    <w:basedOn w:val="62"/>
    <w:next w:val="1"/>
    <w:qFormat/>
    <w:uiPriority w:val="0"/>
    <w:pPr>
      <w:jc w:val="left"/>
    </w:pPr>
  </w:style>
  <w:style w:type="paragraph" w:customStyle="1" w:styleId="64">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5">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6">
    <w:name w:val="标准文件_二级条标题"/>
    <w:next w:val="57"/>
    <w:qFormat/>
    <w:uiPriority w:val="0"/>
    <w:pPr>
      <w:widowControl w:val="0"/>
      <w:numPr>
        <w:ilvl w:val="3"/>
        <w:numId w:val="2"/>
      </w:numPr>
      <w:spacing w:before="50" w:beforeLines="50" w:after="50" w:afterLines="50"/>
      <w:ind w:left="0"/>
      <w:jc w:val="both"/>
      <w:outlineLvl w:val="2"/>
    </w:pPr>
    <w:rPr>
      <w:rFonts w:ascii="黑体" w:hAnsi="Times New Roman" w:eastAsia="黑体" w:cs="Times New Roman"/>
      <w:sz w:val="21"/>
      <w:lang w:val="en-US" w:eastAsia="zh-CN" w:bidi="ar-SA"/>
    </w:rPr>
  </w:style>
  <w:style w:type="character" w:customStyle="1" w:styleId="67">
    <w:name w:val="标准文件_发布"/>
    <w:qFormat/>
    <w:uiPriority w:val="0"/>
    <w:rPr>
      <w:rFonts w:ascii="黑体" w:eastAsia="黑体"/>
      <w:spacing w:val="0"/>
      <w:w w:val="100"/>
      <w:position w:val="3"/>
      <w:sz w:val="28"/>
    </w:rPr>
  </w:style>
  <w:style w:type="paragraph" w:customStyle="1" w:styleId="68">
    <w:name w:val="标准文件_方框数字列项"/>
    <w:basedOn w:val="57"/>
    <w:qFormat/>
    <w:uiPriority w:val="0"/>
    <w:pPr>
      <w:numPr>
        <w:ilvl w:val="0"/>
        <w:numId w:val="3"/>
      </w:numPr>
      <w:ind w:firstLine="0" w:firstLineChars="0"/>
    </w:pPr>
  </w:style>
  <w:style w:type="paragraph" w:customStyle="1" w:styleId="69">
    <w:name w:val="标准文件_封面标准编号"/>
    <w:basedOn w:val="1"/>
    <w:next w:val="60"/>
    <w:qFormat/>
    <w:uiPriority w:val="0"/>
    <w:pPr>
      <w:spacing w:line="310" w:lineRule="exact"/>
      <w:jc w:val="right"/>
    </w:pPr>
    <w:rPr>
      <w:rFonts w:ascii="黑体" w:eastAsia="黑体"/>
      <w:kern w:val="0"/>
      <w:sz w:val="28"/>
    </w:rPr>
  </w:style>
  <w:style w:type="paragraph" w:customStyle="1" w:styleId="70">
    <w:name w:val="标准文件_封面标准分类号"/>
    <w:basedOn w:val="1"/>
    <w:qFormat/>
    <w:uiPriority w:val="0"/>
    <w:rPr>
      <w:rFonts w:ascii="黑体" w:eastAsia="黑体"/>
      <w:b/>
      <w:kern w:val="0"/>
      <w:sz w:val="28"/>
    </w:rPr>
  </w:style>
  <w:style w:type="paragraph" w:customStyle="1" w:styleId="71">
    <w:name w:val="标准文件_封面标准名称"/>
    <w:basedOn w:val="1"/>
    <w:qFormat/>
    <w:uiPriority w:val="0"/>
    <w:pPr>
      <w:spacing w:line="240" w:lineRule="auto"/>
      <w:jc w:val="center"/>
    </w:pPr>
    <w:rPr>
      <w:rFonts w:ascii="黑体" w:eastAsia="黑体"/>
      <w:kern w:val="0"/>
      <w:sz w:val="52"/>
    </w:rPr>
  </w:style>
  <w:style w:type="paragraph" w:customStyle="1" w:styleId="72">
    <w:name w:val="标准文件_封面标准英文名称"/>
    <w:basedOn w:val="1"/>
    <w:qFormat/>
    <w:uiPriority w:val="0"/>
    <w:pPr>
      <w:spacing w:line="240" w:lineRule="auto"/>
      <w:jc w:val="center"/>
    </w:pPr>
    <w:rPr>
      <w:rFonts w:ascii="黑体" w:eastAsia="黑体"/>
      <w:b/>
      <w:sz w:val="28"/>
    </w:rPr>
  </w:style>
  <w:style w:type="paragraph" w:customStyle="1" w:styleId="73">
    <w:name w:val="标准文件_封面发布日期"/>
    <w:basedOn w:val="1"/>
    <w:qFormat/>
    <w:uiPriority w:val="0"/>
    <w:pPr>
      <w:spacing w:line="310" w:lineRule="exact"/>
    </w:pPr>
    <w:rPr>
      <w:rFonts w:ascii="黑体" w:eastAsia="黑体"/>
      <w:kern w:val="0"/>
      <w:sz w:val="28"/>
    </w:rPr>
  </w:style>
  <w:style w:type="paragraph" w:customStyle="1" w:styleId="74">
    <w:name w:val="标准文件_封面密级"/>
    <w:basedOn w:val="1"/>
    <w:qFormat/>
    <w:uiPriority w:val="0"/>
    <w:rPr>
      <w:rFonts w:eastAsia="黑体"/>
      <w:sz w:val="32"/>
    </w:rPr>
  </w:style>
  <w:style w:type="paragraph" w:customStyle="1" w:styleId="75">
    <w:name w:val="标准文件_封面实施日期"/>
    <w:basedOn w:val="1"/>
    <w:qFormat/>
    <w:uiPriority w:val="0"/>
    <w:pPr>
      <w:spacing w:line="310" w:lineRule="exact"/>
      <w:jc w:val="right"/>
    </w:pPr>
    <w:rPr>
      <w:rFonts w:ascii="黑体" w:eastAsia="黑体"/>
      <w:sz w:val="28"/>
    </w:rPr>
  </w:style>
  <w:style w:type="paragraph" w:customStyle="1" w:styleId="76">
    <w:name w:val="标准文件_封面抬头"/>
    <w:basedOn w:val="57"/>
    <w:qFormat/>
    <w:uiPriority w:val="0"/>
    <w:pPr>
      <w:adjustRightInd w:val="0"/>
      <w:spacing w:line="800" w:lineRule="exact"/>
      <w:ind w:firstLine="0" w:firstLineChars="0"/>
      <w:jc w:val="distribute"/>
    </w:pPr>
    <w:rPr>
      <w:rFonts w:ascii="黑体" w:eastAsia="黑体"/>
      <w:b/>
      <w:sz w:val="64"/>
    </w:rPr>
  </w:style>
  <w:style w:type="paragraph" w:customStyle="1" w:styleId="77">
    <w:name w:val="标准文件_附录标识"/>
    <w:next w:val="57"/>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8">
    <w:name w:val="标准文件_附录表标题"/>
    <w:next w:val="57"/>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9">
    <w:name w:val="标准文件_附录一级条标题"/>
    <w:next w:val="57"/>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0">
    <w:name w:val="标准文件_附录二级条标题"/>
    <w:basedOn w:val="79"/>
    <w:next w:val="57"/>
    <w:qFormat/>
    <w:uiPriority w:val="0"/>
    <w:pPr>
      <w:widowControl/>
      <w:numPr>
        <w:ilvl w:val="2"/>
      </w:numPr>
      <w:wordWrap w:val="0"/>
      <w:overflowPunct w:val="0"/>
      <w:autoSpaceDE w:val="0"/>
      <w:autoSpaceDN w:val="0"/>
      <w:textAlignment w:val="baseline"/>
      <w:outlineLvl w:val="3"/>
    </w:pPr>
  </w:style>
  <w:style w:type="paragraph" w:customStyle="1" w:styleId="81">
    <w:name w:val="标准文件_附录公式"/>
    <w:basedOn w:val="56"/>
    <w:next w:val="56"/>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2">
    <w:name w:val="标准文件_附录三级条标题"/>
    <w:next w:val="57"/>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3">
    <w:name w:val="标准文件_附录四级条标题"/>
    <w:next w:val="57"/>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4">
    <w:name w:val="标准文件_附录图标题"/>
    <w:next w:val="57"/>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5">
    <w:name w:val="标准文件_附录五级条标题"/>
    <w:next w:val="57"/>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6">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7">
    <w:name w:val="正文文本 字符"/>
    <w:link w:val="14"/>
    <w:qFormat/>
    <w:uiPriority w:val="0"/>
    <w:rPr>
      <w:kern w:val="2"/>
      <w:sz w:val="21"/>
      <w:szCs w:val="21"/>
    </w:rPr>
  </w:style>
  <w:style w:type="paragraph" w:customStyle="1" w:styleId="88">
    <w:name w:val="标准文件_附录章标题"/>
    <w:next w:val="57"/>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9">
    <w:name w:val="标准文件_公式后的破折号"/>
    <w:basedOn w:val="57"/>
    <w:next w:val="57"/>
    <w:qFormat/>
    <w:uiPriority w:val="0"/>
    <w:pPr>
      <w:ind w:left="488" w:leftChars="200" w:hanging="289" w:hangingChars="290"/>
    </w:pPr>
  </w:style>
  <w:style w:type="paragraph" w:customStyle="1" w:styleId="90">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1">
    <w:name w:val="标准文件_目次、标准名称标题"/>
    <w:basedOn w:val="90"/>
    <w:next w:val="57"/>
    <w:qFormat/>
    <w:uiPriority w:val="0"/>
    <w:pPr>
      <w:spacing w:line="460" w:lineRule="exact"/>
      <w:ind w:left="0" w:firstLine="0"/>
    </w:pPr>
  </w:style>
  <w:style w:type="paragraph" w:customStyle="1" w:styleId="92">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3">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4">
    <w:name w:val="标准文件_破折号列项（二级）"/>
    <w:basedOn w:val="93"/>
    <w:qFormat/>
    <w:uiPriority w:val="0"/>
    <w:pPr>
      <w:numPr>
        <w:numId w:val="10"/>
      </w:numPr>
    </w:pPr>
  </w:style>
  <w:style w:type="paragraph" w:customStyle="1" w:styleId="95">
    <w:name w:val="标准文件_三级条标题"/>
    <w:basedOn w:val="66"/>
    <w:next w:val="57"/>
    <w:qFormat/>
    <w:uiPriority w:val="0"/>
    <w:pPr>
      <w:widowControl/>
      <w:numPr>
        <w:ilvl w:val="4"/>
      </w:numPr>
      <w:outlineLvl w:val="3"/>
    </w:pPr>
  </w:style>
  <w:style w:type="character" w:customStyle="1" w:styleId="96">
    <w:name w:val="不明显参考1"/>
    <w:qFormat/>
    <w:uiPriority w:val="31"/>
    <w:rPr>
      <w:smallCaps/>
      <w:color w:val="C0504D"/>
      <w:u w:val="single"/>
    </w:rPr>
  </w:style>
  <w:style w:type="paragraph" w:customStyle="1" w:styleId="97">
    <w:name w:val="标准文件_示例后续"/>
    <w:basedOn w:val="1"/>
    <w:qFormat/>
    <w:uiPriority w:val="0"/>
    <w:pPr>
      <w:adjustRightInd/>
      <w:spacing w:line="240" w:lineRule="auto"/>
      <w:ind w:firstLine="200" w:firstLineChars="200"/>
    </w:pPr>
    <w:rPr>
      <w:sz w:val="18"/>
      <w:szCs w:val="24"/>
    </w:rPr>
  </w:style>
  <w:style w:type="paragraph" w:customStyle="1" w:styleId="98">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9">
    <w:name w:val="标准文件_四级条标题"/>
    <w:next w:val="57"/>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0">
    <w:name w:val="脚注文本 字符"/>
    <w:link w:val="22"/>
    <w:semiHidden/>
    <w:qFormat/>
    <w:uiPriority w:val="0"/>
    <w:rPr>
      <w:rFonts w:ascii="宋体"/>
      <w:kern w:val="2"/>
      <w:sz w:val="18"/>
      <w:szCs w:val="18"/>
    </w:rPr>
  </w:style>
  <w:style w:type="paragraph" w:customStyle="1" w:styleId="101">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2">
    <w:name w:val="标准文件_图表脚注"/>
    <w:basedOn w:val="1"/>
    <w:next w:val="57"/>
    <w:qFormat/>
    <w:uiPriority w:val="0"/>
    <w:pPr>
      <w:numPr>
        <w:ilvl w:val="0"/>
        <w:numId w:val="12"/>
      </w:numPr>
      <w:spacing w:line="240" w:lineRule="auto"/>
      <w:jc w:val="left"/>
    </w:pPr>
    <w:rPr>
      <w:rFonts w:ascii="宋体" w:hAnsi="宋体"/>
      <w:sz w:val="18"/>
    </w:rPr>
  </w:style>
  <w:style w:type="character" w:customStyle="1" w:styleId="103">
    <w:name w:val="标准文件_图表脚注内容"/>
    <w:qFormat/>
    <w:uiPriority w:val="0"/>
    <w:rPr>
      <w:rFonts w:ascii="宋体" w:hAnsi="宋体" w:eastAsia="宋体" w:cs="Times New Roman"/>
      <w:spacing w:val="0"/>
      <w:sz w:val="18"/>
      <w:vertAlign w:val="superscript"/>
    </w:rPr>
  </w:style>
  <w:style w:type="paragraph" w:customStyle="1" w:styleId="104">
    <w:name w:val="标准文件_五级条标题"/>
    <w:next w:val="57"/>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5">
    <w:name w:val="标准文件_章标题"/>
    <w:next w:val="57"/>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6">
    <w:name w:val="标准文件_一级条标题"/>
    <w:basedOn w:val="105"/>
    <w:next w:val="57"/>
    <w:qFormat/>
    <w:uiPriority w:val="0"/>
    <w:pPr>
      <w:numPr>
        <w:ilvl w:val="2"/>
      </w:numPr>
      <w:spacing w:before="50" w:beforeLines="50" w:after="50" w:afterLines="50"/>
      <w:outlineLvl w:val="1"/>
    </w:pPr>
  </w:style>
  <w:style w:type="paragraph" w:customStyle="1" w:styleId="107">
    <w:name w:val="标准文件_一致程度"/>
    <w:basedOn w:val="1"/>
    <w:qFormat/>
    <w:uiPriority w:val="0"/>
    <w:pPr>
      <w:spacing w:line="440" w:lineRule="exact"/>
      <w:jc w:val="center"/>
    </w:pPr>
    <w:rPr>
      <w:sz w:val="28"/>
    </w:rPr>
  </w:style>
  <w:style w:type="paragraph" w:customStyle="1" w:styleId="108">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9">
    <w:name w:val="标准文件_英文图表脚注"/>
    <w:basedOn w:val="56"/>
    <w:qFormat/>
    <w:uiPriority w:val="0"/>
    <w:pPr>
      <w:widowControl/>
      <w:adjustRightInd/>
      <w:snapToGrid/>
      <w:spacing w:line="240" w:lineRule="auto"/>
      <w:ind w:left="79" w:hanging="79" w:hangingChars="80"/>
    </w:pPr>
    <w:rPr>
      <w:rFonts w:ascii="宋体" w:hAnsi="宋体"/>
    </w:rPr>
  </w:style>
  <w:style w:type="paragraph" w:customStyle="1" w:styleId="110">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1">
    <w:name w:val="标准文件_英文注："/>
    <w:basedOn w:val="1"/>
    <w:next w:val="57"/>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2">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3">
    <w:name w:val="标准文件_正文表标题"/>
    <w:next w:val="57"/>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4">
    <w:name w:val="标准文件_正文公式"/>
    <w:basedOn w:val="1"/>
    <w:next w:val="56"/>
    <w:qFormat/>
    <w:uiPriority w:val="0"/>
    <w:pPr>
      <w:tabs>
        <w:tab w:val="center" w:pos="4678"/>
        <w:tab w:val="right" w:leader="middleDot" w:pos="9356"/>
      </w:tabs>
      <w:spacing w:line="240" w:lineRule="auto"/>
    </w:pPr>
    <w:rPr>
      <w:rFonts w:ascii="宋体" w:hAnsi="宋体"/>
    </w:rPr>
  </w:style>
  <w:style w:type="paragraph" w:customStyle="1" w:styleId="115">
    <w:name w:val="标准文件_正文图标题"/>
    <w:next w:val="57"/>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英文表标题"/>
    <w:next w:val="57"/>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7">
    <w:name w:val="标准文件_正文英文图标题"/>
    <w:next w:val="57"/>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8">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9">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0">
    <w:name w:val="发布部门"/>
    <w:next w:val="57"/>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1">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2">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5">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6">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7">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8">
    <w:name w:val="封面正文"/>
    <w:qFormat/>
    <w:uiPriority w:val="0"/>
    <w:pPr>
      <w:jc w:val="both"/>
    </w:pPr>
    <w:rPr>
      <w:rFonts w:ascii="Times New Roman" w:hAnsi="Times New Roman" w:eastAsia="宋体" w:cs="Times New Roman"/>
      <w:lang w:val="en-US" w:eastAsia="zh-CN" w:bidi="ar-SA"/>
    </w:rPr>
  </w:style>
  <w:style w:type="paragraph" w:customStyle="1" w:styleId="129">
    <w:name w:val="附录二级无标题条"/>
    <w:basedOn w:val="1"/>
    <w:next w:val="57"/>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0">
    <w:name w:val="附录三级无标题条"/>
    <w:basedOn w:val="129"/>
    <w:next w:val="57"/>
    <w:qFormat/>
    <w:uiPriority w:val="0"/>
    <w:pPr>
      <w:outlineLvl w:val="4"/>
    </w:pPr>
  </w:style>
  <w:style w:type="paragraph" w:customStyle="1" w:styleId="131">
    <w:name w:val="附录四级无标题条"/>
    <w:basedOn w:val="130"/>
    <w:next w:val="57"/>
    <w:qFormat/>
    <w:uiPriority w:val="0"/>
    <w:pPr>
      <w:outlineLvl w:val="5"/>
    </w:pPr>
  </w:style>
  <w:style w:type="paragraph" w:customStyle="1" w:styleId="132">
    <w:name w:val="附录图"/>
    <w:next w:val="57"/>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3">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4">
    <w:name w:val="附录五级无标题条"/>
    <w:basedOn w:val="131"/>
    <w:next w:val="57"/>
    <w:qFormat/>
    <w:uiPriority w:val="0"/>
    <w:pPr>
      <w:outlineLvl w:val="6"/>
    </w:pPr>
  </w:style>
  <w:style w:type="paragraph" w:customStyle="1" w:styleId="135">
    <w:name w:val="附录性质"/>
    <w:basedOn w:val="1"/>
    <w:qFormat/>
    <w:uiPriority w:val="0"/>
    <w:pPr>
      <w:widowControl/>
      <w:adjustRightInd/>
      <w:jc w:val="center"/>
    </w:pPr>
    <w:rPr>
      <w:rFonts w:ascii="黑体" w:eastAsia="黑体"/>
    </w:rPr>
  </w:style>
  <w:style w:type="paragraph" w:customStyle="1" w:styleId="136">
    <w:name w:val="附录一级无标题条"/>
    <w:basedOn w:val="88"/>
    <w:next w:val="57"/>
    <w:qFormat/>
    <w:uiPriority w:val="0"/>
    <w:pPr>
      <w:autoSpaceDN w:val="0"/>
      <w:outlineLvl w:val="2"/>
    </w:pPr>
    <w:rPr>
      <w:rFonts w:ascii="宋体" w:hAnsi="宋体" w:eastAsia="宋体"/>
    </w:rPr>
  </w:style>
  <w:style w:type="character" w:customStyle="1" w:styleId="137">
    <w:name w:val="个人答复风格"/>
    <w:qFormat/>
    <w:uiPriority w:val="0"/>
    <w:rPr>
      <w:rFonts w:ascii="Arial" w:hAnsi="Arial" w:eastAsia="宋体" w:cs="Arial"/>
      <w:color w:val="auto"/>
      <w:spacing w:val="0"/>
      <w:sz w:val="20"/>
    </w:rPr>
  </w:style>
  <w:style w:type="character" w:customStyle="1" w:styleId="138">
    <w:name w:val="个人撰写风格"/>
    <w:qFormat/>
    <w:uiPriority w:val="0"/>
    <w:rPr>
      <w:rFonts w:ascii="Arial" w:hAnsi="Arial" w:eastAsia="宋体" w:cs="Arial"/>
      <w:color w:val="auto"/>
      <w:spacing w:val="0"/>
      <w:sz w:val="20"/>
    </w:rPr>
  </w:style>
  <w:style w:type="paragraph" w:customStyle="1" w:styleId="139">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0">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1">
    <w:name w:val="列项·"/>
    <w:basedOn w:val="57"/>
    <w:qFormat/>
    <w:uiPriority w:val="0"/>
    <w:pPr>
      <w:tabs>
        <w:tab w:val="left" w:pos="840"/>
      </w:tabs>
    </w:pPr>
  </w:style>
  <w:style w:type="paragraph" w:customStyle="1" w:styleId="14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3">
    <w:name w:val="目录 21"/>
    <w:basedOn w:val="1"/>
    <w:next w:val="1"/>
    <w:semiHidden/>
    <w:qFormat/>
    <w:uiPriority w:val="0"/>
    <w:pPr>
      <w:adjustRightInd/>
      <w:spacing w:line="240" w:lineRule="auto"/>
      <w:jc w:val="left"/>
    </w:pPr>
    <w:rPr>
      <w:bCs/>
      <w:iCs/>
    </w:rPr>
  </w:style>
  <w:style w:type="paragraph" w:customStyle="1" w:styleId="144">
    <w:name w:val="目录 31"/>
    <w:basedOn w:val="1"/>
    <w:next w:val="1"/>
    <w:semiHidden/>
    <w:qFormat/>
    <w:uiPriority w:val="0"/>
    <w:pPr>
      <w:spacing w:line="240" w:lineRule="auto"/>
    </w:pPr>
    <w:rPr>
      <w:rFonts w:ascii="宋体" w:hAnsi="宋体"/>
      <w:iCs/>
    </w:rPr>
  </w:style>
  <w:style w:type="paragraph" w:customStyle="1" w:styleId="145">
    <w:name w:val="目录 41"/>
    <w:basedOn w:val="1"/>
    <w:next w:val="1"/>
    <w:semiHidden/>
    <w:qFormat/>
    <w:uiPriority w:val="0"/>
    <w:pPr>
      <w:adjustRightInd/>
      <w:spacing w:line="240" w:lineRule="auto"/>
      <w:jc w:val="left"/>
    </w:pPr>
  </w:style>
  <w:style w:type="paragraph" w:customStyle="1" w:styleId="146">
    <w:name w:val="目录 51"/>
    <w:basedOn w:val="1"/>
    <w:next w:val="1"/>
    <w:semiHidden/>
    <w:qFormat/>
    <w:uiPriority w:val="0"/>
    <w:pPr>
      <w:spacing w:line="240" w:lineRule="auto"/>
    </w:pPr>
    <w:rPr>
      <w:rFonts w:ascii="宋体" w:hAnsi="宋体"/>
    </w:rPr>
  </w:style>
  <w:style w:type="paragraph" w:customStyle="1" w:styleId="147">
    <w:name w:val="目录 61"/>
    <w:basedOn w:val="1"/>
    <w:next w:val="1"/>
    <w:semiHidden/>
    <w:qFormat/>
    <w:uiPriority w:val="0"/>
    <w:pPr>
      <w:adjustRightInd/>
      <w:spacing w:line="240" w:lineRule="auto"/>
      <w:jc w:val="left"/>
    </w:pPr>
  </w:style>
  <w:style w:type="paragraph" w:customStyle="1" w:styleId="148">
    <w:name w:val="目录 71"/>
    <w:basedOn w:val="147"/>
    <w:semiHidden/>
    <w:qFormat/>
    <w:uiPriority w:val="0"/>
    <w:pPr>
      <w:ind w:left="1260"/>
    </w:pPr>
  </w:style>
  <w:style w:type="paragraph" w:customStyle="1" w:styleId="149">
    <w:name w:val="目录 81"/>
    <w:basedOn w:val="148"/>
    <w:semiHidden/>
    <w:qFormat/>
    <w:uiPriority w:val="0"/>
    <w:pPr>
      <w:ind w:left="1470"/>
    </w:pPr>
  </w:style>
  <w:style w:type="paragraph" w:customStyle="1" w:styleId="150">
    <w:name w:val="目录 91"/>
    <w:basedOn w:val="149"/>
    <w:semiHidden/>
    <w:qFormat/>
    <w:uiPriority w:val="0"/>
    <w:pPr>
      <w:ind w:left="1680"/>
    </w:pPr>
  </w:style>
  <w:style w:type="paragraph" w:customStyle="1" w:styleId="15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2">
    <w:name w:val="其他发布部门"/>
    <w:basedOn w:val="120"/>
    <w:qFormat/>
    <w:uiPriority w:val="0"/>
    <w:pPr>
      <w:spacing w:line="0" w:lineRule="atLeast"/>
    </w:pPr>
    <w:rPr>
      <w:rFonts w:ascii="黑体" w:eastAsia="黑体"/>
      <w:b w:val="0"/>
    </w:rPr>
  </w:style>
  <w:style w:type="paragraph" w:customStyle="1" w:styleId="153">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4">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5">
    <w:name w:val="实施日期"/>
    <w:basedOn w:val="121"/>
    <w:qFormat/>
    <w:uiPriority w:val="0"/>
    <w:pPr>
      <w:framePr w:hSpace="0" w:xAlign="right"/>
      <w:jc w:val="right"/>
    </w:pPr>
  </w:style>
  <w:style w:type="paragraph" w:customStyle="1" w:styleId="156">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7">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8">
    <w:name w:val="无标题条"/>
    <w:next w:val="57"/>
    <w:qFormat/>
    <w:uiPriority w:val="0"/>
    <w:pPr>
      <w:jc w:val="both"/>
    </w:pPr>
    <w:rPr>
      <w:rFonts w:ascii="宋体" w:hAnsi="宋体" w:eastAsia="宋体" w:cs="Times New Roman"/>
      <w:sz w:val="21"/>
      <w:lang w:val="en-US" w:eastAsia="zh-CN" w:bidi="ar-SA"/>
    </w:rPr>
  </w:style>
  <w:style w:type="paragraph" w:customStyle="1" w:styleId="159">
    <w:name w:val="五级无标题条"/>
    <w:basedOn w:val="1"/>
    <w:qFormat/>
    <w:uiPriority w:val="0"/>
    <w:pPr>
      <w:numPr>
        <w:ilvl w:val="6"/>
        <w:numId w:val="20"/>
      </w:numPr>
      <w:adjustRightInd/>
    </w:pPr>
    <w:rPr>
      <w:szCs w:val="24"/>
    </w:rPr>
  </w:style>
  <w:style w:type="paragraph" w:customStyle="1" w:styleId="160">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1">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2">
    <w:name w:val="注×:后续"/>
    <w:basedOn w:val="161"/>
    <w:qFormat/>
    <w:uiPriority w:val="0"/>
    <w:pPr>
      <w:ind w:left="1406" w:leftChars="0" w:hanging="499" w:firstLineChars="0"/>
    </w:pPr>
  </w:style>
  <w:style w:type="paragraph" w:customStyle="1" w:styleId="163">
    <w:name w:val="标准文件_一级无标题"/>
    <w:basedOn w:val="106"/>
    <w:qFormat/>
    <w:uiPriority w:val="0"/>
    <w:pPr>
      <w:spacing w:before="0" w:beforeLines="0" w:after="0" w:afterLines="0"/>
      <w:outlineLvl w:val="9"/>
    </w:pPr>
    <w:rPr>
      <w:rFonts w:ascii="宋体" w:eastAsia="宋体"/>
    </w:rPr>
  </w:style>
  <w:style w:type="paragraph" w:customStyle="1" w:styleId="164">
    <w:name w:val="标准文件_五级无标题"/>
    <w:basedOn w:val="104"/>
    <w:qFormat/>
    <w:uiPriority w:val="0"/>
    <w:pPr>
      <w:spacing w:before="0" w:beforeLines="0" w:after="0" w:afterLines="0"/>
      <w:outlineLvl w:val="9"/>
    </w:pPr>
    <w:rPr>
      <w:rFonts w:ascii="宋体" w:eastAsia="宋体"/>
    </w:rPr>
  </w:style>
  <w:style w:type="paragraph" w:customStyle="1" w:styleId="165">
    <w:name w:val="标准文件_三级无标题"/>
    <w:basedOn w:val="95"/>
    <w:qFormat/>
    <w:uiPriority w:val="0"/>
    <w:pPr>
      <w:spacing w:before="0" w:beforeLines="0" w:after="0" w:afterLines="0"/>
      <w:outlineLvl w:val="9"/>
    </w:pPr>
    <w:rPr>
      <w:rFonts w:ascii="宋体" w:eastAsia="宋体"/>
    </w:rPr>
  </w:style>
  <w:style w:type="paragraph" w:customStyle="1" w:styleId="166">
    <w:name w:val="标准文件_二级无标题"/>
    <w:basedOn w:val="66"/>
    <w:qFormat/>
    <w:uiPriority w:val="0"/>
    <w:pPr>
      <w:spacing w:before="0" w:beforeLines="0" w:after="0" w:afterLines="0"/>
      <w:outlineLvl w:val="9"/>
    </w:pPr>
    <w:rPr>
      <w:rFonts w:ascii="宋体" w:eastAsia="宋体"/>
    </w:rPr>
  </w:style>
  <w:style w:type="paragraph" w:customStyle="1" w:styleId="167">
    <w:name w:val="标准_四级无标题"/>
    <w:basedOn w:val="99"/>
    <w:next w:val="57"/>
    <w:qFormat/>
    <w:uiPriority w:val="0"/>
    <w:rPr>
      <w:rFonts w:eastAsia="宋体"/>
    </w:rPr>
  </w:style>
  <w:style w:type="paragraph" w:customStyle="1" w:styleId="168">
    <w:name w:val="标准文件_四级无标题"/>
    <w:basedOn w:val="99"/>
    <w:qFormat/>
    <w:uiPriority w:val="0"/>
    <w:pPr>
      <w:spacing w:before="0" w:beforeLines="0" w:after="0" w:afterLines="0"/>
      <w:outlineLvl w:val="9"/>
    </w:pPr>
    <w:rPr>
      <w:rFonts w:ascii="宋体" w:hAnsi="黑体" w:eastAsia="宋体"/>
      <w:szCs w:val="52"/>
    </w:rPr>
  </w:style>
  <w:style w:type="paragraph" w:customStyle="1" w:styleId="169">
    <w:name w:val="标准文件_大写罗马数字编号列项"/>
    <w:basedOn w:val="57"/>
    <w:qFormat/>
    <w:uiPriority w:val="0"/>
    <w:pPr>
      <w:numPr>
        <w:ilvl w:val="0"/>
        <w:numId w:val="23"/>
      </w:numPr>
      <w:ind w:firstLine="0" w:firstLineChars="0"/>
    </w:pPr>
    <w:rPr>
      <w:rFonts w:ascii="Times New Roman" w:cs="Arial"/>
      <w:szCs w:val="28"/>
    </w:rPr>
  </w:style>
  <w:style w:type="paragraph" w:customStyle="1" w:styleId="170">
    <w:name w:val="标准文件_小写罗马数字编号列项"/>
    <w:basedOn w:val="57"/>
    <w:qFormat/>
    <w:uiPriority w:val="0"/>
    <w:pPr>
      <w:numPr>
        <w:ilvl w:val="0"/>
        <w:numId w:val="24"/>
      </w:numPr>
      <w:ind w:firstLine="0" w:firstLineChars="0"/>
    </w:pPr>
    <w:rPr>
      <w:rFonts w:cs="Arial"/>
      <w:szCs w:val="28"/>
    </w:rPr>
  </w:style>
  <w:style w:type="paragraph" w:customStyle="1" w:styleId="171">
    <w:name w:val="标准文件_附录标题"/>
    <w:basedOn w:val="77"/>
    <w:qFormat/>
    <w:uiPriority w:val="0"/>
    <w:pPr>
      <w:numPr>
        <w:numId w:val="0"/>
      </w:numPr>
      <w:spacing w:after="280"/>
      <w:outlineLvl w:val="9"/>
    </w:pPr>
  </w:style>
  <w:style w:type="paragraph" w:customStyle="1" w:styleId="172">
    <w:name w:val="标准文件_二级项"/>
    <w:qFormat/>
    <w:uiPriority w:val="0"/>
    <w:rPr>
      <w:rFonts w:ascii="宋体" w:hAnsi="Times New Roman" w:eastAsia="宋体" w:cs="Times New Roman"/>
      <w:sz w:val="21"/>
      <w:lang w:val="en-US" w:eastAsia="zh-CN" w:bidi="ar-SA"/>
    </w:rPr>
  </w:style>
  <w:style w:type="paragraph" w:customStyle="1" w:styleId="173">
    <w:name w:val="标准文件_三级项"/>
    <w:basedOn w:val="1"/>
    <w:qFormat/>
    <w:uiPriority w:val="0"/>
    <w:pPr>
      <w:numPr>
        <w:ilvl w:val="2"/>
        <w:numId w:val="21"/>
      </w:numPr>
      <w:spacing w:line="536870612" w:lineRule="auto"/>
    </w:pPr>
    <w:rPr>
      <w:rFonts w:ascii="Times New Roman" w:hAnsi="Times New Roman"/>
    </w:rPr>
  </w:style>
  <w:style w:type="paragraph" w:customStyle="1" w:styleId="174">
    <w:name w:val="图表脚注说明"/>
    <w:basedOn w:val="1"/>
    <w:next w:val="57"/>
    <w:qFormat/>
    <w:uiPriority w:val="0"/>
    <w:pPr>
      <w:numPr>
        <w:ilvl w:val="0"/>
        <w:numId w:val="25"/>
      </w:numPr>
      <w:adjustRightInd/>
      <w:spacing w:line="240" w:lineRule="auto"/>
    </w:pPr>
    <w:rPr>
      <w:rFonts w:ascii="宋体" w:hAnsi="Times New Roman"/>
      <w:sz w:val="18"/>
      <w:szCs w:val="18"/>
    </w:rPr>
  </w:style>
  <w:style w:type="paragraph" w:customStyle="1" w:styleId="175">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6">
    <w:name w:val="标准文件_索引字母"/>
    <w:next w:val="57"/>
    <w:qFormat/>
    <w:uiPriority w:val="0"/>
    <w:pPr>
      <w:jc w:val="center"/>
    </w:pPr>
    <w:rPr>
      <w:rFonts w:ascii="宋体" w:hAnsi="宋体" w:eastAsia="Times New Roman" w:cs="Times New Roman"/>
      <w:b/>
      <w:kern w:val="2"/>
      <w:sz w:val="21"/>
      <w:lang w:val="en-US" w:eastAsia="zh-CN" w:bidi="ar-SA"/>
    </w:rPr>
  </w:style>
  <w:style w:type="paragraph" w:customStyle="1" w:styleId="177">
    <w:name w:val="标准文件_附录前"/>
    <w:next w:val="57"/>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8">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9">
    <w:name w:val="标准文件_表格"/>
    <w:basedOn w:val="57"/>
    <w:qFormat/>
    <w:uiPriority w:val="0"/>
    <w:pPr>
      <w:ind w:firstLine="0" w:firstLineChars="0"/>
      <w:jc w:val="center"/>
    </w:pPr>
    <w:rPr>
      <w:sz w:val="18"/>
    </w:rPr>
  </w:style>
  <w:style w:type="paragraph" w:customStyle="1" w:styleId="180">
    <w:name w:val="标准文件_注："/>
    <w:next w:val="57"/>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示例："/>
    <w:next w:val="183"/>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3">
    <w:name w:val="标准文件_示例内容"/>
    <w:basedOn w:val="57"/>
    <w:qFormat/>
    <w:uiPriority w:val="0"/>
    <w:pPr>
      <w:ind w:firstLine="420"/>
    </w:pPr>
    <w:rPr>
      <w:sz w:val="18"/>
    </w:rPr>
  </w:style>
  <w:style w:type="paragraph" w:customStyle="1" w:styleId="184">
    <w:name w:val="标准文件_示例×："/>
    <w:basedOn w:val="1"/>
    <w:next w:val="183"/>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5">
    <w:name w:val="标准文件_段 Char"/>
    <w:link w:val="57"/>
    <w:qFormat/>
    <w:uiPriority w:val="0"/>
    <w:rPr>
      <w:rFonts w:ascii="宋体" w:hAnsi="Times New Roman"/>
      <w:sz w:val="21"/>
    </w:rPr>
  </w:style>
  <w:style w:type="paragraph" w:customStyle="1" w:styleId="186">
    <w:name w:val="标准文件_表格续"/>
    <w:basedOn w:val="57"/>
    <w:next w:val="57"/>
    <w:qFormat/>
    <w:uiPriority w:val="0"/>
    <w:pPr>
      <w:jc w:val="center"/>
    </w:pPr>
    <w:rPr>
      <w:rFonts w:ascii="黑体" w:hAnsi="黑体" w:eastAsia="黑体"/>
    </w:rPr>
  </w:style>
  <w:style w:type="character" w:styleId="187">
    <w:name w:val="Placeholder Text"/>
    <w:basedOn w:val="29"/>
    <w:semiHidden/>
    <w:qFormat/>
    <w:uiPriority w:val="99"/>
    <w:rPr>
      <w:color w:val="808080"/>
    </w:rPr>
  </w:style>
  <w:style w:type="paragraph" w:customStyle="1" w:styleId="188">
    <w:name w:val="标准文件_二级项2"/>
    <w:basedOn w:val="57"/>
    <w:qFormat/>
    <w:uiPriority w:val="0"/>
    <w:pPr>
      <w:numPr>
        <w:ilvl w:val="1"/>
        <w:numId w:val="21"/>
      </w:numPr>
      <w:ind w:firstLine="0" w:firstLineChars="0"/>
    </w:pPr>
  </w:style>
  <w:style w:type="paragraph" w:customStyle="1" w:styleId="189">
    <w:name w:val="标准文件_三级项2"/>
    <w:basedOn w:val="57"/>
    <w:qFormat/>
    <w:uiPriority w:val="0"/>
    <w:pPr>
      <w:numPr>
        <w:ilvl w:val="0"/>
        <w:numId w:val="30"/>
      </w:numPr>
      <w:spacing w:line="300" w:lineRule="exact"/>
      <w:ind w:firstLineChars="0"/>
    </w:pPr>
    <w:rPr>
      <w:rFonts w:ascii="Times New Roman"/>
    </w:rPr>
  </w:style>
  <w:style w:type="paragraph" w:customStyle="1" w:styleId="190">
    <w:name w:val="标准文件_一级项2"/>
    <w:basedOn w:val="57"/>
    <w:qFormat/>
    <w:uiPriority w:val="0"/>
    <w:pPr>
      <w:numPr>
        <w:ilvl w:val="0"/>
        <w:numId w:val="31"/>
      </w:numPr>
      <w:spacing w:line="300" w:lineRule="exact"/>
      <w:ind w:firstLineChars="0"/>
    </w:pPr>
    <w:rPr>
      <w:rFonts w:ascii="Times New Roman"/>
    </w:rPr>
  </w:style>
  <w:style w:type="paragraph" w:customStyle="1" w:styleId="191">
    <w:name w:val="标准文件_提示"/>
    <w:basedOn w:val="57"/>
    <w:next w:val="57"/>
    <w:qFormat/>
    <w:uiPriority w:val="0"/>
    <w:pPr>
      <w:ind w:firstLine="420"/>
    </w:pPr>
    <w:rPr>
      <w:rFonts w:ascii="黑体" w:eastAsia="黑体"/>
    </w:rPr>
  </w:style>
  <w:style w:type="character" w:customStyle="1" w:styleId="192">
    <w:name w:val="标准文件_来源"/>
    <w:basedOn w:val="29"/>
    <w:qFormat/>
    <w:uiPriority w:val="1"/>
    <w:rPr>
      <w:rFonts w:eastAsia="宋体"/>
      <w:sz w:val="21"/>
    </w:rPr>
  </w:style>
  <w:style w:type="paragraph" w:customStyle="1" w:styleId="193">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4">
    <w:name w:val="其他发布日期"/>
    <w:basedOn w:val="121"/>
    <w:qFormat/>
    <w:uiPriority w:val="0"/>
    <w:pPr>
      <w:framePr w:w="3997" w:h="471" w:hRule="exact" w:hSpace="0" w:vSpace="181" w:vAnchor="page" w:hAnchor="page" w:x="1419" w:y="14097"/>
    </w:pPr>
  </w:style>
  <w:style w:type="paragraph" w:customStyle="1" w:styleId="195">
    <w:name w:val="其他实施日期"/>
    <w:basedOn w:val="155"/>
    <w:qFormat/>
    <w:uiPriority w:val="0"/>
    <w:pPr>
      <w:framePr w:w="3997" w:h="471" w:hRule="exact" w:vSpace="181" w:vAnchor="page" w:hAnchor="page" w:x="7089" w:y="14097"/>
    </w:pPr>
  </w:style>
  <w:style w:type="paragraph" w:customStyle="1" w:styleId="196">
    <w:name w:val="标准文件_文件编号"/>
    <w:basedOn w:val="57"/>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7">
    <w:name w:val="标准文件_替换文件编号"/>
    <w:basedOn w:val="196"/>
    <w:qFormat/>
    <w:uiPriority w:val="0"/>
    <w:pPr>
      <w:spacing w:before="57"/>
    </w:pPr>
    <w:rPr>
      <w:sz w:val="21"/>
    </w:rPr>
  </w:style>
  <w:style w:type="paragraph" w:customStyle="1" w:styleId="198">
    <w:name w:val="标准文件_文件名称"/>
    <w:basedOn w:val="57"/>
    <w:next w:val="57"/>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99">
    <w:name w:val="标准文件_附录图标号"/>
    <w:basedOn w:val="57"/>
    <w:next w:val="57"/>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0">
    <w:name w:val="标准文件_附录表标号"/>
    <w:basedOn w:val="57"/>
    <w:next w:val="57"/>
    <w:qFormat/>
    <w:uiPriority w:val="0"/>
    <w:pPr>
      <w:numPr>
        <w:ilvl w:val="0"/>
        <w:numId w:val="5"/>
      </w:numPr>
      <w:spacing w:line="14" w:lineRule="exact"/>
      <w:ind w:firstLine="0" w:firstLineChars="0"/>
      <w:jc w:val="center"/>
    </w:pPr>
    <w:rPr>
      <w:rFonts w:eastAsia="黑体"/>
      <w:vanish/>
      <w:sz w:val="2"/>
    </w:rPr>
  </w:style>
  <w:style w:type="paragraph" w:customStyle="1" w:styleId="201">
    <w:name w:val="标准文件_引言一级条标题"/>
    <w:basedOn w:val="57"/>
    <w:next w:val="57"/>
    <w:qFormat/>
    <w:uiPriority w:val="0"/>
    <w:pPr>
      <w:numPr>
        <w:ilvl w:val="1"/>
        <w:numId w:val="8"/>
      </w:numPr>
      <w:spacing w:before="50" w:beforeLines="50" w:after="50" w:afterLines="50"/>
      <w:ind w:firstLineChars="0"/>
    </w:pPr>
    <w:rPr>
      <w:rFonts w:ascii="黑体" w:eastAsia="黑体"/>
    </w:rPr>
  </w:style>
  <w:style w:type="paragraph" w:customStyle="1" w:styleId="202">
    <w:name w:val="标准文件_引言二级条标题"/>
    <w:basedOn w:val="57"/>
    <w:next w:val="57"/>
    <w:qFormat/>
    <w:uiPriority w:val="0"/>
    <w:pPr>
      <w:numPr>
        <w:ilvl w:val="2"/>
        <w:numId w:val="8"/>
      </w:numPr>
      <w:spacing w:before="50" w:beforeLines="50" w:after="50" w:afterLines="50"/>
      <w:ind w:firstLineChars="0"/>
    </w:pPr>
    <w:rPr>
      <w:rFonts w:ascii="黑体" w:eastAsia="黑体"/>
    </w:rPr>
  </w:style>
  <w:style w:type="paragraph" w:customStyle="1" w:styleId="203">
    <w:name w:val="标准文件_引言三级条标题"/>
    <w:basedOn w:val="57"/>
    <w:next w:val="57"/>
    <w:qFormat/>
    <w:uiPriority w:val="0"/>
    <w:pPr>
      <w:numPr>
        <w:ilvl w:val="3"/>
        <w:numId w:val="8"/>
      </w:numPr>
      <w:spacing w:before="50" w:beforeLines="50" w:after="50" w:afterLines="50"/>
      <w:ind w:firstLineChars="0"/>
    </w:pPr>
    <w:rPr>
      <w:rFonts w:ascii="黑体" w:eastAsia="黑体"/>
    </w:rPr>
  </w:style>
  <w:style w:type="paragraph" w:customStyle="1" w:styleId="204">
    <w:name w:val="标准文件_引言四级条标题"/>
    <w:basedOn w:val="57"/>
    <w:next w:val="57"/>
    <w:qFormat/>
    <w:uiPriority w:val="0"/>
    <w:pPr>
      <w:numPr>
        <w:ilvl w:val="4"/>
        <w:numId w:val="8"/>
      </w:numPr>
      <w:spacing w:before="50" w:beforeLines="50" w:after="50" w:afterLines="50"/>
      <w:ind w:firstLineChars="0"/>
    </w:pPr>
    <w:rPr>
      <w:rFonts w:ascii="黑体" w:eastAsia="黑体"/>
    </w:rPr>
  </w:style>
  <w:style w:type="paragraph" w:customStyle="1" w:styleId="205">
    <w:name w:val="标准文件_引言五级条标题"/>
    <w:basedOn w:val="57"/>
    <w:next w:val="57"/>
    <w:qFormat/>
    <w:uiPriority w:val="0"/>
    <w:pPr>
      <w:numPr>
        <w:ilvl w:val="5"/>
        <w:numId w:val="8"/>
      </w:numPr>
      <w:spacing w:before="50" w:beforeLines="50" w:after="50" w:afterLines="50"/>
      <w:ind w:firstLineChars="0"/>
    </w:pPr>
    <w:rPr>
      <w:rFonts w:ascii="黑体" w:eastAsia="黑体"/>
    </w:rPr>
  </w:style>
  <w:style w:type="paragraph" w:customStyle="1" w:styleId="206">
    <w:name w:val="标准文件_注后"/>
    <w:basedOn w:val="57"/>
    <w:qFormat/>
    <w:uiPriority w:val="0"/>
    <w:pPr>
      <w:ind w:left="811" w:firstLine="0" w:firstLineChars="0"/>
    </w:pPr>
    <w:rPr>
      <w:sz w:val="18"/>
    </w:rPr>
  </w:style>
  <w:style w:type="paragraph" w:customStyle="1" w:styleId="207">
    <w:name w:val="标准文件_注X后"/>
    <w:basedOn w:val="57"/>
    <w:qFormat/>
    <w:uiPriority w:val="0"/>
    <w:pPr>
      <w:ind w:left="811" w:firstLine="0" w:firstLineChars="0"/>
    </w:pPr>
    <w:rPr>
      <w:sz w:val="18"/>
    </w:rPr>
  </w:style>
  <w:style w:type="paragraph" w:customStyle="1" w:styleId="208">
    <w:name w:val="标准文件_示例后"/>
    <w:basedOn w:val="57"/>
    <w:qFormat/>
    <w:uiPriority w:val="0"/>
    <w:pPr>
      <w:ind w:left="964" w:firstLine="0" w:firstLineChars="0"/>
    </w:pPr>
    <w:rPr>
      <w:sz w:val="18"/>
    </w:rPr>
  </w:style>
  <w:style w:type="paragraph" w:customStyle="1" w:styleId="209">
    <w:name w:val="标准文件_示例X后"/>
    <w:basedOn w:val="57"/>
    <w:link w:val="210"/>
    <w:qFormat/>
    <w:uiPriority w:val="0"/>
    <w:pPr>
      <w:ind w:left="1049" w:firstLine="0" w:firstLineChars="0"/>
    </w:pPr>
    <w:rPr>
      <w:sz w:val="18"/>
    </w:rPr>
  </w:style>
  <w:style w:type="character" w:customStyle="1" w:styleId="210">
    <w:name w:val="标准文件_示例X后 字符"/>
    <w:basedOn w:val="185"/>
    <w:link w:val="209"/>
    <w:qFormat/>
    <w:uiPriority w:val="0"/>
    <w:rPr>
      <w:rFonts w:ascii="宋体" w:hAnsi="Times New Roman"/>
      <w:sz w:val="18"/>
    </w:rPr>
  </w:style>
  <w:style w:type="paragraph" w:customStyle="1" w:styleId="211">
    <w:name w:val="标准文件_索引项"/>
    <w:basedOn w:val="57"/>
    <w:next w:val="57"/>
    <w:qFormat/>
    <w:uiPriority w:val="0"/>
    <w:pPr>
      <w:tabs>
        <w:tab w:val="right" w:leader="dot" w:pos="9356"/>
      </w:tabs>
      <w:ind w:left="210" w:hanging="210" w:firstLineChars="0"/>
      <w:jc w:val="left"/>
    </w:pPr>
  </w:style>
  <w:style w:type="paragraph" w:customStyle="1" w:styleId="212">
    <w:name w:val="标准文件_附录一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二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三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四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五级无标题"/>
    <w:basedOn w:val="85"/>
    <w:qFormat/>
    <w:uiPriority w:val="0"/>
    <w:pPr>
      <w:spacing w:before="0" w:beforeLines="0" w:after="0" w:afterLines="0" w:line="276" w:lineRule="auto"/>
      <w:outlineLvl w:val="9"/>
    </w:pPr>
    <w:rPr>
      <w:rFonts w:ascii="宋体" w:eastAsia="宋体"/>
    </w:rPr>
  </w:style>
  <w:style w:type="paragraph" w:customStyle="1" w:styleId="217">
    <w:name w:val="标准文件_引言一级无标题"/>
    <w:basedOn w:val="201"/>
    <w:next w:val="57"/>
    <w:qFormat/>
    <w:uiPriority w:val="0"/>
    <w:pPr>
      <w:spacing w:before="0" w:beforeLines="0" w:after="0" w:afterLines="0" w:line="276" w:lineRule="auto"/>
    </w:pPr>
    <w:rPr>
      <w:rFonts w:ascii="宋体" w:eastAsia="宋体"/>
    </w:rPr>
  </w:style>
  <w:style w:type="paragraph" w:customStyle="1" w:styleId="218">
    <w:name w:val="标准文件_引言二级无标题"/>
    <w:basedOn w:val="202"/>
    <w:next w:val="57"/>
    <w:qFormat/>
    <w:uiPriority w:val="0"/>
    <w:pPr>
      <w:spacing w:before="0" w:beforeLines="0" w:after="0" w:afterLines="0" w:line="276" w:lineRule="auto"/>
    </w:pPr>
    <w:rPr>
      <w:rFonts w:ascii="宋体" w:eastAsia="宋体"/>
    </w:rPr>
  </w:style>
  <w:style w:type="paragraph" w:customStyle="1" w:styleId="219">
    <w:name w:val="标准文件_引言三级无标题"/>
    <w:basedOn w:val="203"/>
    <w:qFormat/>
    <w:uiPriority w:val="0"/>
    <w:pPr>
      <w:spacing w:before="0" w:beforeLines="0" w:after="0" w:afterLines="0" w:line="276" w:lineRule="auto"/>
    </w:pPr>
    <w:rPr>
      <w:rFonts w:ascii="宋体" w:eastAsia="宋体"/>
    </w:rPr>
  </w:style>
  <w:style w:type="paragraph" w:customStyle="1" w:styleId="220">
    <w:name w:val="标准文件_引言四级无标题"/>
    <w:basedOn w:val="204"/>
    <w:next w:val="57"/>
    <w:qFormat/>
    <w:uiPriority w:val="0"/>
    <w:pPr>
      <w:spacing w:before="0" w:beforeLines="0" w:after="0" w:afterLines="0" w:line="276" w:lineRule="auto"/>
    </w:pPr>
    <w:rPr>
      <w:rFonts w:ascii="宋体" w:eastAsia="宋体"/>
    </w:rPr>
  </w:style>
  <w:style w:type="paragraph" w:customStyle="1" w:styleId="221">
    <w:name w:val="标准文件_引言五级无标题"/>
    <w:basedOn w:val="205"/>
    <w:next w:val="57"/>
    <w:qFormat/>
    <w:uiPriority w:val="0"/>
    <w:pPr>
      <w:spacing w:before="0" w:beforeLines="0" w:after="0" w:afterLines="0" w:line="276" w:lineRule="auto"/>
    </w:pPr>
    <w:rPr>
      <w:rFonts w:ascii="宋体" w:eastAsia="宋体"/>
    </w:rPr>
  </w:style>
  <w:style w:type="paragraph" w:customStyle="1" w:styleId="222">
    <w:name w:val="标准文件_索引标题"/>
    <w:basedOn w:val="64"/>
    <w:next w:val="57"/>
    <w:qFormat/>
    <w:uiPriority w:val="0"/>
    <w:rPr>
      <w:rFonts w:hAnsi="黑体"/>
    </w:rPr>
  </w:style>
  <w:style w:type="paragraph" w:customStyle="1" w:styleId="223">
    <w:name w:val="标准文件_脚注内容"/>
    <w:basedOn w:val="57"/>
    <w:qFormat/>
    <w:uiPriority w:val="0"/>
    <w:pPr>
      <w:ind w:left="400" w:leftChars="200" w:hanging="200" w:hangingChars="200"/>
    </w:pPr>
    <w:rPr>
      <w:sz w:val="15"/>
    </w:rPr>
  </w:style>
  <w:style w:type="paragraph" w:customStyle="1" w:styleId="224">
    <w:name w:val="标准文件_术语条一"/>
    <w:basedOn w:val="163"/>
    <w:next w:val="57"/>
    <w:qFormat/>
    <w:uiPriority w:val="0"/>
  </w:style>
  <w:style w:type="paragraph" w:customStyle="1" w:styleId="225">
    <w:name w:val="标准文件_术语条二"/>
    <w:basedOn w:val="166"/>
    <w:next w:val="57"/>
    <w:qFormat/>
    <w:uiPriority w:val="0"/>
  </w:style>
  <w:style w:type="paragraph" w:customStyle="1" w:styleId="226">
    <w:name w:val="标准文件_术语条三"/>
    <w:basedOn w:val="165"/>
    <w:next w:val="57"/>
    <w:qFormat/>
    <w:uiPriority w:val="0"/>
  </w:style>
  <w:style w:type="paragraph" w:customStyle="1" w:styleId="227">
    <w:name w:val="标准文件_术语条四"/>
    <w:basedOn w:val="168"/>
    <w:next w:val="57"/>
    <w:qFormat/>
    <w:uiPriority w:val="0"/>
  </w:style>
  <w:style w:type="paragraph" w:customStyle="1" w:styleId="228">
    <w:name w:val="标准文件_术语条五"/>
    <w:basedOn w:val="164"/>
    <w:next w:val="57"/>
    <w:qFormat/>
    <w:uiPriority w:val="0"/>
  </w:style>
  <w:style w:type="paragraph" w:customStyle="1" w:styleId="22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0">
    <w:name w:val="发布"/>
    <w:basedOn w:val="29"/>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3.jpe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huawei\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7554C8FE5DA4B9FB292E64524B3D244"/>
        <w:style w:val=""/>
        <w:category>
          <w:name w:val="常规"/>
          <w:gallery w:val="placeholder"/>
        </w:category>
        <w:types>
          <w:type w:val="bbPlcHdr"/>
        </w:types>
        <w:behaviors>
          <w:behavior w:val="content"/>
        </w:behaviors>
        <w:description w:val=""/>
        <w:guid w:val="{0E6328F9-7DAE-4F4B-8BE2-B643D07C381F}"/>
      </w:docPartPr>
      <w:docPartBody>
        <w:p w14:paraId="32B8FDC6">
          <w:pPr>
            <w:pStyle w:val="5"/>
            <w:rPr>
              <w:rFonts w:hint="eastAsia"/>
            </w:rPr>
          </w:pPr>
          <w:r>
            <w:rPr>
              <w:rStyle w:val="4"/>
              <w:rFonts w:hint="eastAsia"/>
            </w:rPr>
            <w:t>单击或点击此处输入文字。</w:t>
          </w:r>
        </w:p>
      </w:docPartBody>
    </w:docPart>
    <w:docPart>
      <w:docPartPr>
        <w:name w:val="7AB8F6F630504AF19735832308C14B5B"/>
        <w:style w:val=""/>
        <w:category>
          <w:name w:val="常规"/>
          <w:gallery w:val="placeholder"/>
        </w:category>
        <w:types>
          <w:type w:val="bbPlcHdr"/>
        </w:types>
        <w:behaviors>
          <w:behavior w:val="content"/>
        </w:behaviors>
        <w:description w:val=""/>
        <w:guid w:val="{00C9875D-2290-4439-AF2C-93E8AD8DB64A}"/>
      </w:docPartPr>
      <w:docPartBody>
        <w:p w14:paraId="44DE0C2B">
          <w:pPr>
            <w:pStyle w:val="6"/>
            <w:rPr>
              <w:rFonts w:hint="eastAsia"/>
            </w:rPr>
          </w:pPr>
          <w:r>
            <w:rPr>
              <w:rStyle w:val="4"/>
              <w:rFonts w:hint="eastAsia"/>
            </w:rPr>
            <w:t>选择一项。</w:t>
          </w:r>
        </w:p>
      </w:docPartBody>
    </w:docPart>
    <w:docPart>
      <w:docPartPr>
        <w:name w:val="E2E4DD8F30F7499B8F2E9EF63130012B"/>
        <w:style w:val=""/>
        <w:category>
          <w:name w:val="常规"/>
          <w:gallery w:val="placeholder"/>
        </w:category>
        <w:types>
          <w:type w:val="bbPlcHdr"/>
        </w:types>
        <w:behaviors>
          <w:behavior w:val="content"/>
        </w:behaviors>
        <w:description w:val=""/>
        <w:guid w:val="{22DCECEC-06CC-45AD-BEEE-CDD764C45426}"/>
      </w:docPartPr>
      <w:docPartBody>
        <w:p w14:paraId="06138A92">
          <w:pPr>
            <w:pStyle w:val="7"/>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14E"/>
    <w:rsid w:val="000A4842"/>
    <w:rsid w:val="00210FB0"/>
    <w:rsid w:val="002A08C5"/>
    <w:rsid w:val="004F4029"/>
    <w:rsid w:val="006B5F2B"/>
    <w:rsid w:val="008821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7554C8FE5DA4B9FB292E64524B3D24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7AB8F6F630504AF19735832308C14B5B"/>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E2E4DD8F30F7499B8F2E9EF63130012B"/>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b2bdcd3e-3814-4bb4-b019-d7c972c94f0b</errorID>
      <errorWord>：</errorWord>
      <group>L1_Word</group>
      <groupName>字词问题</groupName>
      <ability>L2_Typo</ability>
      <abilityName>字词错误</abilityName>
      <candidateList>
        <item>：检</item>
      </candidateList>
      <explain/>
      <paraID>356288B2</paraID>
      <start>5</start>
      <end>6</end>
      <status>unmodified</status>
      <modifiedWord/>
      <trackRevisions>false</trackRevisions>
    </reviewItem>
    <reviewItem>
      <errorID>191e8eec-2b40-4b7f-a9bf-c2be6cc6ef87</errorID>
      <errorWord>（</errorWord>
      <group>L1_Format</group>
      <groupName>格式问题</groupName>
      <ability>L2_HalfPunc_CN</ability>
      <abilityName>全半角问题</abilityName>
      <candidateList>
        <item>(</item>
      </candidateList>
      <explain>文本全半角错误。</explain>
      <paraID>7724524F</paraID>
      <start>6</start>
      <end>7</end>
      <status>unmodified</status>
      <modifiedWord/>
      <trackRevisions>false</trackRevisions>
    </reviewItem>
    <reviewItem>
      <errorID>87b60b7a-a01a-428c-a076-02e31d704997</errorID>
      <errorWord>）</errorWord>
      <group>L1_Format</group>
      <groupName>格式问题</groupName>
      <ability>L2_HalfPunc_CN</ability>
      <abilityName>全半角问题</abilityName>
      <candidateList>
        <item>)</item>
      </candidateList>
      <explain>文本全半角错误。</explain>
      <paraID>7724524F</paraID>
      <start>14</start>
      <end>15</end>
      <status>unmodified</status>
      <modifiedWord/>
      <trackRevisions>false</trackRevisions>
    </reviewItem>
    <reviewItem>
      <errorID>8f3d136e-9952-4982-850b-1df321c7b867</errorID>
      <errorWord>-</errorWord>
      <group>L1_Format</group>
      <groupName>格式问题</groupName>
      <ability>L2_HalfPunc_CN</ability>
      <abilityName>全半角问题</abilityName>
      <candidateList>
        <item>－</item>
      </candidateList>
      <explain>文本全半角错误。</explain>
      <paraID> 520C449</paraID>
      <start>45</start>
      <end>46</end>
      <status>unmodified</status>
      <modifiedWord/>
      <trackRevisions>false</trackRevisions>
    </reviewItem>
    <reviewItem>
      <errorID>8a8adbe1-938d-416e-8349-0576d044e94a</errorID>
      <errorWord>经经验</errorWord>
      <group>L1_Word</group>
      <groupName>字词问题</groupName>
      <ability>L2_Typo</ability>
      <abilityName>字词错误</abilityName>
      <candidateList>
        <item>经验</item>
      </candidateList>
      <explain/>
      <paraID>3D8A494E</paraID>
      <start>7</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931ebf-570d-4457-ae48-916d09a5bca8}">
  <ds:schemaRefs/>
</ds:datastoreItem>
</file>

<file path=docProps/app.xml><?xml version="1.0" encoding="utf-8"?>
<Properties xmlns="http://schemas.openxmlformats.org/officeDocument/2006/extended-properties" xmlns:vt="http://schemas.openxmlformats.org/officeDocument/2006/docPropsVTypes">
  <Template>团体标准</Template>
  <Pages>10</Pages>
  <Words>5759</Words>
  <Characters>6363</Characters>
  <Lines>52</Lines>
  <Paragraphs>14</Paragraphs>
  <TotalTime>74</TotalTime>
  <ScaleCrop>false</ScaleCrop>
  <LinksUpToDate>false</LinksUpToDate>
  <CharactersWithSpaces>6478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2026-08-20T17:59:00Z</dcterms:created>
  <dc:creator>pwc</dc:creator>
  <dc:description>&lt;config cover="true" show_menu="true" version="1.0.0" doctype="SDKXY"&gt;_x000d_
&lt;/config&gt;</dc:description>
  <cp:lastModifiedBy>Julian</cp:lastModifiedBy>
  <dcterms:modified xsi:type="dcterms:W3CDTF">2026-09-28T01:58:47Z</dcterms:modified>
  <dc:title>团体标准</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27782FB3FFB44A27B02637350EAAE35A_13</vt:lpwstr>
  </property>
  <property fmtid="{D5CDD505-2E9C-101B-9397-08002B2CF9AE}" pid="15" name="KSOTemplateDocerSaveRecord">
    <vt:lpwstr>eyJoZGlkIjoiOGI4NjI5OTBmMDM1ODFlMDkzNDFlZTFiMWNhZWU5ZTMiLCJ1c2VySWQiOiIzMDk3NTI4ODEifQ==</vt:lpwstr>
  </property>
  <property fmtid="{D5CDD505-2E9C-101B-9397-08002B2CF9AE}" pid="16" name="KSOProductBuildVer">
    <vt:lpwstr>2052-12.1.0.28043</vt:lpwstr>
  </property>
</Properties>
</file>