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B980B5">
      <w:pPr>
        <w:pStyle w:val="3"/>
        <w:ind w:firstLine="640"/>
        <w:rPr>
          <w:lang w:eastAsia="zh-CN"/>
        </w:rPr>
      </w:pPr>
      <w:r>
        <w:rPr>
          <w:lang w:eastAsia="zh-CN"/>
        </w:rPr>
        <w:t>《外科植入物 可吸收接骨板弯曲疲劳测试方法（征求意见稿）》编制说明</w:t>
      </w:r>
    </w:p>
    <w:p w14:paraId="458B873B">
      <w:pPr>
        <w:pStyle w:val="4"/>
        <w:ind w:firstLine="560"/>
        <w:rPr>
          <w:b/>
          <w:bCs w:val="0"/>
          <w:lang w:eastAsia="zh-CN"/>
        </w:rPr>
      </w:pPr>
      <w:r>
        <w:rPr>
          <w:b/>
          <w:bCs w:val="0"/>
          <w:lang w:eastAsia="zh-CN"/>
        </w:rPr>
        <w:t>一、工作简况</w:t>
      </w:r>
    </w:p>
    <w:p w14:paraId="14CFB66E">
      <w:pPr>
        <w:pStyle w:val="5"/>
        <w:ind w:firstLine="560"/>
        <w:rPr>
          <w:lang w:eastAsia="zh-CN"/>
        </w:rPr>
      </w:pPr>
      <w:r>
        <w:rPr>
          <w:lang w:eastAsia="zh-CN"/>
        </w:rPr>
        <w:t>1. 任务来源</w:t>
      </w:r>
    </w:p>
    <w:p w14:paraId="08408FF2">
      <w:pPr>
        <w:spacing w:after="60"/>
        <w:ind w:firstLine="560"/>
        <w:jc w:val="both"/>
        <w:rPr>
          <w:lang w:eastAsia="zh-CN"/>
        </w:rPr>
      </w:pPr>
      <w:r>
        <w:rPr>
          <w:lang w:eastAsia="zh-CN"/>
        </w:rPr>
        <w:t>可吸收接骨板已在桡骨、腓骨、手足、颅颌面及神经外科等骨折固定场景广泛应用，其在植入初期为骨折部位提供必要的力学支撑，随后逐渐降解吸收，避免了金属内固定需二次手术取出的弊端。然而，可吸收聚酯及其复合材料的力学强度低于钛合金等传统金属内固定器械，且在体液环境中持续水解、力学性能随降解进程衰减：初始强度不足可导致术后即刻固定失效，降解过程中力学性能下降过快则易与骨愈合周期不匹配、增加内固定失败风险。</w:t>
      </w:r>
    </w:p>
    <w:p w14:paraId="7F96652F">
      <w:pPr>
        <w:spacing w:after="60"/>
        <w:ind w:firstLine="560"/>
        <w:jc w:val="both"/>
        <w:rPr>
          <w:lang w:eastAsia="zh-CN"/>
        </w:rPr>
      </w:pPr>
      <w:r>
        <w:rPr>
          <w:lang w:eastAsia="zh-CN"/>
        </w:rPr>
        <w:t>我国每年新发骨折1500万-2000万人次，约45%的患者需手术治疗，内固定是最主要的高值耗材之一，可吸收接骨板的临床与产业需求持续增长。现行标准体系仅明确了静态弯曲力学性能测试要求（YY/T 0509—2009），尚未建立模拟体内持续载荷作用下动态疲劳性能的试验方法标准；工程实践中只能按体外降解标准在不同时间点取样后再进行静态弯曲测试，周期长、成本高，且无法在同一样品上连续反映持续载荷作用下的力学衰减过程，难以满足不同设计、不同材料组成接骨板在配方筛选与质量控制环节对力学有效性快速评估的需求。因此，亟需建立适用于临床多场景的可吸收接骨板力学评价方法，为不同设计、不同材料组成的接骨板提供模拟体内环境下的弯曲疲劳性能评价方法。</w:t>
      </w:r>
    </w:p>
    <w:p w14:paraId="47B4CA5D">
      <w:pPr>
        <w:spacing w:after="60"/>
        <w:ind w:firstLine="560"/>
        <w:jc w:val="both"/>
        <w:rPr>
          <w:lang w:eastAsia="zh-CN"/>
        </w:rPr>
      </w:pPr>
      <w:r>
        <w:rPr>
          <w:lang w:eastAsia="zh-CN"/>
        </w:rPr>
        <w:t>《外科植入物  可吸收接骨板弯曲疲劳测试方法》团体标准由中国生物材料学会标准工作委员会归口，由中国人民解放军总医院第四医学中心牵头起草，起草工作组</w:t>
      </w:r>
      <w:r>
        <w:rPr>
          <w:rFonts w:hint="eastAsia"/>
          <w:lang w:eastAsia="zh-CN"/>
        </w:rPr>
        <w:t>于20</w:t>
      </w:r>
      <w:r>
        <w:rPr>
          <w:lang w:eastAsia="zh-CN"/>
        </w:rPr>
        <w:t>26年1月26</w:t>
      </w:r>
      <w:r>
        <w:rPr>
          <w:rFonts w:hint="eastAsia"/>
          <w:lang w:eastAsia="zh-CN"/>
        </w:rPr>
        <w:t>日</w:t>
      </w:r>
      <w:r>
        <w:rPr>
          <w:lang w:eastAsia="zh-CN"/>
        </w:rPr>
        <w:t>提交了立项申请。在标准归口单位中国生物材料学会标准工作委员会的指导下，本标准第一起草单位中国人民解放军总医院第四医学中心于2026年6月28日在腾讯会议网络平台参加了中国生物材料学会2026年第三次团体标准立项评审会议，经专家评审予以立项。2026年7月15日，中国生物材料学会发布关于《外科植入物  可吸收接骨板弯曲疲劳测试方法》等3项团体标准立项公示结束，本文件被列入中国生物材料学会2026年第Ⅲ批团体标准批准立项清单，正式立项。</w:t>
      </w:r>
    </w:p>
    <w:p w14:paraId="7DC42939">
      <w:pPr>
        <w:spacing w:after="60"/>
        <w:ind w:firstLine="560"/>
        <w:jc w:val="both"/>
        <w:rPr>
          <w:lang w:eastAsia="zh-CN"/>
        </w:rPr>
      </w:pPr>
      <w:r>
        <w:rPr>
          <w:lang w:eastAsia="zh-CN"/>
        </w:rPr>
        <w:t>本文件的制定同时服务于国家重点研发计划项目《微动骨折生物固定系统关键技术研究》的力学评价需求，为该项目形成的可吸收聚酯及其复合材料接骨板提供统一、可复现的弯曲疲劳性能试验方法，支撑产品设计验证、材料配方筛选与成果转化。</w:t>
      </w:r>
    </w:p>
    <w:p w14:paraId="696E6EEF">
      <w:pPr>
        <w:pStyle w:val="5"/>
        <w:ind w:firstLine="560"/>
        <w:rPr>
          <w:b w:val="0"/>
          <w:bCs/>
          <w:lang w:eastAsia="zh-CN"/>
        </w:rPr>
      </w:pPr>
      <w:r>
        <w:rPr>
          <w:b w:val="0"/>
          <w:bCs/>
          <w:lang w:eastAsia="zh-CN"/>
        </w:rPr>
        <w:t>2. 标准起草单位及起草人</w:t>
      </w:r>
    </w:p>
    <w:p w14:paraId="4CA2B126">
      <w:pPr>
        <w:ind w:firstLine="560"/>
        <w:rPr>
          <w:lang w:eastAsia="zh-CN"/>
        </w:rPr>
      </w:pPr>
      <w:r>
        <w:rPr>
          <w:lang w:eastAsia="zh-CN"/>
        </w:rPr>
        <w:t>本文件起草单位：中国人民解放军总医院第四医学中心、中国食品药品检定研究院、北京纳通医学研究院有限公司、复旦大学、北京航空航天大学、北京化工大学、北京大学人民医院、河北医科大学第三医院、首都医科大学附属北京世纪坛医院、东华大学、天津正天医疗器械有限公司。</w:t>
      </w:r>
    </w:p>
    <w:p w14:paraId="1872CEFB">
      <w:pPr>
        <w:ind w:firstLine="560"/>
        <w:rPr>
          <w:lang w:eastAsia="zh-CN"/>
        </w:rPr>
      </w:pPr>
      <w:r>
        <w:rPr>
          <w:lang w:eastAsia="zh-CN"/>
        </w:rPr>
        <w:t>本文件主要起草人：吕厚辰、张里程、唐缪田、梁定发、李明、丁建东、韩倩倩、李崇崇、陈伟、蔡晴、党育、姚琦、王娟、陈行、曹晓艳、修宗鹏、刘子文、顾进、崔翔、马驰、高建朋、江渝、林希圣、鞠雯、赵婷婕、聂飞、苏秀云、王昳琳、谈枢怀、杨昌、周田俊克、赵志雄、臧泽桐、宋卓钰、毛吉富、谢雍、姜矞恒、张刚、杨浦鑫、张蒙、刘潇、汤俊君、王虎飞、陈玥琦、刘昊、李佳、郭徽、郝明、王琨、李然、解非、覃凯华、杨贺中、王富强、高兆远、王驰、陈佳驹、李一铭、路紫铖、宋文煜、田壮、栾义超、安小龙、姚孟轩、朱燕宾、张静、尹鹏滨、张浩、李建涛、刘建恒等。</w:t>
      </w:r>
    </w:p>
    <w:p w14:paraId="1C921B88">
      <w:pPr>
        <w:pStyle w:val="5"/>
        <w:ind w:firstLine="560"/>
        <w:rPr>
          <w:b w:val="0"/>
          <w:bCs/>
          <w:lang w:eastAsia="zh-CN"/>
        </w:rPr>
      </w:pPr>
      <w:r>
        <w:rPr>
          <w:b w:val="0"/>
          <w:bCs/>
          <w:lang w:eastAsia="zh-CN"/>
        </w:rPr>
        <w:t>3. 工作过程</w:t>
      </w:r>
    </w:p>
    <w:p w14:paraId="2C36F4AB">
      <w:pPr>
        <w:ind w:firstLine="560"/>
        <w:rPr>
          <w:lang w:eastAsia="zh-CN"/>
        </w:rPr>
      </w:pPr>
      <w:r>
        <w:rPr>
          <w:lang w:eastAsia="zh-CN"/>
        </w:rPr>
        <w:t>接到标准起草任务后，依照《中国生物材料学会团体标准管理办法》，标准起草单位严格按照相关要求及进度安排组织实施，在中国生物材料学会标准工作委员会指导下成立了标准起草工作组，工作组由产、学、研、检、医各方共11家单位的专家组成，对标准关键问题进行初步探讨，同时部署标准起草工作组的任务分工和标准制定工作时间安排。</w:t>
      </w:r>
    </w:p>
    <w:p w14:paraId="535509CE">
      <w:pPr>
        <w:ind w:firstLine="560"/>
        <w:rPr>
          <w:lang w:eastAsia="zh-CN"/>
        </w:rPr>
      </w:pPr>
      <w:r>
        <w:rPr>
          <w:lang w:eastAsia="zh-CN"/>
        </w:rPr>
        <w:t>起草工作组按照“文献调研—行业调研—参数论证—方法验证—专家咨询—标准审查”的技术路线开展工作：系统收集国内外可吸收植入物与接骨板力学评价相关法规、标准与研究文献，形成标准框架；对可吸收接骨板的产品型式、材料体系与临床失效风险开展调研，并针对可吸收</w:t>
      </w:r>
      <w:r>
        <w:rPr>
          <w:rFonts w:hint="eastAsia"/>
          <w:lang w:eastAsia="zh-CN"/>
        </w:rPr>
        <w:t>桡骨板</w:t>
      </w:r>
      <w:r>
        <w:rPr>
          <w:lang w:eastAsia="zh-CN"/>
        </w:rPr>
        <w:t>、</w:t>
      </w:r>
      <w:r>
        <w:rPr>
          <w:rFonts w:hint="eastAsia"/>
          <w:lang w:eastAsia="zh-CN"/>
        </w:rPr>
        <w:t>肱骨</w:t>
      </w:r>
      <w:r>
        <w:rPr>
          <w:lang w:eastAsia="zh-CN"/>
        </w:rPr>
        <w:t>板疲劳试验开展专项调研，确定关键试验参数；生产企业负责代表性样品制备、夹具设计与试验可行性验证，高校与科研院所负责降解—疲劳耦合机制与试验参数的方法学论证，检验检测机构负责方法合规性、测量溯源性与可复现性论证，医疗机构负责临床适用性反馈。</w:t>
      </w:r>
    </w:p>
    <w:p w14:paraId="0065FAD5">
      <w:pPr>
        <w:ind w:firstLine="560"/>
        <w:rPr>
          <w:lang w:eastAsia="zh-CN"/>
        </w:rPr>
      </w:pPr>
      <w:r>
        <w:rPr>
          <w:lang w:eastAsia="zh-CN"/>
        </w:rPr>
        <w:t>2026年9月，标准起草工作组根据前期工作情况，对标准草案相关内容进行了深入讨论，从不同角度提出了具备科学性、实用性和可操作性的修改意见，形成标准最终的征求意见稿，并形成标准编制说明，提交中国生物材料学会标准工作委员会进行形式审查。</w:t>
      </w:r>
    </w:p>
    <w:p w14:paraId="63546C6F">
      <w:pPr>
        <w:pStyle w:val="4"/>
        <w:ind w:firstLine="560"/>
        <w:rPr>
          <w:lang w:eastAsia="zh-CN"/>
        </w:rPr>
      </w:pPr>
      <w:r>
        <w:rPr>
          <w:b/>
          <w:bCs w:val="0"/>
          <w:lang w:eastAsia="zh-CN"/>
        </w:rPr>
        <w:t>二、标准编制原则、主要内容及其确定依据</w:t>
      </w:r>
    </w:p>
    <w:p w14:paraId="38D0BADD">
      <w:pPr>
        <w:ind w:firstLine="560"/>
        <w:rPr>
          <w:lang w:eastAsia="zh-CN"/>
        </w:rPr>
      </w:pPr>
      <w:r>
        <w:rPr>
          <w:lang w:eastAsia="zh-CN"/>
        </w:rPr>
        <w:t>本团体标准严格按照GB/T 1.1—2020《标准化工作导则 第1部分：标准化文件的结构和起草规则》的规则起草。本文件规定了可吸收接骨板弯曲疲劳性能的试验方法，包括试样选择、试验装置、状态调节、加载条件、失效判定、结果处理和试验报告，适用于采用可吸收聚酯及其复合材料制备、供骨科手术作骨折断端连接用的接骨板。</w:t>
      </w:r>
    </w:p>
    <w:p w14:paraId="3A9D7EA9">
      <w:pPr>
        <w:ind w:firstLine="560"/>
        <w:rPr>
          <w:lang w:eastAsia="zh-CN"/>
        </w:rPr>
      </w:pPr>
      <w:r>
        <w:rPr>
          <w:lang w:eastAsia="zh-CN"/>
        </w:rPr>
        <w:t>本标准以YY/T 1503—2016《外科植入物 金属接骨板弯曲疲劳性能试验方法》的方法学框架为基础，结合YY/T 0342—2020规定的试样放置与辊轴几何、YY/T 0509—2009规定的可吸收接骨板技术要求与术语、YY/T 0474—2025与YY/T 0473—2004规定的体外降解试验条件，针对可吸收聚酯及其复合材料在体液环境中水解降解、力学性能随降解进程衰减的特点展开研究，增加湿态环境加载、浸泡介质过程控制与降解—疲劳耦合工况要求，制定相应的试验方法与参数规定。</w:t>
      </w:r>
    </w:p>
    <w:p w14:paraId="4710F315">
      <w:pPr>
        <w:ind w:firstLine="560"/>
        <w:rPr>
          <w:lang w:eastAsia="zh-CN"/>
        </w:rPr>
      </w:pPr>
      <w:r>
        <w:rPr>
          <w:lang w:eastAsia="zh-CN"/>
        </w:rPr>
        <w:t>编制过程中遵循以下原则：</w:t>
      </w:r>
      <w:r>
        <w:rPr>
          <w:rFonts w:hint="eastAsia"/>
          <w:lang w:eastAsia="zh-CN"/>
        </w:rPr>
        <w:t>①</w:t>
      </w:r>
      <w:r>
        <w:rPr>
          <w:lang w:eastAsia="zh-CN"/>
        </w:rPr>
        <w:t>合规性原则，符合《中华人民共和国标准化法》《医疗器械监督管理条例》等法律法规要求，技术要求与现行强制性标准协调一致；</w:t>
      </w:r>
      <w:r>
        <w:rPr>
          <w:rFonts w:hint="eastAsia"/>
          <w:lang w:eastAsia="zh-CN"/>
        </w:rPr>
        <w:t>②</w:t>
      </w:r>
      <w:r>
        <w:rPr>
          <w:lang w:eastAsia="zh-CN"/>
        </w:rPr>
        <w:t>科学性原则，以可吸收聚酯及其复合材料的降解—力学衰减耦合机制为依据，关键试验参数均有文献调研或验证试验支撑，避免将金属接骨板的干态疲劳经验直接套用于可吸收材料；</w:t>
      </w:r>
      <w:r>
        <w:rPr>
          <w:rFonts w:hint="eastAsia"/>
          <w:lang w:eastAsia="zh-CN"/>
        </w:rPr>
        <w:t>③</w:t>
      </w:r>
      <w:r>
        <w:rPr>
          <w:lang w:eastAsia="zh-CN"/>
        </w:rPr>
        <w:t>适用性与普适性原则，覆盖丙交酯、乙交酯、三亚甲基碳酸酯、</w:t>
      </w:r>
      <w:r>
        <w:t>ε</w:t>
      </w:r>
      <w:r>
        <w:rPr>
          <w:lang w:eastAsia="zh-CN"/>
        </w:rPr>
        <w:t>-己内酯、柠檬酸酯、羟基丁酸酯等形成的均聚物、共聚物、共混物及与羟基磷灰石、</w:t>
      </w:r>
      <w:r>
        <w:t>β</w:t>
      </w:r>
      <w:r>
        <w:rPr>
          <w:lang w:eastAsia="zh-CN"/>
        </w:rPr>
        <w:t>-磷酸三钙、硫酸钙、生物活性玻璃及纤维复合的材料体系，设置四点弯曲、三点弯曲、悬臂弯曲三种方法分别适配直型、短小型与解剖型接骨板；</w:t>
      </w:r>
      <w:r>
        <w:rPr>
          <w:rFonts w:hint="eastAsia"/>
          <w:lang w:eastAsia="zh-CN"/>
        </w:rPr>
        <w:t>④</w:t>
      </w:r>
      <w:r>
        <w:rPr>
          <w:lang w:eastAsia="zh-CN"/>
        </w:rPr>
        <w:t>可操作性与可复现性原则，对浸泡介质、温度、pH、换液、蒸发补偿、试验几何、失效判定与试验报告项目作出明确规定，保证不同实验室、不同操作人员所得结果具有可比性与可复现性；</w:t>
      </w:r>
      <w:r>
        <w:rPr>
          <w:rFonts w:hint="eastAsia"/>
          <w:lang w:eastAsia="zh-CN"/>
        </w:rPr>
        <w:t>⑤</w:t>
      </w:r>
      <w:r>
        <w:rPr>
          <w:lang w:eastAsia="zh-CN"/>
        </w:rPr>
        <w:t>风险导向原则，载荷水平、截止循环数等关键参数由产品的预期用途、预期活动载荷谱与风险分析确定并要求在试验报告中说明确定依据，明确区分接骨板本体疲劳失效与固定失效；</w:t>
      </w:r>
      <w:r>
        <w:rPr>
          <w:rFonts w:hint="eastAsia"/>
          <w:lang w:eastAsia="zh-CN"/>
        </w:rPr>
        <w:t>⑥</w:t>
      </w:r>
      <w:r>
        <w:rPr>
          <w:lang w:eastAsia="zh-CN"/>
        </w:rPr>
        <w:t>协调性原则，与YY/T 0509、YY/T 0474、YY/T 0473、YY/T 0342、YY/T 1503、JJG 139等现行标准协调衔接，避免重复与冲突。</w:t>
      </w:r>
    </w:p>
    <w:p w14:paraId="704A56BA">
      <w:pPr>
        <w:ind w:firstLine="560"/>
        <w:rPr>
          <w:lang w:eastAsia="zh-CN"/>
        </w:rPr>
      </w:pPr>
      <w:r>
        <w:rPr>
          <w:lang w:eastAsia="zh-CN"/>
        </w:rPr>
        <w:t>标准中主要内容及其确定依据如下：</w:t>
      </w:r>
    </w:p>
    <w:p w14:paraId="6EEDFF33">
      <w:pPr>
        <w:ind w:firstLine="560"/>
        <w:rPr>
          <w:lang w:eastAsia="zh-CN"/>
        </w:rPr>
      </w:pPr>
      <w:r>
        <w:rPr>
          <w:lang w:eastAsia="zh-CN"/>
        </w:rPr>
        <w:t>（1）第1章“范围”：规定本文件给出可吸收接骨板弯曲疲劳性能的试验方法，适用于采用可吸收聚酯及其复合材料制备、供骨科手术作骨折断端连接用的接骨板；明确不适用于角度固定器、脊柱固定板以及接骨螺钉、钢丝钢缆等附属组件。范围的界定依据为可吸收接骨板的产品型式和现行标准（YY/T 0509—2009）的适用对象，避免与金属接骨板及附属组件标准交叉。</w:t>
      </w:r>
    </w:p>
    <w:p w14:paraId="3B643B71">
      <w:pPr>
        <w:ind w:firstLine="560"/>
        <w:rPr>
          <w:lang w:eastAsia="zh-CN"/>
        </w:rPr>
      </w:pPr>
      <w:r>
        <w:t>（2）第2章“规范性引用文件”：列出YY/T 0474—2025、YY/T 1503—2016、YY/T 0509—2009、YY/T 0342—2020、ASTM F382—24、ASTM F3437—23、JJG 139及《可吸收骨内固定植入物注册审查指导原则》。</w:t>
      </w:r>
      <w:r>
        <w:rPr>
          <w:lang w:eastAsia="zh-CN"/>
        </w:rPr>
        <w:t>引用文件的选取原则是：仅保留正文中实际引用且对方法执行不可或缺的条款来源，保证方法的完整性与可追溯性。</w:t>
      </w:r>
    </w:p>
    <w:p w14:paraId="0F4937E5">
      <w:pPr>
        <w:ind w:firstLine="560"/>
        <w:rPr>
          <w:lang w:eastAsia="zh-CN"/>
        </w:rPr>
      </w:pPr>
      <w:r>
        <w:rPr>
          <w:lang w:eastAsia="zh-CN"/>
        </w:rPr>
        <w:t>（3）第3章“术语和定义”：给出可吸收接骨板、生物吸收、疲劳寿命、载荷范围、最大载荷、最小载荷、R比、终止次数（run-out）、失效等术语。其中载荷范围、最大载荷、最小载荷、R比用于完整描述循环载荷特征；run-out用于标识达到截止循环数而未失效的截尾数据；失效用于统一失效判定状态，避免不同实验室采用不同判据导致结果不可比。术语英文对应词与YY/T 1503—2016及国际通行表述保持一致。</w:t>
      </w:r>
    </w:p>
    <w:p w14:paraId="06F1F781">
      <w:pPr>
        <w:ind w:firstLine="560"/>
        <w:rPr>
          <w:lang w:eastAsia="zh-CN"/>
        </w:rPr>
      </w:pPr>
      <w:r>
        <w:rPr>
          <w:lang w:eastAsia="zh-CN"/>
        </w:rPr>
        <w:t>（4）第4章“试验设计”：4.1给出试验概述，明确试样在（37±1）℃磷酸盐缓冲液（PBS，pH 7.2-7.4）中状态调节、夹具安装、装置浸没加载、循环加载至失效或截止循环数、数据整理等通用流程，并按“四点弯曲优先、三点弯曲次之、悬臂弯曲兜底”的层级规定弯曲方法的选择，要求同一比较组内采用相同方法与试验几何；4.2规定试验机应符合JJG 139要求、加载辊轴为圆柱形或与被测试样截面相适应且直径为6 mm-13 mm、不大于两相邻螺钉孔间距，夹具应保证试样不脱出且不发生非规定接触；4.3规定试样应具有代表性、每组有效试样不少于6件，用于建立载荷—寿命关系时应设置多载荷水平并预先规定统计模型与run-out数据处理方法。</w:t>
      </w:r>
    </w:p>
    <w:p w14:paraId="0BB0C2E5">
      <w:pPr>
        <w:ind w:firstLine="560"/>
        <w:rPr>
          <w:lang w:eastAsia="zh-CN"/>
        </w:rPr>
      </w:pPr>
      <w:r>
        <w:rPr>
          <w:lang w:eastAsia="zh-CN"/>
        </w:rPr>
        <w:t>（5）第5章“意义和应用”：说明本方法用于表征与比较不同设计、不同材料组成接骨板的疲劳性能，可用于确定规定载荷条件下的疲劳寿命及估算规定循环次数下的疲劳强度；明确本方法采用简化加载模式，所得结果不能直接预测体内性能，仅用于相对比较；规定以PBS为标准浸泡介质，并提示介质差异对降解与疲劳行为的影响。</w:t>
      </w:r>
    </w:p>
    <w:p w14:paraId="1731730E">
      <w:pPr>
        <w:ind w:firstLine="560"/>
        <w:rPr>
          <w:lang w:eastAsia="zh-CN"/>
        </w:rPr>
      </w:pPr>
      <w:r>
        <w:rPr>
          <w:lang w:eastAsia="zh-CN"/>
        </w:rPr>
        <w:t>（6）第6章“试验方法”：依次规定预处理与状态调节、湿态加载与介质过程控制（温度、pH监测与记录、换液、蒸发补偿）、试验方式与载荷水平的确定、加载频率与载荷比、失效判定与试验终止。其中载荷水平要求在与疲劳试验相同的温度、介质状态和夹具几何条件下通过静态预试验或经验证的既有数据确定，最大载荷或最大弯矩根据预期用途、风险分析和试验目的确定；截止循环数结合预期活动载荷谱、临床使用场景和风险分析确定并在报告中说明依据，无其他规定时可采用150 000次；失效判据至少包括断裂，并可扩展裂纹、永久变形、位移限值或刚度下降阈值；因夹具、螺钉或压板松动造成的固定失效记为无效试验。</w:t>
      </w:r>
    </w:p>
    <w:p w14:paraId="5F17ABD6">
      <w:pPr>
        <w:ind w:firstLine="560"/>
        <w:rPr>
          <w:lang w:eastAsia="zh-CN"/>
        </w:rPr>
      </w:pPr>
      <w:r>
        <w:rPr>
          <w:lang w:eastAsia="zh-CN"/>
        </w:rPr>
        <w:t>（7）第7章“结果处理”：规定结果应包括最大载荷、最小载荷、载荷比、试验结束时的循环次数、破坏位置和失效模式；四点、三点弯曲应报告试验几何参数及最大弯矩，悬臂弯曲应报告力臂长度及根部弯矩；疲劳寿命数据宜报告每个试样的结果及中位数和范围；run-out试样单独标识，不应等同于截止循环数的失效值参与平均。</w:t>
      </w:r>
    </w:p>
    <w:p w14:paraId="2A282316">
      <w:pPr>
        <w:ind w:firstLine="560"/>
        <w:rPr>
          <w:lang w:eastAsia="zh-CN"/>
        </w:rPr>
      </w:pPr>
      <w:r>
        <w:rPr>
          <w:lang w:eastAsia="zh-CN"/>
        </w:rPr>
        <w:t>（8）第8章“试验报告”：规定试验报告应注明检测机构与检测日期，并列出样品信息、试验结构布局、试验条件、试验溶液及过程记录、每组试样的疲劳平均值与标准偏差及离散程度、失效模式与失效位置等项目，以保证结果的可追溯与可复现。</w:t>
      </w:r>
    </w:p>
    <w:p w14:paraId="60D6BD82">
      <w:pPr>
        <w:ind w:firstLine="560"/>
        <w:rPr>
          <w:lang w:eastAsia="zh-CN"/>
        </w:rPr>
      </w:pPr>
      <w:r>
        <w:rPr>
          <w:lang w:eastAsia="zh-CN"/>
        </w:rPr>
        <w:t>（9）附录A（规范性）“试验方法”：分别给出四点弯曲、三点弯曲、悬臂弯曲三种方法的试验仪器、加载辊轴与支撑辊轴布置规则、试样定位要求与试验步骤。四点弯曲适用于具有足够直线段的接骨板，可在两加载辊轴间形成等弯矩区；三点弯曲适用于尺寸较小、长度较短的接骨板；悬臂弯曲适用于具有髁状突、楔形、预塑形等解剖特征的接骨板。</w:t>
      </w:r>
    </w:p>
    <w:p w14:paraId="29311F1C">
      <w:pPr>
        <w:ind w:firstLine="560"/>
        <w:rPr>
          <w:lang w:eastAsia="zh-CN"/>
        </w:rPr>
      </w:pPr>
      <w:r>
        <w:rPr>
          <w:lang w:eastAsia="zh-CN"/>
        </w:rPr>
        <w:t>（10）关键参数的确定依据见表1。</w:t>
      </w:r>
    </w:p>
    <w:p w14:paraId="5C834AD0">
      <w:pPr>
        <w:spacing w:after="60"/>
        <w:ind w:firstLine="420"/>
        <w:jc w:val="center"/>
        <w:rPr>
          <w:lang w:eastAsia="zh-CN"/>
        </w:rPr>
      </w:pPr>
      <w:r>
        <w:rPr>
          <w:rFonts w:eastAsia="宋体"/>
          <w:sz w:val="21"/>
          <w:lang w:eastAsia="zh-CN"/>
        </w:rPr>
        <w:t>表1  关键试验参数及其确定依据</w:t>
      </w:r>
    </w:p>
    <w:tbl>
      <w:tblPr>
        <w:tblStyle w:val="32"/>
        <w:tblW w:w="0" w:type="auto"/>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911"/>
        <w:gridCol w:w="2911"/>
        <w:gridCol w:w="2911"/>
      </w:tblGrid>
      <w:tr w14:paraId="3302E87C">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11" w:type="dxa"/>
            <w:tcBorders>
              <w:top w:val="single" w:color="000000" w:sz="12" w:space="0"/>
              <w:left w:val="nil"/>
              <w:bottom w:val="single" w:color="000000" w:sz="6" w:space="0"/>
              <w:right w:val="nil"/>
            </w:tcBorders>
          </w:tcPr>
          <w:p w14:paraId="33D9FF01">
            <w:pPr>
              <w:ind w:firstLine="420"/>
              <w:jc w:val="center"/>
            </w:pPr>
            <w:r>
              <w:rPr>
                <w:rFonts w:eastAsia="宋体"/>
                <w:sz w:val="21"/>
              </w:rPr>
              <w:t>参数</w:t>
            </w:r>
          </w:p>
        </w:tc>
        <w:tc>
          <w:tcPr>
            <w:tcW w:w="2911" w:type="dxa"/>
            <w:tcBorders>
              <w:top w:val="single" w:color="000000" w:sz="12" w:space="0"/>
              <w:left w:val="nil"/>
              <w:bottom w:val="single" w:color="000000" w:sz="6" w:space="0"/>
              <w:right w:val="nil"/>
            </w:tcBorders>
          </w:tcPr>
          <w:p w14:paraId="4D18A35A">
            <w:pPr>
              <w:ind w:firstLine="420"/>
              <w:jc w:val="center"/>
            </w:pPr>
            <w:r>
              <w:rPr>
                <w:rFonts w:eastAsia="宋体"/>
                <w:sz w:val="21"/>
              </w:rPr>
              <w:t>本文件规定</w:t>
            </w:r>
          </w:p>
        </w:tc>
        <w:tc>
          <w:tcPr>
            <w:tcW w:w="2911" w:type="dxa"/>
            <w:tcBorders>
              <w:top w:val="single" w:color="000000" w:sz="12" w:space="0"/>
              <w:left w:val="nil"/>
              <w:bottom w:val="single" w:color="000000" w:sz="6" w:space="0"/>
              <w:right w:val="nil"/>
            </w:tcBorders>
          </w:tcPr>
          <w:p w14:paraId="453F934E">
            <w:pPr>
              <w:ind w:firstLine="420"/>
              <w:jc w:val="center"/>
            </w:pPr>
            <w:r>
              <w:rPr>
                <w:rFonts w:eastAsia="宋体"/>
                <w:sz w:val="21"/>
              </w:rPr>
              <w:t>确定依据</w:t>
            </w:r>
          </w:p>
        </w:tc>
      </w:tr>
      <w:tr w14:paraId="6802B8A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11" w:type="dxa"/>
            <w:tcBorders>
              <w:top w:val="nil"/>
              <w:left w:val="nil"/>
              <w:bottom w:val="nil"/>
              <w:right w:val="nil"/>
            </w:tcBorders>
          </w:tcPr>
          <w:p w14:paraId="119DAC06">
            <w:pPr>
              <w:ind w:firstLine="420"/>
            </w:pPr>
            <w:r>
              <w:rPr>
                <w:rFonts w:eastAsia="宋体"/>
                <w:sz w:val="21"/>
              </w:rPr>
              <w:t>试验温度</w:t>
            </w:r>
          </w:p>
        </w:tc>
        <w:tc>
          <w:tcPr>
            <w:tcW w:w="2911" w:type="dxa"/>
            <w:tcBorders>
              <w:top w:val="nil"/>
              <w:left w:val="nil"/>
              <w:bottom w:val="nil"/>
              <w:right w:val="nil"/>
            </w:tcBorders>
          </w:tcPr>
          <w:p w14:paraId="68DD26E3">
            <w:pPr>
              <w:ind w:firstLine="420"/>
            </w:pPr>
            <w:r>
              <w:rPr>
                <w:rFonts w:eastAsia="宋体"/>
                <w:sz w:val="21"/>
              </w:rPr>
              <w:t>（37±1）℃</w:t>
            </w:r>
          </w:p>
        </w:tc>
        <w:tc>
          <w:tcPr>
            <w:tcW w:w="2911" w:type="dxa"/>
            <w:tcBorders>
              <w:top w:val="nil"/>
              <w:left w:val="nil"/>
              <w:bottom w:val="nil"/>
              <w:right w:val="nil"/>
            </w:tcBorders>
          </w:tcPr>
          <w:p w14:paraId="0729C1F6">
            <w:pPr>
              <w:ind w:firstLine="420"/>
              <w:rPr>
                <w:lang w:eastAsia="zh-CN"/>
              </w:rPr>
            </w:pPr>
            <w:r>
              <w:rPr>
                <w:rFonts w:eastAsia="宋体"/>
                <w:sz w:val="21"/>
                <w:lang w:eastAsia="zh-CN"/>
              </w:rPr>
              <w:t>模拟人体核心温度；与YY/T 0474—2025体外降解试验条件一致；可吸收聚酯黏弹性对温度敏感，需严控温漂</w:t>
            </w:r>
          </w:p>
        </w:tc>
      </w:tr>
      <w:tr w14:paraId="3FEF492D">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11" w:type="dxa"/>
            <w:tcBorders>
              <w:top w:val="nil"/>
              <w:left w:val="nil"/>
              <w:bottom w:val="nil"/>
              <w:right w:val="nil"/>
            </w:tcBorders>
          </w:tcPr>
          <w:p w14:paraId="4B71F684">
            <w:pPr>
              <w:ind w:firstLine="420"/>
            </w:pPr>
            <w:r>
              <w:rPr>
                <w:rFonts w:eastAsia="宋体"/>
                <w:sz w:val="21"/>
              </w:rPr>
              <w:t>浸泡介质</w:t>
            </w:r>
          </w:p>
        </w:tc>
        <w:tc>
          <w:tcPr>
            <w:tcW w:w="2911" w:type="dxa"/>
            <w:tcBorders>
              <w:top w:val="nil"/>
              <w:left w:val="nil"/>
              <w:bottom w:val="nil"/>
              <w:right w:val="nil"/>
            </w:tcBorders>
          </w:tcPr>
          <w:p w14:paraId="6E0B13B8">
            <w:pPr>
              <w:ind w:firstLine="420"/>
            </w:pPr>
            <w:r>
              <w:rPr>
                <w:rFonts w:eastAsia="宋体"/>
                <w:sz w:val="21"/>
              </w:rPr>
              <w:t>PBS，pH 7.2-7.4</w:t>
            </w:r>
          </w:p>
        </w:tc>
        <w:tc>
          <w:tcPr>
            <w:tcW w:w="2911" w:type="dxa"/>
            <w:tcBorders>
              <w:top w:val="nil"/>
              <w:left w:val="nil"/>
              <w:bottom w:val="nil"/>
              <w:right w:val="nil"/>
            </w:tcBorders>
          </w:tcPr>
          <w:p w14:paraId="3A007E05">
            <w:pPr>
              <w:ind w:firstLine="420"/>
              <w:rPr>
                <w:lang w:eastAsia="zh-CN"/>
              </w:rPr>
            </w:pPr>
            <w:r>
              <w:rPr>
                <w:rFonts w:eastAsia="宋体"/>
                <w:sz w:val="21"/>
                <w:lang w:eastAsia="zh-CN"/>
              </w:rPr>
              <w:t>模拟体液离子环境与pH；与体外降解类标准一致；需监测pH并按规定换液、采取蒸发补偿</w:t>
            </w:r>
          </w:p>
        </w:tc>
      </w:tr>
      <w:tr w14:paraId="66C19C27">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11" w:type="dxa"/>
            <w:tcBorders>
              <w:top w:val="nil"/>
              <w:left w:val="nil"/>
              <w:bottom w:val="nil"/>
              <w:right w:val="nil"/>
            </w:tcBorders>
          </w:tcPr>
          <w:p w14:paraId="59D72880">
            <w:pPr>
              <w:ind w:firstLine="420"/>
            </w:pPr>
            <w:r>
              <w:rPr>
                <w:rFonts w:eastAsia="宋体"/>
                <w:sz w:val="21"/>
              </w:rPr>
              <w:t>状态调节时间</w:t>
            </w:r>
          </w:p>
        </w:tc>
        <w:tc>
          <w:tcPr>
            <w:tcW w:w="2911" w:type="dxa"/>
            <w:tcBorders>
              <w:top w:val="nil"/>
              <w:left w:val="nil"/>
              <w:bottom w:val="nil"/>
              <w:right w:val="nil"/>
            </w:tcBorders>
          </w:tcPr>
          <w:p w14:paraId="2E399895">
            <w:pPr>
              <w:ind w:firstLine="420"/>
            </w:pPr>
            <w:r>
              <w:rPr>
                <w:rFonts w:eastAsia="宋体"/>
                <w:sz w:val="21"/>
              </w:rPr>
              <w:t>按方案规定，宜不少于24 h</w:t>
            </w:r>
          </w:p>
        </w:tc>
        <w:tc>
          <w:tcPr>
            <w:tcW w:w="2911" w:type="dxa"/>
            <w:tcBorders>
              <w:top w:val="nil"/>
              <w:left w:val="nil"/>
              <w:bottom w:val="nil"/>
              <w:right w:val="nil"/>
            </w:tcBorders>
          </w:tcPr>
          <w:p w14:paraId="729F5D0C">
            <w:pPr>
              <w:ind w:firstLine="420"/>
              <w:rPr>
                <w:lang w:eastAsia="zh-CN"/>
              </w:rPr>
            </w:pPr>
            <w:r>
              <w:rPr>
                <w:rFonts w:eastAsia="宋体"/>
                <w:sz w:val="21"/>
                <w:lang w:eastAsia="zh-CN"/>
              </w:rPr>
              <w:t>使试样达到湿、热平衡，消除干态与湿态性能差异；兼顾试验周期与可操作性</w:t>
            </w:r>
          </w:p>
        </w:tc>
      </w:tr>
      <w:tr w14:paraId="2C22B1F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11" w:type="dxa"/>
            <w:tcBorders>
              <w:top w:val="nil"/>
              <w:left w:val="nil"/>
              <w:bottom w:val="nil"/>
              <w:right w:val="nil"/>
            </w:tcBorders>
          </w:tcPr>
          <w:p w14:paraId="2C907BAE">
            <w:pPr>
              <w:ind w:firstLine="420"/>
            </w:pPr>
            <w:r>
              <w:rPr>
                <w:rFonts w:eastAsia="宋体"/>
                <w:sz w:val="21"/>
              </w:rPr>
              <w:t>弯曲方法</w:t>
            </w:r>
          </w:p>
        </w:tc>
        <w:tc>
          <w:tcPr>
            <w:tcW w:w="2911" w:type="dxa"/>
            <w:tcBorders>
              <w:top w:val="nil"/>
              <w:left w:val="nil"/>
              <w:bottom w:val="nil"/>
              <w:right w:val="nil"/>
            </w:tcBorders>
          </w:tcPr>
          <w:p w14:paraId="3DE59130">
            <w:pPr>
              <w:ind w:firstLine="420"/>
              <w:rPr>
                <w:lang w:eastAsia="zh-CN"/>
              </w:rPr>
            </w:pPr>
            <w:r>
              <w:rPr>
                <w:rFonts w:eastAsia="宋体"/>
                <w:sz w:val="21"/>
                <w:lang w:eastAsia="zh-CN"/>
              </w:rPr>
              <w:t>四点优先，三点次之，悬臂</w:t>
            </w:r>
            <w:r>
              <w:rPr>
                <w:rFonts w:hint="eastAsia" w:eastAsia="宋体"/>
                <w:sz w:val="21"/>
                <w:lang w:eastAsia="zh-CN"/>
              </w:rPr>
              <w:t>适配</w:t>
            </w:r>
          </w:p>
        </w:tc>
        <w:tc>
          <w:tcPr>
            <w:tcW w:w="2911" w:type="dxa"/>
            <w:tcBorders>
              <w:top w:val="nil"/>
              <w:left w:val="nil"/>
              <w:bottom w:val="nil"/>
              <w:right w:val="nil"/>
            </w:tcBorders>
          </w:tcPr>
          <w:p w14:paraId="2AFFA326">
            <w:pPr>
              <w:ind w:firstLine="420"/>
              <w:rPr>
                <w:lang w:eastAsia="zh-CN"/>
              </w:rPr>
            </w:pPr>
            <w:r>
              <w:rPr>
                <w:rFonts w:eastAsia="宋体"/>
                <w:sz w:val="21"/>
                <w:lang w:eastAsia="zh-CN"/>
              </w:rPr>
              <w:t>四点形成等弯矩纯弯曲段；三点适配短小型接骨板；悬臂适配解剖型接骨板</w:t>
            </w:r>
          </w:p>
        </w:tc>
      </w:tr>
      <w:tr w14:paraId="7E09FF1E">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11" w:type="dxa"/>
            <w:tcBorders>
              <w:top w:val="nil"/>
              <w:left w:val="nil"/>
              <w:bottom w:val="nil"/>
              <w:right w:val="nil"/>
            </w:tcBorders>
          </w:tcPr>
          <w:p w14:paraId="4A110274">
            <w:pPr>
              <w:ind w:firstLine="420"/>
            </w:pPr>
            <w:r>
              <w:rPr>
                <w:rFonts w:eastAsia="宋体"/>
                <w:sz w:val="21"/>
              </w:rPr>
              <w:t>加载辊轴直径</w:t>
            </w:r>
          </w:p>
        </w:tc>
        <w:tc>
          <w:tcPr>
            <w:tcW w:w="2911" w:type="dxa"/>
            <w:tcBorders>
              <w:top w:val="nil"/>
              <w:left w:val="nil"/>
              <w:bottom w:val="nil"/>
              <w:right w:val="nil"/>
            </w:tcBorders>
          </w:tcPr>
          <w:p w14:paraId="0997F3CF">
            <w:pPr>
              <w:ind w:firstLine="420"/>
              <w:rPr>
                <w:lang w:eastAsia="zh-CN"/>
              </w:rPr>
            </w:pPr>
            <w:r>
              <w:rPr>
                <w:rFonts w:eastAsia="宋体"/>
                <w:sz w:val="21"/>
                <w:lang w:eastAsia="zh-CN"/>
              </w:rPr>
              <w:t>6 mm-13 mm，且不大于相邻螺钉孔间距</w:t>
            </w:r>
          </w:p>
        </w:tc>
        <w:tc>
          <w:tcPr>
            <w:tcW w:w="2911" w:type="dxa"/>
            <w:tcBorders>
              <w:top w:val="nil"/>
              <w:left w:val="nil"/>
              <w:bottom w:val="nil"/>
              <w:right w:val="nil"/>
            </w:tcBorders>
          </w:tcPr>
          <w:p w14:paraId="2571139C">
            <w:pPr>
              <w:ind w:firstLine="420"/>
            </w:pPr>
            <w:r>
              <w:rPr>
                <w:rFonts w:eastAsia="宋体"/>
                <w:sz w:val="21"/>
              </w:rPr>
              <w:t>沿用YY/T 0342—2020、ASTM F382几何约束，避免跨孔加载造成孔边应力集中与非典型失效</w:t>
            </w:r>
          </w:p>
        </w:tc>
      </w:tr>
      <w:tr w14:paraId="5FD9A32B">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11" w:type="dxa"/>
            <w:tcBorders>
              <w:top w:val="nil"/>
              <w:left w:val="nil"/>
              <w:bottom w:val="nil"/>
              <w:right w:val="nil"/>
            </w:tcBorders>
          </w:tcPr>
          <w:p w14:paraId="608D0B9F">
            <w:pPr>
              <w:ind w:firstLine="420"/>
            </w:pPr>
            <w:r>
              <w:rPr>
                <w:rFonts w:eastAsia="宋体"/>
                <w:sz w:val="21"/>
              </w:rPr>
              <w:t>横截面弯曲试样偏移</w:t>
            </w:r>
          </w:p>
        </w:tc>
        <w:tc>
          <w:tcPr>
            <w:tcW w:w="2911" w:type="dxa"/>
            <w:tcBorders>
              <w:top w:val="nil"/>
              <w:left w:val="nil"/>
              <w:bottom w:val="nil"/>
              <w:right w:val="nil"/>
            </w:tcBorders>
          </w:tcPr>
          <w:p w14:paraId="1E03B7FE">
            <w:pPr>
              <w:ind w:firstLine="420"/>
            </w:pPr>
            <w:r>
              <w:rPr>
                <w:rFonts w:eastAsia="宋体"/>
                <w:sz w:val="21"/>
              </w:rPr>
              <w:t>不大于板宽的1/6</w:t>
            </w:r>
          </w:p>
        </w:tc>
        <w:tc>
          <w:tcPr>
            <w:tcW w:w="2911" w:type="dxa"/>
            <w:tcBorders>
              <w:top w:val="nil"/>
              <w:left w:val="nil"/>
              <w:bottom w:val="nil"/>
              <w:right w:val="nil"/>
            </w:tcBorders>
          </w:tcPr>
          <w:p w14:paraId="0FB64DF7">
            <w:pPr>
              <w:ind w:firstLine="420"/>
              <w:rPr>
                <w:lang w:eastAsia="zh-CN"/>
              </w:rPr>
            </w:pPr>
            <w:r>
              <w:rPr>
                <w:rFonts w:eastAsia="宋体"/>
                <w:sz w:val="21"/>
                <w:lang w:eastAsia="zh-CN"/>
              </w:rPr>
              <w:t>保证加载线与中性面基本一致，减小附加扭矩对结果的影响</w:t>
            </w:r>
          </w:p>
        </w:tc>
      </w:tr>
      <w:tr w14:paraId="0EC01AC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11" w:type="dxa"/>
            <w:tcBorders>
              <w:top w:val="nil"/>
              <w:left w:val="nil"/>
              <w:bottom w:val="nil"/>
              <w:right w:val="nil"/>
            </w:tcBorders>
          </w:tcPr>
          <w:p w14:paraId="3B55896E">
            <w:pPr>
              <w:ind w:firstLine="420"/>
            </w:pPr>
            <w:r>
              <w:rPr>
                <w:rFonts w:eastAsia="宋体"/>
                <w:sz w:val="21"/>
              </w:rPr>
              <w:t>载荷比R</w:t>
            </w:r>
          </w:p>
        </w:tc>
        <w:tc>
          <w:tcPr>
            <w:tcW w:w="2911" w:type="dxa"/>
            <w:tcBorders>
              <w:top w:val="nil"/>
              <w:left w:val="nil"/>
              <w:bottom w:val="nil"/>
              <w:right w:val="nil"/>
            </w:tcBorders>
          </w:tcPr>
          <w:p w14:paraId="5B860E83">
            <w:pPr>
              <w:ind w:firstLine="420"/>
            </w:pPr>
            <w:r>
              <w:rPr>
                <w:rFonts w:eastAsia="宋体"/>
                <w:sz w:val="21"/>
              </w:rPr>
              <w:t>建议0.1</w:t>
            </w:r>
          </w:p>
        </w:tc>
        <w:tc>
          <w:tcPr>
            <w:tcW w:w="2911" w:type="dxa"/>
            <w:tcBorders>
              <w:top w:val="nil"/>
              <w:left w:val="nil"/>
              <w:bottom w:val="nil"/>
              <w:right w:val="nil"/>
            </w:tcBorders>
          </w:tcPr>
          <w:p w14:paraId="40E7915B">
            <w:pPr>
              <w:ind w:firstLine="420"/>
              <w:rPr>
                <w:lang w:eastAsia="zh-CN"/>
              </w:rPr>
            </w:pPr>
            <w:r>
              <w:rPr>
                <w:rFonts w:eastAsia="宋体"/>
                <w:sz w:val="21"/>
                <w:lang w:eastAsia="zh-CN"/>
              </w:rPr>
              <w:t>与YY/T 1503—2016、ASTM F382惯例一致；保持循环载荷同向，避免压头脱离与冲击载荷</w:t>
            </w:r>
          </w:p>
        </w:tc>
      </w:tr>
      <w:tr w14:paraId="00EAFCCF">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11" w:type="dxa"/>
            <w:tcBorders>
              <w:top w:val="nil"/>
              <w:left w:val="nil"/>
              <w:bottom w:val="nil"/>
              <w:right w:val="nil"/>
            </w:tcBorders>
          </w:tcPr>
          <w:p w14:paraId="7ACF8859">
            <w:pPr>
              <w:ind w:firstLine="420"/>
            </w:pPr>
            <w:r>
              <w:rPr>
                <w:rFonts w:eastAsia="宋体"/>
                <w:sz w:val="21"/>
              </w:rPr>
              <w:t>加载频率</w:t>
            </w:r>
          </w:p>
        </w:tc>
        <w:tc>
          <w:tcPr>
            <w:tcW w:w="2911" w:type="dxa"/>
            <w:tcBorders>
              <w:top w:val="nil"/>
              <w:left w:val="nil"/>
              <w:bottom w:val="nil"/>
              <w:right w:val="nil"/>
            </w:tcBorders>
          </w:tcPr>
          <w:p w14:paraId="06AEB28D">
            <w:pPr>
              <w:ind w:firstLine="420"/>
              <w:rPr>
                <w:lang w:eastAsia="zh-CN"/>
              </w:rPr>
            </w:pPr>
            <w:r>
              <w:rPr>
                <w:rFonts w:eastAsia="宋体"/>
                <w:sz w:val="21"/>
                <w:lang w:eastAsia="zh-CN"/>
              </w:rPr>
              <w:t>1 Hz-5 Hz；更高频率需经验证</w:t>
            </w:r>
          </w:p>
        </w:tc>
        <w:tc>
          <w:tcPr>
            <w:tcW w:w="2911" w:type="dxa"/>
            <w:tcBorders>
              <w:top w:val="nil"/>
              <w:left w:val="nil"/>
              <w:bottom w:val="nil"/>
              <w:right w:val="nil"/>
            </w:tcBorders>
          </w:tcPr>
          <w:p w14:paraId="77047435">
            <w:pPr>
              <w:ind w:firstLine="420"/>
              <w:rPr>
                <w:lang w:eastAsia="zh-CN"/>
              </w:rPr>
            </w:pPr>
            <w:r>
              <w:rPr>
                <w:rFonts w:eastAsia="宋体"/>
                <w:sz w:val="21"/>
                <w:lang w:eastAsia="zh-CN"/>
              </w:rPr>
              <w:t>文献多采用5 Hz正弦波；可吸收聚酯黏弹性滞回生热，频率过高可致温升、动态软化或失效模式改变</w:t>
            </w:r>
          </w:p>
        </w:tc>
      </w:tr>
      <w:tr w14:paraId="5A9E8A6F">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11" w:type="dxa"/>
            <w:tcBorders>
              <w:top w:val="nil"/>
              <w:left w:val="nil"/>
              <w:bottom w:val="nil"/>
              <w:right w:val="nil"/>
            </w:tcBorders>
          </w:tcPr>
          <w:p w14:paraId="51F145DF">
            <w:pPr>
              <w:ind w:firstLine="420"/>
            </w:pPr>
            <w:r>
              <w:rPr>
                <w:rFonts w:eastAsia="宋体"/>
                <w:sz w:val="21"/>
              </w:rPr>
              <w:t>截止循环数</w:t>
            </w:r>
          </w:p>
        </w:tc>
        <w:tc>
          <w:tcPr>
            <w:tcW w:w="2911" w:type="dxa"/>
            <w:tcBorders>
              <w:top w:val="nil"/>
              <w:left w:val="nil"/>
              <w:bottom w:val="nil"/>
              <w:right w:val="nil"/>
            </w:tcBorders>
          </w:tcPr>
          <w:p w14:paraId="30127074">
            <w:pPr>
              <w:ind w:firstLine="420"/>
              <w:rPr>
                <w:lang w:eastAsia="zh-CN"/>
              </w:rPr>
            </w:pPr>
            <w:r>
              <w:rPr>
                <w:rFonts w:eastAsia="宋体"/>
                <w:sz w:val="21"/>
                <w:lang w:eastAsia="zh-CN"/>
              </w:rPr>
              <w:t>推荐150 000次，需经载荷谱与风险分析论证</w:t>
            </w:r>
          </w:p>
        </w:tc>
        <w:tc>
          <w:tcPr>
            <w:tcW w:w="2911" w:type="dxa"/>
            <w:tcBorders>
              <w:top w:val="nil"/>
              <w:left w:val="nil"/>
              <w:bottom w:val="nil"/>
              <w:right w:val="nil"/>
            </w:tcBorders>
          </w:tcPr>
          <w:p w14:paraId="4E70DB6C">
            <w:pPr>
              <w:ind w:firstLine="420"/>
              <w:rPr>
                <w:lang w:eastAsia="zh-CN"/>
              </w:rPr>
            </w:pPr>
            <w:r>
              <w:rPr>
                <w:rFonts w:eastAsia="宋体"/>
                <w:sz w:val="21"/>
                <w:lang w:eastAsia="zh-CN"/>
              </w:rPr>
              <w:t>ASTM F382—24给出骨折固定前2-3个月累计循环约150 000-250 000次，相当于8-12周临床愈合期</w:t>
            </w:r>
          </w:p>
        </w:tc>
      </w:tr>
      <w:tr w14:paraId="0884FE0F">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11" w:type="dxa"/>
            <w:tcBorders>
              <w:top w:val="nil"/>
              <w:left w:val="nil"/>
              <w:bottom w:val="nil"/>
              <w:right w:val="nil"/>
            </w:tcBorders>
          </w:tcPr>
          <w:p w14:paraId="0F31BA1D">
            <w:pPr>
              <w:ind w:firstLine="420"/>
            </w:pPr>
            <w:r>
              <w:rPr>
                <w:rFonts w:eastAsia="宋体"/>
                <w:sz w:val="21"/>
              </w:rPr>
              <w:t>有效试样数量</w:t>
            </w:r>
          </w:p>
        </w:tc>
        <w:tc>
          <w:tcPr>
            <w:tcW w:w="2911" w:type="dxa"/>
            <w:tcBorders>
              <w:top w:val="nil"/>
              <w:left w:val="nil"/>
              <w:bottom w:val="nil"/>
              <w:right w:val="nil"/>
            </w:tcBorders>
          </w:tcPr>
          <w:p w14:paraId="01BDB2B2">
            <w:pPr>
              <w:ind w:firstLine="420"/>
            </w:pPr>
            <w:r>
              <w:rPr>
                <w:rFonts w:eastAsia="宋体"/>
                <w:sz w:val="21"/>
              </w:rPr>
              <w:t>每组不少于6件</w:t>
            </w:r>
          </w:p>
        </w:tc>
        <w:tc>
          <w:tcPr>
            <w:tcW w:w="2911" w:type="dxa"/>
            <w:tcBorders>
              <w:top w:val="nil"/>
              <w:left w:val="nil"/>
              <w:bottom w:val="nil"/>
              <w:right w:val="nil"/>
            </w:tcBorders>
          </w:tcPr>
          <w:p w14:paraId="657D0711">
            <w:pPr>
              <w:ind w:firstLine="420"/>
            </w:pPr>
            <w:r>
              <w:rPr>
                <w:rFonts w:eastAsia="宋体"/>
                <w:sz w:val="21"/>
              </w:rPr>
              <w:t>与YY/T 1503—2016一致；可吸收材料离散性大，6件可给出中位数与范围</w:t>
            </w:r>
          </w:p>
        </w:tc>
      </w:tr>
      <w:tr w14:paraId="0A31FF2A">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11" w:type="dxa"/>
            <w:tcBorders>
              <w:top w:val="nil"/>
              <w:left w:val="nil"/>
              <w:bottom w:val="nil"/>
              <w:right w:val="nil"/>
            </w:tcBorders>
          </w:tcPr>
          <w:p w14:paraId="7113389F">
            <w:pPr>
              <w:ind w:firstLine="420"/>
            </w:pPr>
            <w:r>
              <w:rPr>
                <w:rFonts w:eastAsia="宋体"/>
                <w:sz w:val="21"/>
              </w:rPr>
              <w:t>失效判据</w:t>
            </w:r>
          </w:p>
        </w:tc>
        <w:tc>
          <w:tcPr>
            <w:tcW w:w="2911" w:type="dxa"/>
            <w:tcBorders>
              <w:top w:val="nil"/>
              <w:left w:val="nil"/>
              <w:bottom w:val="nil"/>
              <w:right w:val="nil"/>
            </w:tcBorders>
          </w:tcPr>
          <w:p w14:paraId="09702E4A">
            <w:pPr>
              <w:ind w:firstLine="420"/>
              <w:rPr>
                <w:lang w:eastAsia="zh-CN"/>
              </w:rPr>
            </w:pPr>
            <w:r>
              <w:rPr>
                <w:rFonts w:eastAsia="宋体"/>
                <w:sz w:val="21"/>
                <w:lang w:eastAsia="zh-CN"/>
              </w:rPr>
              <w:t>至少包括断裂，可扩展裂纹、变形、位移或刚度阈值</w:t>
            </w:r>
          </w:p>
        </w:tc>
        <w:tc>
          <w:tcPr>
            <w:tcW w:w="2911" w:type="dxa"/>
            <w:tcBorders>
              <w:top w:val="nil"/>
              <w:left w:val="nil"/>
              <w:bottom w:val="nil"/>
              <w:right w:val="nil"/>
            </w:tcBorders>
          </w:tcPr>
          <w:p w14:paraId="2FAC908B">
            <w:pPr>
              <w:ind w:firstLine="420"/>
              <w:rPr>
                <w:lang w:eastAsia="zh-CN"/>
              </w:rPr>
            </w:pPr>
            <w:r>
              <w:rPr>
                <w:rFonts w:eastAsia="宋体"/>
                <w:sz w:val="21"/>
                <w:lang w:eastAsia="zh-CN"/>
              </w:rPr>
              <w:t>兼顾脆性断裂与渐进损伤两类失效形态；区分本体失效与固定失效</w:t>
            </w:r>
          </w:p>
        </w:tc>
      </w:tr>
      <w:tr w14:paraId="5F22CE0B">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11" w:type="dxa"/>
            <w:tcBorders>
              <w:top w:val="nil"/>
              <w:left w:val="nil"/>
              <w:bottom w:val="nil"/>
              <w:right w:val="nil"/>
            </w:tcBorders>
          </w:tcPr>
          <w:p w14:paraId="3B16997E">
            <w:pPr>
              <w:ind w:firstLine="420"/>
            </w:pPr>
            <w:r>
              <w:rPr>
                <w:rFonts w:eastAsia="宋体"/>
                <w:sz w:val="21"/>
              </w:rPr>
              <w:t>run-out数据</w:t>
            </w:r>
          </w:p>
        </w:tc>
        <w:tc>
          <w:tcPr>
            <w:tcW w:w="2911" w:type="dxa"/>
            <w:tcBorders>
              <w:top w:val="nil"/>
              <w:left w:val="nil"/>
              <w:bottom w:val="nil"/>
              <w:right w:val="nil"/>
            </w:tcBorders>
          </w:tcPr>
          <w:p w14:paraId="6D0B4931">
            <w:pPr>
              <w:ind w:firstLine="420"/>
              <w:rPr>
                <w:lang w:eastAsia="zh-CN"/>
              </w:rPr>
            </w:pPr>
            <w:r>
              <w:rPr>
                <w:rFonts w:eastAsia="宋体"/>
                <w:sz w:val="21"/>
                <w:lang w:eastAsia="zh-CN"/>
              </w:rPr>
              <w:t>单独标识，不参与平均</w:t>
            </w:r>
          </w:p>
        </w:tc>
        <w:tc>
          <w:tcPr>
            <w:tcW w:w="2911" w:type="dxa"/>
            <w:tcBorders>
              <w:top w:val="nil"/>
              <w:left w:val="nil"/>
              <w:bottom w:val="nil"/>
              <w:right w:val="nil"/>
            </w:tcBorders>
          </w:tcPr>
          <w:p w14:paraId="6503D582">
            <w:pPr>
              <w:ind w:firstLine="420"/>
              <w:rPr>
                <w:lang w:eastAsia="zh-CN"/>
              </w:rPr>
            </w:pPr>
            <w:r>
              <w:rPr>
                <w:rFonts w:eastAsia="宋体"/>
                <w:sz w:val="21"/>
                <w:lang w:eastAsia="zh-CN"/>
              </w:rPr>
              <w:t>按截尾数据处理，避免高估或低估疲劳寿命</w:t>
            </w:r>
          </w:p>
        </w:tc>
      </w:tr>
    </w:tbl>
    <w:p w14:paraId="55475276">
      <w:pPr>
        <w:pStyle w:val="4"/>
        <w:ind w:firstLine="560"/>
        <w:rPr>
          <w:b/>
          <w:bCs w:val="0"/>
          <w:lang w:eastAsia="zh-CN"/>
        </w:rPr>
      </w:pPr>
      <w:r>
        <w:rPr>
          <w:b/>
          <w:bCs w:val="0"/>
          <w:lang w:eastAsia="zh-CN"/>
        </w:rPr>
        <w:t>三、主要试验（验证）的分析、综述报告，技术经济论证，预期的经济效果</w:t>
      </w:r>
    </w:p>
    <w:p w14:paraId="2C336A3C">
      <w:pPr>
        <w:pStyle w:val="5"/>
        <w:ind w:firstLine="560"/>
        <w:rPr>
          <w:lang w:eastAsia="zh-CN"/>
        </w:rPr>
      </w:pPr>
      <w:r>
        <w:rPr>
          <w:lang w:eastAsia="zh-CN"/>
        </w:rPr>
        <w:t>1. 试验验证分析</w:t>
      </w:r>
    </w:p>
    <w:p w14:paraId="4B7F52D1">
      <w:pPr>
        <w:ind w:firstLine="560"/>
        <w:rPr>
          <w:lang w:eastAsia="zh-CN"/>
        </w:rPr>
      </w:pPr>
      <w:r>
        <w:rPr>
          <w:lang w:eastAsia="zh-CN"/>
        </w:rPr>
        <w:t>由于目前尚无专门针对可吸收接骨板弯曲疲劳性能的试验方法标准，本文件起草后，起草工作组对标准中涉及的试验方法与关键参数进行了实际研究和论证：针对可吸收桡骨板、肱骨板疲劳试验开展专项调研，形成调研报告；并按本文件规定的方法，采用三点弯曲对可吸收桡骨板、肱骨板两类代表性样品开展方法学验证，试样在（37±1）℃ PBS中状态调节后浸没加载，部分检验数据如下：</w:t>
      </w:r>
    </w:p>
    <w:p w14:paraId="6E98FFA7">
      <w:pPr>
        <w:spacing w:after="60"/>
        <w:ind w:firstLine="420"/>
        <w:jc w:val="center"/>
      </w:pPr>
      <w:r>
        <w:rPr>
          <w:rFonts w:eastAsia="宋体"/>
          <w:sz w:val="21"/>
        </w:rPr>
        <w:t>表2  方法学验证结果汇总</w:t>
      </w:r>
    </w:p>
    <w:tbl>
      <w:tblPr>
        <w:tblStyle w:val="32"/>
        <w:tblW w:w="0" w:type="auto"/>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83"/>
        <w:gridCol w:w="2183"/>
        <w:gridCol w:w="2183"/>
        <w:gridCol w:w="2183"/>
      </w:tblGrid>
      <w:tr w14:paraId="2E44F58E">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183" w:type="dxa"/>
            <w:tcBorders>
              <w:top w:val="single" w:color="000000" w:sz="12" w:space="0"/>
              <w:left w:val="nil"/>
              <w:bottom w:val="single" w:color="000000" w:sz="6" w:space="0"/>
              <w:right w:val="nil"/>
            </w:tcBorders>
          </w:tcPr>
          <w:p w14:paraId="7E94A0CD">
            <w:pPr>
              <w:ind w:firstLine="420"/>
              <w:jc w:val="center"/>
            </w:pPr>
            <w:r>
              <w:rPr>
                <w:rFonts w:eastAsia="宋体"/>
                <w:sz w:val="21"/>
              </w:rPr>
              <w:t>检验项目</w:t>
            </w:r>
          </w:p>
        </w:tc>
        <w:tc>
          <w:tcPr>
            <w:tcW w:w="2183" w:type="dxa"/>
            <w:tcBorders>
              <w:top w:val="single" w:color="000000" w:sz="12" w:space="0"/>
              <w:left w:val="nil"/>
              <w:bottom w:val="single" w:color="000000" w:sz="6" w:space="0"/>
              <w:right w:val="nil"/>
            </w:tcBorders>
          </w:tcPr>
          <w:p w14:paraId="26E9D17C">
            <w:pPr>
              <w:ind w:firstLine="420"/>
              <w:jc w:val="center"/>
            </w:pPr>
            <w:r>
              <w:rPr>
                <w:rFonts w:eastAsia="宋体"/>
                <w:sz w:val="21"/>
              </w:rPr>
              <w:t>本文件要求</w:t>
            </w:r>
          </w:p>
        </w:tc>
        <w:tc>
          <w:tcPr>
            <w:tcW w:w="2183" w:type="dxa"/>
            <w:tcBorders>
              <w:top w:val="single" w:color="000000" w:sz="12" w:space="0"/>
              <w:left w:val="nil"/>
              <w:bottom w:val="single" w:color="000000" w:sz="6" w:space="0"/>
              <w:right w:val="nil"/>
            </w:tcBorders>
          </w:tcPr>
          <w:p w14:paraId="73164302">
            <w:pPr>
              <w:ind w:firstLine="420"/>
              <w:jc w:val="center"/>
            </w:pPr>
            <w:r>
              <w:rPr>
                <w:rFonts w:eastAsia="宋体"/>
                <w:sz w:val="21"/>
              </w:rPr>
              <w:t>实测结果</w:t>
            </w:r>
          </w:p>
        </w:tc>
        <w:tc>
          <w:tcPr>
            <w:tcW w:w="2183" w:type="dxa"/>
            <w:tcBorders>
              <w:top w:val="single" w:color="000000" w:sz="12" w:space="0"/>
              <w:left w:val="nil"/>
              <w:bottom w:val="single" w:color="000000" w:sz="6" w:space="0"/>
              <w:right w:val="nil"/>
            </w:tcBorders>
          </w:tcPr>
          <w:p w14:paraId="38159013">
            <w:pPr>
              <w:ind w:firstLine="420"/>
              <w:jc w:val="center"/>
            </w:pPr>
            <w:r>
              <w:rPr>
                <w:rFonts w:eastAsia="宋体"/>
                <w:sz w:val="21"/>
              </w:rPr>
              <w:t>结论</w:t>
            </w:r>
          </w:p>
        </w:tc>
      </w:tr>
      <w:tr w14:paraId="3619075F">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183" w:type="dxa"/>
            <w:tcBorders>
              <w:top w:val="nil"/>
              <w:left w:val="nil"/>
              <w:bottom w:val="nil"/>
              <w:right w:val="nil"/>
            </w:tcBorders>
          </w:tcPr>
          <w:p w14:paraId="268D1B75">
            <w:pPr>
              <w:ind w:firstLine="420"/>
              <w:rPr>
                <w:lang w:eastAsia="zh-CN"/>
              </w:rPr>
            </w:pPr>
            <w:r>
              <w:rPr>
                <w:rFonts w:eastAsia="宋体"/>
                <w:sz w:val="21"/>
                <w:lang w:eastAsia="zh-CN"/>
              </w:rPr>
              <w:t>夹具可行性与试样不脱出</w:t>
            </w:r>
          </w:p>
        </w:tc>
        <w:tc>
          <w:tcPr>
            <w:tcW w:w="2183" w:type="dxa"/>
            <w:tcBorders>
              <w:top w:val="nil"/>
              <w:left w:val="nil"/>
              <w:bottom w:val="nil"/>
              <w:right w:val="nil"/>
            </w:tcBorders>
          </w:tcPr>
          <w:p w14:paraId="0E632D4D">
            <w:pPr>
              <w:ind w:firstLine="420"/>
              <w:rPr>
                <w:lang w:eastAsia="zh-CN"/>
              </w:rPr>
            </w:pPr>
            <w:r>
              <w:rPr>
                <w:rFonts w:eastAsia="宋体"/>
                <w:sz w:val="21"/>
                <w:lang w:eastAsia="zh-CN"/>
              </w:rPr>
              <w:t>按附录A布置，连续加载至失效或截止循环数，试样不脱出、无非规定接触</w:t>
            </w:r>
          </w:p>
        </w:tc>
        <w:tc>
          <w:tcPr>
            <w:tcW w:w="2183" w:type="dxa"/>
            <w:tcBorders>
              <w:top w:val="nil"/>
              <w:left w:val="nil"/>
              <w:bottom w:val="nil"/>
              <w:right w:val="nil"/>
            </w:tcBorders>
          </w:tcPr>
          <w:p w14:paraId="0DCD95A1">
            <w:pPr>
              <w:ind w:firstLine="420"/>
              <w:rPr>
                <w:lang w:eastAsia="zh-CN"/>
              </w:rPr>
            </w:pPr>
            <w:r>
              <w:rPr>
                <w:rFonts w:hint="eastAsia" w:eastAsia="宋体"/>
                <w:sz w:val="21"/>
                <w:lang w:eastAsia="zh-CN"/>
              </w:rPr>
              <w:t>按附录A布置三点弯曲，可吸收桡骨板、肱骨板试样连续加载至150 000次截止循环数，全程未发生试样脱出、夹具松动及非规定接触。</w:t>
            </w:r>
          </w:p>
        </w:tc>
        <w:tc>
          <w:tcPr>
            <w:tcW w:w="2183" w:type="dxa"/>
            <w:tcBorders>
              <w:top w:val="nil"/>
              <w:left w:val="nil"/>
              <w:bottom w:val="nil"/>
              <w:right w:val="nil"/>
            </w:tcBorders>
          </w:tcPr>
          <w:p w14:paraId="22F1ECE0">
            <w:pPr>
              <w:ind w:firstLine="420"/>
            </w:pPr>
            <w:r>
              <w:rPr>
                <w:rFonts w:hint="eastAsia" w:eastAsia="宋体"/>
                <w:sz w:val="21"/>
                <w:lang w:eastAsia="zh-CN"/>
              </w:rPr>
              <w:t>合格</w:t>
            </w:r>
          </w:p>
        </w:tc>
      </w:tr>
      <w:tr w14:paraId="18BD6DA3">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183" w:type="dxa"/>
            <w:tcBorders>
              <w:top w:val="nil"/>
              <w:left w:val="nil"/>
              <w:bottom w:val="nil"/>
              <w:right w:val="nil"/>
            </w:tcBorders>
          </w:tcPr>
          <w:p w14:paraId="25518997">
            <w:pPr>
              <w:ind w:firstLine="420"/>
              <w:rPr>
                <w:lang w:eastAsia="zh-CN"/>
              </w:rPr>
            </w:pPr>
            <w:bookmarkStart w:id="0" w:name="_GoBack"/>
            <w:r>
              <w:rPr>
                <w:rFonts w:eastAsia="宋体"/>
                <w:sz w:val="21"/>
                <w:lang w:eastAsia="zh-CN"/>
              </w:rPr>
              <w:t>湿态环境</w:t>
            </w:r>
            <w:bookmarkEnd w:id="0"/>
            <w:r>
              <w:rPr>
                <w:rFonts w:eastAsia="宋体"/>
                <w:sz w:val="21"/>
                <w:lang w:eastAsia="zh-CN"/>
              </w:rPr>
              <w:t>保持能力</w:t>
            </w:r>
          </w:p>
        </w:tc>
        <w:tc>
          <w:tcPr>
            <w:tcW w:w="2183" w:type="dxa"/>
            <w:tcBorders>
              <w:top w:val="nil"/>
              <w:left w:val="nil"/>
              <w:bottom w:val="nil"/>
              <w:right w:val="nil"/>
            </w:tcBorders>
          </w:tcPr>
          <w:p w14:paraId="44182372">
            <w:pPr>
              <w:ind w:firstLine="420"/>
              <w:rPr>
                <w:lang w:eastAsia="zh-CN"/>
              </w:rPr>
            </w:pPr>
            <w:r>
              <w:rPr>
                <w:rFonts w:eastAsia="宋体"/>
                <w:sz w:val="21"/>
                <w:lang w:eastAsia="zh-CN"/>
              </w:rPr>
              <w:t>连续试验期间介质温度（37±1）℃、pH 7.2-7.4，试样保持浸没，按规定换液并采取蒸发补偿</w:t>
            </w:r>
          </w:p>
        </w:tc>
        <w:tc>
          <w:tcPr>
            <w:tcW w:w="2183" w:type="dxa"/>
            <w:tcBorders>
              <w:top w:val="nil"/>
              <w:left w:val="nil"/>
              <w:bottom w:val="nil"/>
              <w:right w:val="nil"/>
            </w:tcBorders>
          </w:tcPr>
          <w:p w14:paraId="6D14B217">
            <w:pPr>
              <w:ind w:firstLine="420"/>
              <w:rPr>
                <w:lang w:eastAsia="zh-CN"/>
              </w:rPr>
            </w:pPr>
            <w:r>
              <w:rPr>
                <w:rFonts w:eastAsia="宋体"/>
                <w:sz w:val="21"/>
                <w:szCs w:val="21"/>
                <w:lang w:eastAsia="zh-CN"/>
              </w:rPr>
              <w:t>连续加载期间浸泡槽内介质温度维持（37±1）℃、pH维持7.2-7.4，试样全程浸没，按方案定期换液并补充蒸发损失介质，介质条件稳定。</w:t>
            </w:r>
          </w:p>
        </w:tc>
        <w:tc>
          <w:tcPr>
            <w:tcW w:w="2183" w:type="dxa"/>
            <w:tcBorders>
              <w:top w:val="nil"/>
              <w:left w:val="nil"/>
              <w:bottom w:val="nil"/>
              <w:right w:val="nil"/>
            </w:tcBorders>
          </w:tcPr>
          <w:p w14:paraId="4E0108DA">
            <w:pPr>
              <w:ind w:firstLine="420"/>
            </w:pPr>
            <w:r>
              <w:rPr>
                <w:rFonts w:hint="eastAsia" w:eastAsia="宋体"/>
                <w:sz w:val="21"/>
                <w:lang w:eastAsia="zh-CN"/>
              </w:rPr>
              <w:t>合格</w:t>
            </w:r>
          </w:p>
        </w:tc>
      </w:tr>
      <w:tr w14:paraId="0363579A">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183" w:type="dxa"/>
            <w:tcBorders>
              <w:top w:val="nil"/>
              <w:left w:val="nil"/>
              <w:bottom w:val="nil"/>
              <w:right w:val="nil"/>
            </w:tcBorders>
          </w:tcPr>
          <w:p w14:paraId="424A4AB7">
            <w:pPr>
              <w:ind w:firstLine="420"/>
            </w:pPr>
            <w:r>
              <w:rPr>
                <w:rFonts w:eastAsia="宋体"/>
                <w:sz w:val="21"/>
              </w:rPr>
              <w:t>载荷与频率控制精度</w:t>
            </w:r>
          </w:p>
        </w:tc>
        <w:tc>
          <w:tcPr>
            <w:tcW w:w="2183" w:type="dxa"/>
            <w:tcBorders>
              <w:top w:val="nil"/>
              <w:left w:val="nil"/>
              <w:bottom w:val="nil"/>
              <w:right w:val="nil"/>
            </w:tcBorders>
          </w:tcPr>
          <w:p w14:paraId="37211D61">
            <w:pPr>
              <w:ind w:firstLine="420"/>
              <w:rPr>
                <w:lang w:eastAsia="zh-CN"/>
              </w:rPr>
            </w:pPr>
            <w:r>
              <w:rPr>
                <w:rFonts w:eastAsia="宋体"/>
                <w:sz w:val="21"/>
                <w:lang w:eastAsia="zh-CN"/>
              </w:rPr>
              <w:t>试验机按JJG 139检定，动态力与频率示值误差符合规定</w:t>
            </w:r>
          </w:p>
        </w:tc>
        <w:tc>
          <w:tcPr>
            <w:tcW w:w="2183" w:type="dxa"/>
            <w:tcBorders>
              <w:top w:val="nil"/>
              <w:left w:val="nil"/>
              <w:bottom w:val="nil"/>
              <w:right w:val="nil"/>
            </w:tcBorders>
          </w:tcPr>
          <w:p w14:paraId="0C70F659">
            <w:pPr>
              <w:ind w:firstLine="420"/>
              <w:rPr>
                <w:lang w:eastAsia="zh-CN"/>
              </w:rPr>
            </w:pPr>
            <w:r>
              <w:rPr>
                <w:rFonts w:eastAsia="宋体"/>
                <w:sz w:val="21"/>
                <w:lang w:eastAsia="zh-CN"/>
              </w:rPr>
              <w:t>试验机经JJG 139检定合格，在100 N-2200 N、1 Hz-5 Hz范围内动态力与频率示值可控且稳定，采用正弦波加载，载荷比R=0.1。</w:t>
            </w:r>
          </w:p>
        </w:tc>
        <w:tc>
          <w:tcPr>
            <w:tcW w:w="2183" w:type="dxa"/>
            <w:tcBorders>
              <w:top w:val="nil"/>
              <w:left w:val="nil"/>
              <w:bottom w:val="nil"/>
              <w:right w:val="nil"/>
            </w:tcBorders>
          </w:tcPr>
          <w:p w14:paraId="64A75B38">
            <w:pPr>
              <w:ind w:firstLine="420"/>
            </w:pPr>
            <w:r>
              <w:rPr>
                <w:rFonts w:hint="eastAsia" w:eastAsia="宋体"/>
                <w:sz w:val="21"/>
                <w:lang w:eastAsia="zh-CN"/>
              </w:rPr>
              <w:t>合格</w:t>
            </w:r>
          </w:p>
        </w:tc>
      </w:tr>
      <w:tr w14:paraId="2171418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183" w:type="dxa"/>
            <w:tcBorders>
              <w:top w:val="nil"/>
              <w:left w:val="nil"/>
              <w:bottom w:val="nil"/>
              <w:right w:val="nil"/>
            </w:tcBorders>
          </w:tcPr>
          <w:p w14:paraId="152463C6">
            <w:pPr>
              <w:ind w:firstLine="420"/>
            </w:pPr>
            <w:r>
              <w:rPr>
                <w:rFonts w:eastAsia="宋体"/>
                <w:sz w:val="21"/>
              </w:rPr>
              <w:t>失效模式可重复性</w:t>
            </w:r>
          </w:p>
        </w:tc>
        <w:tc>
          <w:tcPr>
            <w:tcW w:w="2183" w:type="dxa"/>
            <w:tcBorders>
              <w:top w:val="nil"/>
              <w:left w:val="nil"/>
              <w:bottom w:val="nil"/>
              <w:right w:val="nil"/>
            </w:tcBorders>
          </w:tcPr>
          <w:p w14:paraId="30145894">
            <w:pPr>
              <w:ind w:firstLine="420"/>
              <w:rPr>
                <w:lang w:eastAsia="zh-CN"/>
              </w:rPr>
            </w:pPr>
            <w:r>
              <w:rPr>
                <w:rFonts w:eastAsia="宋体"/>
                <w:sz w:val="21"/>
                <w:lang w:eastAsia="zh-CN"/>
              </w:rPr>
              <w:t>同组不少于6件试样，失效位置与失效模式一致</w:t>
            </w:r>
          </w:p>
        </w:tc>
        <w:tc>
          <w:tcPr>
            <w:tcW w:w="2183" w:type="dxa"/>
            <w:tcBorders>
              <w:top w:val="nil"/>
              <w:left w:val="nil"/>
              <w:bottom w:val="nil"/>
              <w:right w:val="nil"/>
            </w:tcBorders>
          </w:tcPr>
          <w:p w14:paraId="179701B5">
            <w:pPr>
              <w:ind w:firstLine="420"/>
              <w:rPr>
                <w:lang w:eastAsia="zh-CN"/>
              </w:rPr>
            </w:pPr>
            <w:r>
              <w:rPr>
                <w:rFonts w:eastAsia="宋体"/>
                <w:sz w:val="21"/>
                <w:lang w:eastAsia="zh-CN"/>
              </w:rPr>
              <w:t>同组试样失效模式一致，均为接骨板本体疲劳断裂，断裂位置位于两支撑辊轴间弯矩最大截面处；未出现夹具或螺钉松动导致的固定失效。</w:t>
            </w:r>
          </w:p>
        </w:tc>
        <w:tc>
          <w:tcPr>
            <w:tcW w:w="2183" w:type="dxa"/>
            <w:tcBorders>
              <w:top w:val="nil"/>
              <w:left w:val="nil"/>
              <w:bottom w:val="nil"/>
              <w:right w:val="nil"/>
            </w:tcBorders>
          </w:tcPr>
          <w:p w14:paraId="17292B5D">
            <w:pPr>
              <w:ind w:firstLine="420"/>
            </w:pPr>
            <w:r>
              <w:rPr>
                <w:rFonts w:hint="eastAsia" w:eastAsia="宋体"/>
                <w:sz w:val="21"/>
                <w:lang w:eastAsia="zh-CN"/>
              </w:rPr>
              <w:t>合格</w:t>
            </w:r>
          </w:p>
        </w:tc>
      </w:tr>
      <w:tr w14:paraId="091C9998">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183" w:type="dxa"/>
            <w:tcBorders>
              <w:top w:val="nil"/>
              <w:left w:val="nil"/>
              <w:bottom w:val="nil"/>
              <w:right w:val="nil"/>
            </w:tcBorders>
          </w:tcPr>
          <w:p w14:paraId="3623C2E8">
            <w:pPr>
              <w:ind w:firstLine="420"/>
            </w:pPr>
            <w:r>
              <w:rPr>
                <w:rFonts w:eastAsia="宋体"/>
                <w:sz w:val="21"/>
              </w:rPr>
              <w:t>不同样品结果区分度</w:t>
            </w:r>
          </w:p>
        </w:tc>
        <w:tc>
          <w:tcPr>
            <w:tcW w:w="2183" w:type="dxa"/>
            <w:tcBorders>
              <w:top w:val="nil"/>
              <w:left w:val="nil"/>
              <w:bottom w:val="nil"/>
              <w:right w:val="nil"/>
            </w:tcBorders>
          </w:tcPr>
          <w:p w14:paraId="14F91D12">
            <w:pPr>
              <w:ind w:firstLine="420"/>
              <w:rPr>
                <w:lang w:eastAsia="zh-CN"/>
              </w:rPr>
            </w:pPr>
            <w:r>
              <w:rPr>
                <w:rFonts w:eastAsia="宋体"/>
                <w:sz w:val="21"/>
                <w:lang w:eastAsia="zh-CN"/>
              </w:rPr>
              <w:t>相同试验条件下，不同设计或材料组成试样的疲劳性能差异应可被区分</w:t>
            </w:r>
          </w:p>
        </w:tc>
        <w:tc>
          <w:tcPr>
            <w:tcW w:w="2183" w:type="dxa"/>
            <w:tcBorders>
              <w:top w:val="nil"/>
              <w:left w:val="nil"/>
              <w:bottom w:val="nil"/>
              <w:right w:val="nil"/>
            </w:tcBorders>
          </w:tcPr>
          <w:p w14:paraId="33DCE666">
            <w:pPr>
              <w:ind w:firstLine="420"/>
              <w:rPr>
                <w:lang w:eastAsia="zh-CN"/>
              </w:rPr>
            </w:pPr>
            <w:r>
              <w:rPr>
                <w:rFonts w:eastAsia="宋体"/>
                <w:sz w:val="21"/>
                <w:szCs w:val="21"/>
                <w:lang w:eastAsia="zh-CN"/>
              </w:rPr>
              <w:t>在相同试验几何与载荷水平下，可吸收桡骨板与肱骨板两组试样的疲劳寿命与失效位置差异明显，方法可有效区分不同设计接骨板的疲劳性能。</w:t>
            </w:r>
          </w:p>
        </w:tc>
        <w:tc>
          <w:tcPr>
            <w:tcW w:w="2183" w:type="dxa"/>
            <w:tcBorders>
              <w:top w:val="nil"/>
              <w:left w:val="nil"/>
              <w:bottom w:val="nil"/>
              <w:right w:val="nil"/>
            </w:tcBorders>
          </w:tcPr>
          <w:p w14:paraId="3C7FACFF">
            <w:pPr>
              <w:ind w:firstLine="420"/>
            </w:pPr>
            <w:r>
              <w:rPr>
                <w:rFonts w:hint="eastAsia" w:eastAsia="宋体"/>
                <w:sz w:val="21"/>
                <w:lang w:eastAsia="zh-CN"/>
              </w:rPr>
              <w:t>合格</w:t>
            </w:r>
          </w:p>
        </w:tc>
      </w:tr>
    </w:tbl>
    <w:p w14:paraId="799088AB">
      <w:pPr>
        <w:ind w:firstLine="560"/>
        <w:rPr>
          <w:lang w:eastAsia="zh-CN"/>
        </w:rPr>
      </w:pPr>
      <w:r>
        <w:rPr>
          <w:lang w:eastAsia="zh-CN"/>
        </w:rPr>
        <w:t>验证结果表明，</w:t>
      </w:r>
      <w:r>
        <w:rPr>
          <w:sz w:val="24"/>
          <w:szCs w:val="24"/>
          <w:lang w:eastAsia="zh-CN"/>
        </w:rPr>
        <w:t>本文件规定的三点弯曲方法在湿态环境下可稳定实施</w:t>
      </w:r>
      <w:r>
        <w:rPr>
          <w:lang w:eastAsia="zh-CN"/>
        </w:rPr>
        <w:t>，夹具与辊轴布置可满足试样在循环加载过程中不脱出的要求，湿态环境装置可保持温度与pH稳定，失效模式与失效位置具有良好的重复性，能够有效区分不同设计、不同材料组成接骨板的疲劳性能差异，方法具有可操作性与可复现性。</w:t>
      </w:r>
    </w:p>
    <w:p w14:paraId="38D7FEBC">
      <w:pPr>
        <w:pStyle w:val="5"/>
        <w:ind w:firstLine="560"/>
        <w:rPr>
          <w:lang w:eastAsia="zh-CN"/>
        </w:rPr>
      </w:pPr>
      <w:r>
        <w:rPr>
          <w:lang w:eastAsia="zh-CN"/>
        </w:rPr>
        <w:t>2. 技术经济论证</w:t>
      </w:r>
    </w:p>
    <w:p w14:paraId="51543A74">
      <w:pPr>
        <w:ind w:firstLine="560"/>
        <w:rPr>
          <w:lang w:eastAsia="zh-CN"/>
        </w:rPr>
      </w:pPr>
      <w:r>
        <w:rPr>
          <w:lang w:eastAsia="zh-CN"/>
        </w:rPr>
        <w:t>若缺乏统一方法，各企业、检测机构需自行设计非标准疲劳试验装置与加载方案，装置开发、方法确认与数据互认成本高。本文件统一了试验几何、环境控制、加载条件与失效判定规则，使不同单位的结果具备可比性。与“体外降解—多点取样—静态弯曲”的替代方案相比，本方法可在湿态环境下连续加载并直接获得疲劳寿命与失效模式，显著缩短评价周期、降低样品与检测成本，能够满足材料配方筛选与工艺迭代阶段的高频次评价需求。</w:t>
      </w:r>
    </w:p>
    <w:p w14:paraId="27534AE9">
      <w:pPr>
        <w:pStyle w:val="5"/>
        <w:ind w:firstLine="560"/>
        <w:rPr>
          <w:lang w:eastAsia="zh-CN"/>
        </w:rPr>
      </w:pPr>
      <w:r>
        <w:rPr>
          <w:lang w:eastAsia="zh-CN"/>
        </w:rPr>
        <w:t>3. 预期的经济效果</w:t>
      </w:r>
    </w:p>
    <w:p w14:paraId="416D8D28">
      <w:pPr>
        <w:ind w:firstLine="560"/>
        <w:rPr>
          <w:lang w:eastAsia="zh-CN"/>
        </w:rPr>
      </w:pPr>
      <w:r>
        <w:rPr>
          <w:lang w:eastAsia="zh-CN"/>
        </w:rPr>
        <w:t>经济效益：统一可吸收接骨板弯曲疲劳性能的试验方法与结果表达，提升产品质量一致性与批次稳定性，支撑企业研发筛选、设计验证与质量控制，降低重复研发投入与注册检验沟通成本，助力国产可吸收接骨板的规范化生产与产业化。</w:t>
      </w:r>
    </w:p>
    <w:p w14:paraId="22CD206F">
      <w:pPr>
        <w:ind w:firstLine="560"/>
        <w:rPr>
          <w:lang w:eastAsia="zh-CN"/>
        </w:rPr>
      </w:pPr>
      <w:r>
        <w:rPr>
          <w:lang w:eastAsia="zh-CN"/>
        </w:rPr>
        <w:t>社会效益：有助于识别并降低内固定失效、骨折再移位及二次手术风险，保障患者用械安全；规范市场秩序，为可吸收骨内固定植入物的注册技术审评与上市后监管提供方法依据。</w:t>
      </w:r>
    </w:p>
    <w:p w14:paraId="32620131">
      <w:pPr>
        <w:ind w:firstLine="560"/>
        <w:rPr>
          <w:lang w:eastAsia="zh-CN"/>
        </w:rPr>
      </w:pPr>
      <w:r>
        <w:rPr>
          <w:lang w:eastAsia="zh-CN"/>
        </w:rPr>
        <w:t>行业影响：填补可吸收接骨板动态疲劳试验方法的标准空白，完善可吸收骨科植入物标准体系，提升我国可吸收骨科植入物领域的国际竞争力，支撑高端骨科耗材国产替代。</w:t>
      </w:r>
    </w:p>
    <w:p w14:paraId="74D4777C">
      <w:pPr>
        <w:pStyle w:val="4"/>
        <w:ind w:firstLine="560"/>
        <w:rPr>
          <w:b/>
          <w:bCs w:val="0"/>
          <w:lang w:eastAsia="zh-CN"/>
        </w:rPr>
      </w:pPr>
      <w:r>
        <w:rPr>
          <w:b/>
          <w:bCs w:val="0"/>
          <w:lang w:eastAsia="zh-CN"/>
        </w:rPr>
        <w:t>四、与国际、国外同类标准技术内容的对比情况</w:t>
      </w:r>
    </w:p>
    <w:p w14:paraId="15F8C337">
      <w:pPr>
        <w:ind w:firstLine="560"/>
        <w:rPr>
          <w:lang w:eastAsia="zh-CN"/>
        </w:rPr>
      </w:pPr>
      <w:r>
        <w:rPr>
          <w:lang w:eastAsia="zh-CN"/>
        </w:rPr>
        <w:t>国际上接骨板力学评价标准（ASTM F382—24、ASTM F3437—23等）的适用对象均为金属接骨板，不涉及体液环境下的降解—疲劳耦合工况，尚无公开统一的针对可吸收接骨板弯曲疲劳性能的试验方法标准，多为企业内控方法或科研级方法。本文件的试验几何、环境控制、加载条件、失效判定与数据处理等技术要素均由起草单位基于国内行业实践经验与自主科研成果独立研制，技术路径和框架体系具有原创性；仅在方法学层面参考了YY/T 1503—2016（循环弯曲疲劳试验总体框架）、ASTM F382—24与ASTM F3437—23（夹具形式、加载辊轴与支撑辊轴布置规则、横截面弯曲试样几何限制）等。与国外同类标准的对比情况见表3。</w:t>
      </w:r>
    </w:p>
    <w:p w14:paraId="0365CF81">
      <w:pPr>
        <w:spacing w:after="60"/>
        <w:ind w:firstLine="420"/>
        <w:jc w:val="center"/>
        <w:rPr>
          <w:lang w:eastAsia="zh-CN"/>
        </w:rPr>
      </w:pPr>
      <w:r>
        <w:rPr>
          <w:rFonts w:eastAsia="宋体"/>
          <w:sz w:val="21"/>
          <w:lang w:eastAsia="zh-CN"/>
        </w:rPr>
        <w:t>表3  与国外同类标准技术内容的对比</w:t>
      </w:r>
    </w:p>
    <w:tbl>
      <w:tblPr>
        <w:tblStyle w:val="32"/>
        <w:tblW w:w="0" w:type="auto"/>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911"/>
        <w:gridCol w:w="2911"/>
        <w:gridCol w:w="2911"/>
      </w:tblGrid>
      <w:tr w14:paraId="0A45FDDA">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11" w:type="dxa"/>
            <w:tcBorders>
              <w:top w:val="single" w:color="000000" w:sz="12" w:space="0"/>
              <w:left w:val="nil"/>
              <w:bottom w:val="single" w:color="000000" w:sz="6" w:space="0"/>
              <w:right w:val="nil"/>
            </w:tcBorders>
          </w:tcPr>
          <w:p w14:paraId="73D63604">
            <w:pPr>
              <w:ind w:firstLine="420"/>
              <w:jc w:val="center"/>
            </w:pPr>
            <w:r>
              <w:rPr>
                <w:rFonts w:eastAsia="宋体"/>
                <w:sz w:val="21"/>
              </w:rPr>
              <w:t>对比项目</w:t>
            </w:r>
          </w:p>
        </w:tc>
        <w:tc>
          <w:tcPr>
            <w:tcW w:w="2911" w:type="dxa"/>
            <w:tcBorders>
              <w:top w:val="single" w:color="000000" w:sz="12" w:space="0"/>
              <w:left w:val="nil"/>
              <w:bottom w:val="single" w:color="000000" w:sz="6" w:space="0"/>
              <w:right w:val="nil"/>
            </w:tcBorders>
          </w:tcPr>
          <w:p w14:paraId="7BE33375">
            <w:pPr>
              <w:ind w:firstLine="420"/>
              <w:jc w:val="center"/>
            </w:pPr>
            <w:r>
              <w:rPr>
                <w:rFonts w:eastAsia="宋体"/>
                <w:sz w:val="21"/>
              </w:rPr>
              <w:t>ASTM F382—24 / ASTM F3437—23</w:t>
            </w:r>
          </w:p>
        </w:tc>
        <w:tc>
          <w:tcPr>
            <w:tcW w:w="2911" w:type="dxa"/>
            <w:tcBorders>
              <w:top w:val="single" w:color="000000" w:sz="12" w:space="0"/>
              <w:left w:val="nil"/>
              <w:bottom w:val="single" w:color="000000" w:sz="6" w:space="0"/>
              <w:right w:val="nil"/>
            </w:tcBorders>
          </w:tcPr>
          <w:p w14:paraId="563A0105">
            <w:pPr>
              <w:ind w:firstLine="420"/>
              <w:jc w:val="center"/>
            </w:pPr>
            <w:r>
              <w:rPr>
                <w:rFonts w:eastAsia="宋体"/>
                <w:sz w:val="21"/>
              </w:rPr>
              <w:t>本文件</w:t>
            </w:r>
          </w:p>
        </w:tc>
      </w:tr>
      <w:tr w14:paraId="0F010948">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11" w:type="dxa"/>
            <w:tcBorders>
              <w:top w:val="nil"/>
              <w:left w:val="nil"/>
              <w:bottom w:val="nil"/>
              <w:right w:val="nil"/>
            </w:tcBorders>
          </w:tcPr>
          <w:p w14:paraId="3A28504A">
            <w:pPr>
              <w:ind w:firstLine="420"/>
            </w:pPr>
            <w:r>
              <w:rPr>
                <w:rFonts w:eastAsia="宋体"/>
                <w:sz w:val="21"/>
              </w:rPr>
              <w:t>适用对象</w:t>
            </w:r>
          </w:p>
        </w:tc>
        <w:tc>
          <w:tcPr>
            <w:tcW w:w="2911" w:type="dxa"/>
            <w:tcBorders>
              <w:top w:val="nil"/>
              <w:left w:val="nil"/>
              <w:bottom w:val="nil"/>
              <w:right w:val="nil"/>
            </w:tcBorders>
          </w:tcPr>
          <w:p w14:paraId="379CF449">
            <w:pPr>
              <w:ind w:firstLine="420"/>
            </w:pPr>
            <w:r>
              <w:rPr>
                <w:rFonts w:eastAsia="宋体"/>
                <w:sz w:val="21"/>
              </w:rPr>
              <w:t>金属接骨板</w:t>
            </w:r>
          </w:p>
        </w:tc>
        <w:tc>
          <w:tcPr>
            <w:tcW w:w="2911" w:type="dxa"/>
            <w:tcBorders>
              <w:top w:val="nil"/>
              <w:left w:val="nil"/>
              <w:bottom w:val="nil"/>
              <w:right w:val="nil"/>
            </w:tcBorders>
          </w:tcPr>
          <w:p w14:paraId="1B546059">
            <w:pPr>
              <w:ind w:firstLine="420"/>
            </w:pPr>
            <w:r>
              <w:rPr>
                <w:rFonts w:eastAsia="宋体"/>
                <w:sz w:val="21"/>
              </w:rPr>
              <w:t>可吸收聚酯及其复合材料接骨板</w:t>
            </w:r>
          </w:p>
        </w:tc>
      </w:tr>
      <w:tr w14:paraId="2766D0AD">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11" w:type="dxa"/>
            <w:tcBorders>
              <w:top w:val="nil"/>
              <w:left w:val="nil"/>
              <w:bottom w:val="nil"/>
              <w:right w:val="nil"/>
            </w:tcBorders>
          </w:tcPr>
          <w:p w14:paraId="35CDC58E">
            <w:pPr>
              <w:ind w:firstLine="420"/>
            </w:pPr>
            <w:r>
              <w:rPr>
                <w:rFonts w:eastAsia="宋体"/>
                <w:sz w:val="21"/>
              </w:rPr>
              <w:t>试验环境</w:t>
            </w:r>
          </w:p>
        </w:tc>
        <w:tc>
          <w:tcPr>
            <w:tcW w:w="2911" w:type="dxa"/>
            <w:tcBorders>
              <w:top w:val="nil"/>
              <w:left w:val="nil"/>
              <w:bottom w:val="nil"/>
              <w:right w:val="nil"/>
            </w:tcBorders>
          </w:tcPr>
          <w:p w14:paraId="3220AD7B">
            <w:pPr>
              <w:ind w:firstLine="420"/>
              <w:rPr>
                <w:lang w:eastAsia="zh-CN"/>
              </w:rPr>
            </w:pPr>
            <w:r>
              <w:rPr>
                <w:rFonts w:eastAsia="宋体"/>
                <w:sz w:val="21"/>
                <w:lang w:eastAsia="zh-CN"/>
              </w:rPr>
              <w:t>常规环境或规定的非降解环境</w:t>
            </w:r>
          </w:p>
        </w:tc>
        <w:tc>
          <w:tcPr>
            <w:tcW w:w="2911" w:type="dxa"/>
            <w:tcBorders>
              <w:top w:val="nil"/>
              <w:left w:val="nil"/>
              <w:bottom w:val="nil"/>
              <w:right w:val="nil"/>
            </w:tcBorders>
          </w:tcPr>
          <w:p w14:paraId="2AAC19CE">
            <w:pPr>
              <w:ind w:firstLine="420"/>
              <w:rPr>
                <w:lang w:eastAsia="zh-CN"/>
              </w:rPr>
            </w:pPr>
            <w:r>
              <w:rPr>
                <w:rFonts w:eastAsia="宋体"/>
                <w:sz w:val="21"/>
                <w:lang w:eastAsia="zh-CN"/>
              </w:rPr>
              <w:t>（37±1）℃ PBS湿态环境，模拟体内服役条件</w:t>
            </w:r>
          </w:p>
        </w:tc>
      </w:tr>
      <w:tr w14:paraId="75447AB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11" w:type="dxa"/>
            <w:tcBorders>
              <w:top w:val="nil"/>
              <w:left w:val="nil"/>
              <w:bottom w:val="nil"/>
              <w:right w:val="nil"/>
            </w:tcBorders>
          </w:tcPr>
          <w:p w14:paraId="2E603259">
            <w:pPr>
              <w:ind w:firstLine="420"/>
            </w:pPr>
            <w:r>
              <w:rPr>
                <w:rFonts w:eastAsia="宋体"/>
                <w:sz w:val="21"/>
              </w:rPr>
              <w:t>降解—疲劳耦合</w:t>
            </w:r>
          </w:p>
        </w:tc>
        <w:tc>
          <w:tcPr>
            <w:tcW w:w="2911" w:type="dxa"/>
            <w:tcBorders>
              <w:top w:val="nil"/>
              <w:left w:val="nil"/>
              <w:bottom w:val="nil"/>
              <w:right w:val="nil"/>
            </w:tcBorders>
          </w:tcPr>
          <w:p w14:paraId="3B784E55">
            <w:pPr>
              <w:ind w:firstLine="420"/>
            </w:pPr>
            <w:r>
              <w:rPr>
                <w:rFonts w:eastAsia="宋体"/>
                <w:sz w:val="21"/>
              </w:rPr>
              <w:t>不涉及</w:t>
            </w:r>
          </w:p>
        </w:tc>
        <w:tc>
          <w:tcPr>
            <w:tcW w:w="2911" w:type="dxa"/>
            <w:tcBorders>
              <w:top w:val="nil"/>
              <w:left w:val="nil"/>
              <w:bottom w:val="nil"/>
              <w:right w:val="nil"/>
            </w:tcBorders>
          </w:tcPr>
          <w:p w14:paraId="1161F018">
            <w:pPr>
              <w:ind w:firstLine="420"/>
              <w:rPr>
                <w:lang w:eastAsia="zh-CN"/>
              </w:rPr>
            </w:pPr>
            <w:r>
              <w:rPr>
                <w:rFonts w:eastAsia="宋体"/>
                <w:sz w:val="21"/>
                <w:lang w:eastAsia="zh-CN"/>
              </w:rPr>
              <w:t>设置状态调节，并在湿态介质中连续加载，考虑降解与疲劳耦合效应</w:t>
            </w:r>
          </w:p>
        </w:tc>
      </w:tr>
      <w:tr w14:paraId="1271D213">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11" w:type="dxa"/>
            <w:tcBorders>
              <w:top w:val="nil"/>
              <w:left w:val="nil"/>
              <w:bottom w:val="nil"/>
              <w:right w:val="nil"/>
            </w:tcBorders>
          </w:tcPr>
          <w:p w14:paraId="5F23DE6C">
            <w:pPr>
              <w:ind w:firstLine="420"/>
            </w:pPr>
            <w:r>
              <w:rPr>
                <w:rFonts w:eastAsia="宋体"/>
                <w:sz w:val="21"/>
              </w:rPr>
              <w:t>介质过程控制</w:t>
            </w:r>
          </w:p>
        </w:tc>
        <w:tc>
          <w:tcPr>
            <w:tcW w:w="2911" w:type="dxa"/>
            <w:tcBorders>
              <w:top w:val="nil"/>
              <w:left w:val="nil"/>
              <w:bottom w:val="nil"/>
              <w:right w:val="nil"/>
            </w:tcBorders>
          </w:tcPr>
          <w:p w14:paraId="7E18B477">
            <w:pPr>
              <w:ind w:firstLine="420"/>
            </w:pPr>
            <w:r>
              <w:rPr>
                <w:rFonts w:eastAsia="宋体"/>
                <w:sz w:val="21"/>
              </w:rPr>
              <w:t>不涉及</w:t>
            </w:r>
          </w:p>
        </w:tc>
        <w:tc>
          <w:tcPr>
            <w:tcW w:w="2911" w:type="dxa"/>
            <w:tcBorders>
              <w:top w:val="nil"/>
              <w:left w:val="nil"/>
              <w:bottom w:val="nil"/>
              <w:right w:val="nil"/>
            </w:tcBorders>
          </w:tcPr>
          <w:p w14:paraId="14D03444">
            <w:pPr>
              <w:ind w:firstLine="420"/>
              <w:rPr>
                <w:lang w:eastAsia="zh-CN"/>
              </w:rPr>
            </w:pPr>
            <w:r>
              <w:rPr>
                <w:rFonts w:eastAsia="宋体"/>
                <w:sz w:val="21"/>
                <w:lang w:eastAsia="zh-CN"/>
              </w:rPr>
              <w:t>规定pH与温度监测记录、换液触发条件与蒸发补偿</w:t>
            </w:r>
          </w:p>
        </w:tc>
      </w:tr>
      <w:tr w14:paraId="4E724AF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11" w:type="dxa"/>
            <w:tcBorders>
              <w:top w:val="nil"/>
              <w:left w:val="nil"/>
              <w:bottom w:val="nil"/>
              <w:right w:val="nil"/>
            </w:tcBorders>
          </w:tcPr>
          <w:p w14:paraId="3394CD50">
            <w:pPr>
              <w:ind w:firstLine="420"/>
            </w:pPr>
            <w:r>
              <w:rPr>
                <w:rFonts w:eastAsia="宋体"/>
                <w:sz w:val="21"/>
              </w:rPr>
              <w:t>加载频率</w:t>
            </w:r>
          </w:p>
        </w:tc>
        <w:tc>
          <w:tcPr>
            <w:tcW w:w="2911" w:type="dxa"/>
            <w:tcBorders>
              <w:top w:val="nil"/>
              <w:left w:val="nil"/>
              <w:bottom w:val="nil"/>
              <w:right w:val="nil"/>
            </w:tcBorders>
          </w:tcPr>
          <w:p w14:paraId="6E95488E">
            <w:pPr>
              <w:ind w:firstLine="420"/>
              <w:rPr>
                <w:lang w:eastAsia="zh-CN"/>
              </w:rPr>
            </w:pPr>
            <w:r>
              <w:rPr>
                <w:rFonts w:eastAsia="宋体"/>
                <w:sz w:val="21"/>
                <w:lang w:eastAsia="zh-CN"/>
              </w:rPr>
              <w:t>未针对黏弹性材料限定</w:t>
            </w:r>
          </w:p>
        </w:tc>
        <w:tc>
          <w:tcPr>
            <w:tcW w:w="2911" w:type="dxa"/>
            <w:tcBorders>
              <w:top w:val="nil"/>
              <w:left w:val="nil"/>
              <w:bottom w:val="nil"/>
              <w:right w:val="nil"/>
            </w:tcBorders>
          </w:tcPr>
          <w:p w14:paraId="700D6F43">
            <w:pPr>
              <w:ind w:firstLine="420"/>
              <w:rPr>
                <w:lang w:eastAsia="zh-CN"/>
              </w:rPr>
            </w:pPr>
            <w:r>
              <w:rPr>
                <w:rFonts w:eastAsia="宋体"/>
                <w:sz w:val="21"/>
                <w:lang w:eastAsia="zh-CN"/>
              </w:rPr>
              <w:t>1 Hz-5 Hz，更高频率需经验证不引起温升或失效模式改变</w:t>
            </w:r>
          </w:p>
        </w:tc>
      </w:tr>
      <w:tr w14:paraId="45B146DF">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11" w:type="dxa"/>
            <w:tcBorders>
              <w:top w:val="nil"/>
              <w:left w:val="nil"/>
              <w:bottom w:val="nil"/>
              <w:right w:val="nil"/>
            </w:tcBorders>
          </w:tcPr>
          <w:p w14:paraId="11B28F52">
            <w:pPr>
              <w:ind w:firstLine="420"/>
            </w:pPr>
            <w:r>
              <w:rPr>
                <w:rFonts w:eastAsia="宋体"/>
                <w:sz w:val="21"/>
              </w:rPr>
              <w:t>失效判定</w:t>
            </w:r>
          </w:p>
        </w:tc>
        <w:tc>
          <w:tcPr>
            <w:tcW w:w="2911" w:type="dxa"/>
            <w:tcBorders>
              <w:top w:val="nil"/>
              <w:left w:val="nil"/>
              <w:bottom w:val="nil"/>
              <w:right w:val="nil"/>
            </w:tcBorders>
          </w:tcPr>
          <w:p w14:paraId="0A30E900">
            <w:pPr>
              <w:ind w:firstLine="420"/>
            </w:pPr>
            <w:r>
              <w:rPr>
                <w:rFonts w:eastAsia="宋体"/>
                <w:sz w:val="21"/>
              </w:rPr>
              <w:t>以断裂等为主要判据</w:t>
            </w:r>
          </w:p>
        </w:tc>
        <w:tc>
          <w:tcPr>
            <w:tcW w:w="2911" w:type="dxa"/>
            <w:tcBorders>
              <w:top w:val="nil"/>
              <w:left w:val="nil"/>
              <w:bottom w:val="nil"/>
              <w:right w:val="nil"/>
            </w:tcBorders>
          </w:tcPr>
          <w:p w14:paraId="11675EEC">
            <w:pPr>
              <w:ind w:firstLine="420"/>
              <w:rPr>
                <w:lang w:eastAsia="zh-CN"/>
              </w:rPr>
            </w:pPr>
            <w:r>
              <w:rPr>
                <w:rFonts w:eastAsia="宋体"/>
                <w:sz w:val="21"/>
                <w:lang w:eastAsia="zh-CN"/>
              </w:rPr>
              <w:t>断裂为最低判据，可扩展裂纹、变形、位移或刚度阈值；区分本体失效与固定失效</w:t>
            </w:r>
          </w:p>
        </w:tc>
      </w:tr>
      <w:tr w14:paraId="4E48EFE7">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11" w:type="dxa"/>
            <w:tcBorders>
              <w:top w:val="nil"/>
              <w:left w:val="nil"/>
              <w:bottom w:val="nil"/>
              <w:right w:val="nil"/>
            </w:tcBorders>
          </w:tcPr>
          <w:p w14:paraId="3CF8A943">
            <w:pPr>
              <w:ind w:firstLine="420"/>
            </w:pPr>
            <w:r>
              <w:rPr>
                <w:rFonts w:eastAsia="宋体"/>
                <w:sz w:val="21"/>
              </w:rPr>
              <w:t>数据处理</w:t>
            </w:r>
          </w:p>
        </w:tc>
        <w:tc>
          <w:tcPr>
            <w:tcW w:w="2911" w:type="dxa"/>
            <w:tcBorders>
              <w:top w:val="nil"/>
              <w:left w:val="nil"/>
              <w:bottom w:val="nil"/>
              <w:right w:val="nil"/>
            </w:tcBorders>
          </w:tcPr>
          <w:p w14:paraId="2A82376C">
            <w:pPr>
              <w:ind w:firstLine="420"/>
            </w:pPr>
            <w:r>
              <w:rPr>
                <w:rFonts w:eastAsia="宋体"/>
                <w:sz w:val="21"/>
              </w:rPr>
              <w:t>按金属疲劳方法处理</w:t>
            </w:r>
          </w:p>
        </w:tc>
        <w:tc>
          <w:tcPr>
            <w:tcW w:w="2911" w:type="dxa"/>
            <w:tcBorders>
              <w:top w:val="nil"/>
              <w:left w:val="nil"/>
              <w:bottom w:val="nil"/>
              <w:right w:val="nil"/>
            </w:tcBorders>
          </w:tcPr>
          <w:p w14:paraId="6094FA08">
            <w:pPr>
              <w:ind w:firstLine="420"/>
              <w:rPr>
                <w:lang w:eastAsia="zh-CN"/>
              </w:rPr>
            </w:pPr>
            <w:r>
              <w:rPr>
                <w:rFonts w:eastAsia="宋体"/>
                <w:sz w:val="21"/>
                <w:lang w:eastAsia="zh-CN"/>
              </w:rPr>
              <w:t>run-out单独标识且不参与平均，报告试验几何与弯矩</w:t>
            </w:r>
          </w:p>
        </w:tc>
      </w:tr>
    </w:tbl>
    <w:p w14:paraId="5F285971">
      <w:pPr>
        <w:ind w:firstLine="560"/>
        <w:rPr>
          <w:lang w:eastAsia="zh-CN"/>
        </w:rPr>
      </w:pPr>
      <w:r>
        <w:rPr>
          <w:lang w:eastAsia="zh-CN"/>
        </w:rPr>
        <w:t>通过对比可见，国外现行标准面向金属接骨板、不涉及降解—疲劳耦合工况；本文件针对可吸收材料的服役特点增加了湿态环境与介质过程控制要求，技术内容更具针对性，能够满足可吸收接骨板研发、质量控制与检测评价的实际需求。</w:t>
      </w:r>
    </w:p>
    <w:p w14:paraId="29FC2CCD">
      <w:pPr>
        <w:pStyle w:val="4"/>
        <w:ind w:firstLine="560"/>
        <w:rPr>
          <w:b/>
          <w:bCs w:val="0"/>
          <w:lang w:eastAsia="zh-CN"/>
        </w:rPr>
      </w:pPr>
      <w:r>
        <w:rPr>
          <w:b/>
          <w:bCs w:val="0"/>
          <w:lang w:eastAsia="zh-CN"/>
        </w:rPr>
        <w:t>五、以国际标准为基础的起草情况</w:t>
      </w:r>
    </w:p>
    <w:p w14:paraId="4A4F8BC4">
      <w:pPr>
        <w:ind w:firstLine="560"/>
        <w:rPr>
          <w:lang w:eastAsia="zh-CN"/>
        </w:rPr>
      </w:pPr>
      <w:r>
        <w:rPr>
          <w:lang w:eastAsia="zh-CN"/>
        </w:rPr>
        <w:t>本文件的技术内容、试验方法及参数体系均由起草单位结合国内行业实践和科研成果独立开发。经检索，ISO、ASTM等国际与国外标准化组织尚未发布专门针对可吸收接骨板弯曲疲劳性能的试验方法标准，现行ASTM F382—24、ASTM F3437—23等接骨板力学试验标准均限定于金属接骨板，无可等同采用或修改采用的国际标准或国外先进标准，采标程度为“非等效采用”。</w:t>
      </w:r>
    </w:p>
    <w:p w14:paraId="68B1A921">
      <w:pPr>
        <w:ind w:firstLine="560"/>
        <w:rPr>
          <w:lang w:eastAsia="zh-CN"/>
        </w:rPr>
      </w:pPr>
      <w:r>
        <w:rPr>
          <w:lang w:eastAsia="zh-CN"/>
        </w:rPr>
        <w:t>本文件参考依据：</w:t>
      </w:r>
    </w:p>
    <w:p w14:paraId="02B24968">
      <w:pPr>
        <w:ind w:firstLine="560"/>
        <w:rPr>
          <w:lang w:eastAsia="zh-CN"/>
        </w:rPr>
      </w:pPr>
      <w:r>
        <w:rPr>
          <w:lang w:eastAsia="zh-CN"/>
        </w:rPr>
        <w:t>GB/T 1.1—2020  标准化工作导则  第1部分：标准化文件的结构和起草规则</w:t>
      </w:r>
    </w:p>
    <w:p w14:paraId="0CB6DC46">
      <w:pPr>
        <w:ind w:firstLine="560"/>
        <w:rPr>
          <w:lang w:eastAsia="zh-CN"/>
        </w:rPr>
      </w:pPr>
      <w:r>
        <w:rPr>
          <w:lang w:eastAsia="zh-CN"/>
        </w:rPr>
        <w:t>YY/T 1503—2016  外科植入物  金属接骨板弯曲疲劳性能试验方法</w:t>
      </w:r>
    </w:p>
    <w:p w14:paraId="5E2D1377">
      <w:pPr>
        <w:ind w:firstLine="560"/>
        <w:rPr>
          <w:lang w:eastAsia="zh-CN"/>
        </w:rPr>
      </w:pPr>
      <w:r>
        <w:rPr>
          <w:lang w:eastAsia="zh-CN"/>
        </w:rPr>
        <w:t>YY/T 0342—2020  外科植入物  接骨板弯曲强度和刚度的测定</w:t>
      </w:r>
    </w:p>
    <w:p w14:paraId="0250A93F">
      <w:pPr>
        <w:ind w:firstLine="560"/>
        <w:rPr>
          <w:lang w:eastAsia="zh-CN"/>
        </w:rPr>
      </w:pPr>
      <w:r>
        <w:rPr>
          <w:lang w:eastAsia="zh-CN"/>
        </w:rPr>
        <w:t>YY/T 0509—2009  生物可吸收内固定板和螺钉的标准要求和测试方法</w:t>
      </w:r>
    </w:p>
    <w:p w14:paraId="6B798517">
      <w:pPr>
        <w:ind w:firstLine="560"/>
      </w:pPr>
      <w:r>
        <w:t>YY/T 0474—2025  外科植入物  聚L-丙交酯树脂及制品体外降解试验</w:t>
      </w:r>
    </w:p>
    <w:p w14:paraId="2FF3ADD5">
      <w:pPr>
        <w:ind w:firstLine="560"/>
      </w:pPr>
      <w:r>
        <w:t>YY/T 0473—2004  外科植入物  聚交酯共聚物和共混物体外降解试验</w:t>
      </w:r>
    </w:p>
    <w:p w14:paraId="32609321">
      <w:pPr>
        <w:ind w:firstLine="560"/>
      </w:pPr>
      <w:r>
        <w:t>YY/T 0661—2017  外科植入物  半结晶型聚丙交酯聚合物和共聚物树脂</w:t>
      </w:r>
    </w:p>
    <w:p w14:paraId="3DF92F28">
      <w:pPr>
        <w:ind w:firstLine="560"/>
      </w:pPr>
      <w:r>
        <w:t>JJG 139  拉力、压力和万能试验机</w:t>
      </w:r>
    </w:p>
    <w:p w14:paraId="1B92E707">
      <w:pPr>
        <w:ind w:firstLine="560"/>
      </w:pPr>
      <w:r>
        <w:t>ASTM F382—24  Standard Specification and Test Method for Metallic Bone Plates</w:t>
      </w:r>
    </w:p>
    <w:p w14:paraId="6DB5B4AF">
      <w:pPr>
        <w:ind w:firstLine="560"/>
      </w:pPr>
      <w:r>
        <w:t>ASTM F3437—23  Standard Test Methods for Metallic Bone Plates Used in Small Bone Fracture Fixation</w:t>
      </w:r>
    </w:p>
    <w:p w14:paraId="6EE17FCD">
      <w:pPr>
        <w:ind w:firstLine="560"/>
        <w:rPr>
          <w:lang w:eastAsia="zh-CN"/>
        </w:rPr>
      </w:pPr>
      <w:r>
        <w:rPr>
          <w:lang w:eastAsia="zh-CN"/>
        </w:rPr>
        <w:t>《可吸收骨内固定植入物注册审查指导原则》</w:t>
      </w:r>
    </w:p>
    <w:p w14:paraId="5BF0E0C5">
      <w:pPr>
        <w:pStyle w:val="4"/>
        <w:ind w:firstLine="560"/>
        <w:rPr>
          <w:lang w:eastAsia="zh-CN"/>
        </w:rPr>
      </w:pPr>
      <w:r>
        <w:rPr>
          <w:b/>
          <w:bCs w:val="0"/>
          <w:lang w:eastAsia="zh-CN"/>
        </w:rPr>
        <w:t>六、与有关法律、行政法规及相关标准的关系</w:t>
      </w:r>
    </w:p>
    <w:p w14:paraId="42EBC4CD">
      <w:pPr>
        <w:ind w:firstLine="560"/>
        <w:rPr>
          <w:lang w:eastAsia="zh-CN"/>
        </w:rPr>
      </w:pPr>
      <w:r>
        <w:rPr>
          <w:lang w:eastAsia="zh-CN"/>
        </w:rPr>
        <w:t>本文件符合《中华人民共和国标准化法》《医疗器械监督管理条例》等法律法规的要求，属于推荐性团体标准，内容为试验方法，不设置强制性技术要求，与现行强制性标准协调一致，且技术要求原则上不低于已有的强制性标准，主要引用YY/T 1503—2016、YY/T 0342—2020、YY/T 0509—2009、YY/T 0474—2025、YY/T 0473—2004、JJG 139及《可吸收骨内固定植入物注册审查指导原则》。</w:t>
      </w:r>
    </w:p>
    <w:p w14:paraId="69E9C124">
      <w:pPr>
        <w:ind w:firstLine="560"/>
        <w:rPr>
          <w:lang w:eastAsia="zh-CN"/>
        </w:rPr>
      </w:pPr>
      <w:r>
        <w:rPr>
          <w:lang w:eastAsia="zh-CN"/>
        </w:rPr>
        <w:t>拟申请标准为新标准。国内尚无针对可吸收接骨板弯曲疲劳性能试验方法的国家标准、行业标准或团体标准；现行YY/T 0509—2009仅规定静态弯曲性能要求，未涵盖模拟体内湿态环境下的动态疲劳评价，本文件与已有标准在内容上没有重合和冲突，是对可吸收骨科植入物标准体系的进一步完善和补充。</w:t>
      </w:r>
    </w:p>
    <w:p w14:paraId="47A365A8">
      <w:pPr>
        <w:ind w:firstLine="560"/>
        <w:rPr>
          <w:lang w:eastAsia="zh-CN"/>
        </w:rPr>
      </w:pPr>
      <w:r>
        <w:rPr>
          <w:lang w:eastAsia="zh-CN"/>
        </w:rPr>
        <w:t>本文件与现行相关标准的关系见表4。</w:t>
      </w:r>
    </w:p>
    <w:p w14:paraId="627FC73B">
      <w:pPr>
        <w:spacing w:after="60"/>
        <w:ind w:firstLine="420"/>
        <w:jc w:val="center"/>
        <w:rPr>
          <w:lang w:eastAsia="zh-CN"/>
        </w:rPr>
      </w:pPr>
      <w:r>
        <w:rPr>
          <w:rFonts w:eastAsia="宋体"/>
          <w:sz w:val="21"/>
          <w:lang w:eastAsia="zh-CN"/>
        </w:rPr>
        <w:t>表4  本文件与现行相关标准的关系</w:t>
      </w:r>
    </w:p>
    <w:tbl>
      <w:tblPr>
        <w:tblStyle w:val="32"/>
        <w:tblW w:w="0" w:type="auto"/>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911"/>
        <w:gridCol w:w="2911"/>
        <w:gridCol w:w="2911"/>
      </w:tblGrid>
      <w:tr w14:paraId="0FC09B67">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11" w:type="dxa"/>
            <w:tcBorders>
              <w:top w:val="single" w:color="000000" w:sz="12" w:space="0"/>
              <w:left w:val="nil"/>
              <w:bottom w:val="single" w:color="000000" w:sz="6" w:space="0"/>
              <w:right w:val="nil"/>
            </w:tcBorders>
          </w:tcPr>
          <w:p w14:paraId="5B0AFD2C">
            <w:pPr>
              <w:ind w:firstLine="420"/>
              <w:jc w:val="center"/>
            </w:pPr>
            <w:r>
              <w:rPr>
                <w:rFonts w:eastAsia="宋体"/>
                <w:sz w:val="21"/>
              </w:rPr>
              <w:t>相关标准</w:t>
            </w:r>
          </w:p>
        </w:tc>
        <w:tc>
          <w:tcPr>
            <w:tcW w:w="2911" w:type="dxa"/>
            <w:tcBorders>
              <w:top w:val="single" w:color="000000" w:sz="12" w:space="0"/>
              <w:left w:val="nil"/>
              <w:bottom w:val="single" w:color="000000" w:sz="6" w:space="0"/>
              <w:right w:val="nil"/>
            </w:tcBorders>
          </w:tcPr>
          <w:p w14:paraId="4F9F598D">
            <w:pPr>
              <w:ind w:firstLine="420"/>
              <w:jc w:val="center"/>
            </w:pPr>
            <w:r>
              <w:rPr>
                <w:rFonts w:eastAsia="宋体"/>
                <w:sz w:val="21"/>
              </w:rPr>
              <w:t>主要内容</w:t>
            </w:r>
          </w:p>
        </w:tc>
        <w:tc>
          <w:tcPr>
            <w:tcW w:w="2911" w:type="dxa"/>
            <w:tcBorders>
              <w:top w:val="single" w:color="000000" w:sz="12" w:space="0"/>
              <w:left w:val="nil"/>
              <w:bottom w:val="single" w:color="000000" w:sz="6" w:space="0"/>
              <w:right w:val="nil"/>
            </w:tcBorders>
          </w:tcPr>
          <w:p w14:paraId="2F3B4486">
            <w:pPr>
              <w:ind w:firstLine="420"/>
              <w:jc w:val="center"/>
            </w:pPr>
            <w:r>
              <w:rPr>
                <w:rFonts w:eastAsia="宋体"/>
                <w:sz w:val="21"/>
              </w:rPr>
              <w:t>与本文件的关系</w:t>
            </w:r>
          </w:p>
        </w:tc>
      </w:tr>
      <w:tr w14:paraId="137253F8">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11" w:type="dxa"/>
            <w:tcBorders>
              <w:top w:val="nil"/>
              <w:left w:val="nil"/>
              <w:bottom w:val="nil"/>
              <w:right w:val="nil"/>
            </w:tcBorders>
          </w:tcPr>
          <w:p w14:paraId="6B168646">
            <w:pPr>
              <w:ind w:firstLine="420"/>
            </w:pPr>
            <w:r>
              <w:rPr>
                <w:rFonts w:eastAsia="宋体"/>
                <w:sz w:val="21"/>
              </w:rPr>
              <w:t>GB/T 1.1—2020</w:t>
            </w:r>
          </w:p>
        </w:tc>
        <w:tc>
          <w:tcPr>
            <w:tcW w:w="2911" w:type="dxa"/>
            <w:tcBorders>
              <w:top w:val="nil"/>
              <w:left w:val="nil"/>
              <w:bottom w:val="nil"/>
              <w:right w:val="nil"/>
            </w:tcBorders>
          </w:tcPr>
          <w:p w14:paraId="5A2A0CAF">
            <w:pPr>
              <w:ind w:firstLine="420"/>
              <w:rPr>
                <w:lang w:eastAsia="zh-CN"/>
              </w:rPr>
            </w:pPr>
            <w:r>
              <w:rPr>
                <w:rFonts w:eastAsia="宋体"/>
                <w:sz w:val="21"/>
                <w:lang w:eastAsia="zh-CN"/>
              </w:rPr>
              <w:t>标准化文件的结构和起草规则</w:t>
            </w:r>
          </w:p>
        </w:tc>
        <w:tc>
          <w:tcPr>
            <w:tcW w:w="2911" w:type="dxa"/>
            <w:tcBorders>
              <w:top w:val="nil"/>
              <w:left w:val="nil"/>
              <w:bottom w:val="nil"/>
              <w:right w:val="nil"/>
            </w:tcBorders>
          </w:tcPr>
          <w:p w14:paraId="1A358D16">
            <w:pPr>
              <w:ind w:firstLine="420"/>
              <w:rPr>
                <w:lang w:eastAsia="zh-CN"/>
              </w:rPr>
            </w:pPr>
            <w:r>
              <w:rPr>
                <w:rFonts w:eastAsia="宋体"/>
                <w:sz w:val="21"/>
                <w:lang w:eastAsia="zh-CN"/>
              </w:rPr>
              <w:t>本文件按该标准的规定起草</w:t>
            </w:r>
          </w:p>
        </w:tc>
      </w:tr>
      <w:tr w14:paraId="00E1712B">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11" w:type="dxa"/>
            <w:tcBorders>
              <w:top w:val="nil"/>
              <w:left w:val="nil"/>
              <w:bottom w:val="nil"/>
              <w:right w:val="nil"/>
            </w:tcBorders>
          </w:tcPr>
          <w:p w14:paraId="240C15CE">
            <w:pPr>
              <w:ind w:firstLine="420"/>
            </w:pPr>
            <w:r>
              <w:rPr>
                <w:rFonts w:eastAsia="宋体"/>
                <w:sz w:val="21"/>
              </w:rPr>
              <w:t>YY/T 1503—2016</w:t>
            </w:r>
          </w:p>
        </w:tc>
        <w:tc>
          <w:tcPr>
            <w:tcW w:w="2911" w:type="dxa"/>
            <w:tcBorders>
              <w:top w:val="nil"/>
              <w:left w:val="nil"/>
              <w:bottom w:val="nil"/>
              <w:right w:val="nil"/>
            </w:tcBorders>
          </w:tcPr>
          <w:p w14:paraId="7EAD48F6">
            <w:pPr>
              <w:ind w:firstLine="420"/>
              <w:rPr>
                <w:lang w:eastAsia="zh-CN"/>
              </w:rPr>
            </w:pPr>
            <w:r>
              <w:rPr>
                <w:rFonts w:eastAsia="宋体"/>
                <w:sz w:val="21"/>
                <w:lang w:eastAsia="zh-CN"/>
              </w:rPr>
              <w:t>金属接骨板弯曲疲劳性能试验方法</w:t>
            </w:r>
          </w:p>
        </w:tc>
        <w:tc>
          <w:tcPr>
            <w:tcW w:w="2911" w:type="dxa"/>
            <w:tcBorders>
              <w:top w:val="nil"/>
              <w:left w:val="nil"/>
              <w:bottom w:val="nil"/>
              <w:right w:val="nil"/>
            </w:tcBorders>
          </w:tcPr>
          <w:p w14:paraId="58D5105C">
            <w:pPr>
              <w:ind w:firstLine="420"/>
              <w:rPr>
                <w:lang w:eastAsia="zh-CN"/>
              </w:rPr>
            </w:pPr>
            <w:r>
              <w:rPr>
                <w:rFonts w:eastAsia="宋体"/>
                <w:sz w:val="21"/>
                <w:lang w:eastAsia="zh-CN"/>
              </w:rPr>
              <w:t>方法学框架的主要参照；本文件扩展至可吸收材料并增加湿态环境要求</w:t>
            </w:r>
          </w:p>
        </w:tc>
      </w:tr>
      <w:tr w14:paraId="27C39B48">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11" w:type="dxa"/>
            <w:tcBorders>
              <w:top w:val="nil"/>
              <w:left w:val="nil"/>
              <w:bottom w:val="nil"/>
              <w:right w:val="nil"/>
            </w:tcBorders>
          </w:tcPr>
          <w:p w14:paraId="63BF26A2">
            <w:pPr>
              <w:ind w:firstLine="420"/>
            </w:pPr>
            <w:r>
              <w:rPr>
                <w:rFonts w:eastAsia="宋体"/>
                <w:sz w:val="21"/>
              </w:rPr>
              <w:t>YY/T 0342—2020</w:t>
            </w:r>
          </w:p>
        </w:tc>
        <w:tc>
          <w:tcPr>
            <w:tcW w:w="2911" w:type="dxa"/>
            <w:tcBorders>
              <w:top w:val="nil"/>
              <w:left w:val="nil"/>
              <w:bottom w:val="nil"/>
              <w:right w:val="nil"/>
            </w:tcBorders>
          </w:tcPr>
          <w:p w14:paraId="3739EE8B">
            <w:pPr>
              <w:ind w:firstLine="420"/>
              <w:rPr>
                <w:lang w:eastAsia="zh-CN"/>
              </w:rPr>
            </w:pPr>
            <w:r>
              <w:rPr>
                <w:rFonts w:eastAsia="宋体"/>
                <w:sz w:val="21"/>
                <w:lang w:eastAsia="zh-CN"/>
              </w:rPr>
              <w:t>接骨板弯曲强度和刚度的测定</w:t>
            </w:r>
          </w:p>
        </w:tc>
        <w:tc>
          <w:tcPr>
            <w:tcW w:w="2911" w:type="dxa"/>
            <w:tcBorders>
              <w:top w:val="nil"/>
              <w:left w:val="nil"/>
              <w:bottom w:val="nil"/>
              <w:right w:val="nil"/>
            </w:tcBorders>
          </w:tcPr>
          <w:p w14:paraId="448119B2">
            <w:pPr>
              <w:ind w:firstLine="420"/>
              <w:rPr>
                <w:lang w:eastAsia="zh-CN"/>
              </w:rPr>
            </w:pPr>
            <w:r>
              <w:rPr>
                <w:rFonts w:eastAsia="宋体"/>
                <w:sz w:val="21"/>
                <w:lang w:eastAsia="zh-CN"/>
              </w:rPr>
              <w:t>试样放置位置、辊轴几何等要素参照采用</w:t>
            </w:r>
          </w:p>
        </w:tc>
      </w:tr>
      <w:tr w14:paraId="7F54A3E7">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11" w:type="dxa"/>
            <w:tcBorders>
              <w:top w:val="nil"/>
              <w:left w:val="nil"/>
              <w:bottom w:val="nil"/>
              <w:right w:val="nil"/>
            </w:tcBorders>
          </w:tcPr>
          <w:p w14:paraId="1628D5ED">
            <w:pPr>
              <w:ind w:firstLine="420"/>
            </w:pPr>
            <w:r>
              <w:rPr>
                <w:rFonts w:eastAsia="宋体"/>
                <w:sz w:val="21"/>
              </w:rPr>
              <w:t>YY/T 0509—2009</w:t>
            </w:r>
          </w:p>
        </w:tc>
        <w:tc>
          <w:tcPr>
            <w:tcW w:w="2911" w:type="dxa"/>
            <w:tcBorders>
              <w:top w:val="nil"/>
              <w:left w:val="nil"/>
              <w:bottom w:val="nil"/>
              <w:right w:val="nil"/>
            </w:tcBorders>
          </w:tcPr>
          <w:p w14:paraId="37A3A47D">
            <w:pPr>
              <w:ind w:firstLine="420"/>
              <w:rPr>
                <w:lang w:eastAsia="zh-CN"/>
              </w:rPr>
            </w:pPr>
            <w:r>
              <w:rPr>
                <w:rFonts w:eastAsia="宋体"/>
                <w:sz w:val="21"/>
                <w:lang w:eastAsia="zh-CN"/>
              </w:rPr>
              <w:t>生物可吸收内固定板和螺钉的标准要求和测试方法</w:t>
            </w:r>
          </w:p>
        </w:tc>
        <w:tc>
          <w:tcPr>
            <w:tcW w:w="2911" w:type="dxa"/>
            <w:tcBorders>
              <w:top w:val="nil"/>
              <w:left w:val="nil"/>
              <w:bottom w:val="nil"/>
              <w:right w:val="nil"/>
            </w:tcBorders>
          </w:tcPr>
          <w:p w14:paraId="1BEA1C84">
            <w:pPr>
              <w:ind w:firstLine="420"/>
              <w:rPr>
                <w:lang w:eastAsia="zh-CN"/>
              </w:rPr>
            </w:pPr>
            <w:r>
              <w:rPr>
                <w:rFonts w:eastAsia="宋体"/>
                <w:sz w:val="21"/>
                <w:lang w:eastAsia="zh-CN"/>
              </w:rPr>
              <w:t>规定静态性能要求；本文件补充其未覆盖的动态弯曲疲劳评价方法</w:t>
            </w:r>
          </w:p>
        </w:tc>
      </w:tr>
      <w:tr w14:paraId="4F5000EC">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11" w:type="dxa"/>
            <w:tcBorders>
              <w:top w:val="nil"/>
              <w:left w:val="nil"/>
              <w:bottom w:val="nil"/>
              <w:right w:val="nil"/>
            </w:tcBorders>
          </w:tcPr>
          <w:p w14:paraId="6D20DEB5">
            <w:pPr>
              <w:ind w:firstLine="420"/>
            </w:pPr>
            <w:r>
              <w:rPr>
                <w:rFonts w:eastAsia="宋体"/>
                <w:sz w:val="21"/>
              </w:rPr>
              <w:t>YY/T 0474—2025、YY/T 0473—2004</w:t>
            </w:r>
          </w:p>
        </w:tc>
        <w:tc>
          <w:tcPr>
            <w:tcW w:w="2911" w:type="dxa"/>
            <w:tcBorders>
              <w:top w:val="nil"/>
              <w:left w:val="nil"/>
              <w:bottom w:val="nil"/>
              <w:right w:val="nil"/>
            </w:tcBorders>
          </w:tcPr>
          <w:p w14:paraId="210CC775">
            <w:pPr>
              <w:ind w:firstLine="420"/>
              <w:rPr>
                <w:lang w:eastAsia="zh-CN"/>
              </w:rPr>
            </w:pPr>
            <w:r>
              <w:rPr>
                <w:rFonts w:eastAsia="宋体"/>
                <w:sz w:val="21"/>
                <w:lang w:eastAsia="zh-CN"/>
              </w:rPr>
              <w:t>可吸收材料体外降解试验</w:t>
            </w:r>
          </w:p>
        </w:tc>
        <w:tc>
          <w:tcPr>
            <w:tcW w:w="2911" w:type="dxa"/>
            <w:tcBorders>
              <w:top w:val="nil"/>
              <w:left w:val="nil"/>
              <w:bottom w:val="nil"/>
              <w:right w:val="nil"/>
            </w:tcBorders>
          </w:tcPr>
          <w:p w14:paraId="024C972B">
            <w:pPr>
              <w:ind w:firstLine="420"/>
              <w:rPr>
                <w:lang w:eastAsia="zh-CN"/>
              </w:rPr>
            </w:pPr>
            <w:r>
              <w:rPr>
                <w:rFonts w:eastAsia="宋体"/>
                <w:sz w:val="21"/>
                <w:lang w:eastAsia="zh-CN"/>
              </w:rPr>
              <w:t>浸泡介质与温度条件相协调；本文件在其基础上叠加循环载荷</w:t>
            </w:r>
          </w:p>
        </w:tc>
      </w:tr>
      <w:tr w14:paraId="7FA8AFBF">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11" w:type="dxa"/>
            <w:tcBorders>
              <w:top w:val="nil"/>
              <w:left w:val="nil"/>
              <w:bottom w:val="nil"/>
              <w:right w:val="nil"/>
            </w:tcBorders>
          </w:tcPr>
          <w:p w14:paraId="4B402F55">
            <w:pPr>
              <w:ind w:firstLine="420"/>
            </w:pPr>
            <w:r>
              <w:rPr>
                <w:rFonts w:eastAsia="宋体"/>
                <w:sz w:val="21"/>
              </w:rPr>
              <w:t>YY/T 0661—2017</w:t>
            </w:r>
          </w:p>
        </w:tc>
        <w:tc>
          <w:tcPr>
            <w:tcW w:w="2911" w:type="dxa"/>
            <w:tcBorders>
              <w:top w:val="nil"/>
              <w:left w:val="nil"/>
              <w:bottom w:val="nil"/>
              <w:right w:val="nil"/>
            </w:tcBorders>
          </w:tcPr>
          <w:p w14:paraId="7864B94D">
            <w:pPr>
              <w:ind w:firstLine="420"/>
              <w:rPr>
                <w:lang w:eastAsia="zh-CN"/>
              </w:rPr>
            </w:pPr>
            <w:r>
              <w:rPr>
                <w:rFonts w:eastAsia="宋体"/>
                <w:sz w:val="21"/>
                <w:lang w:eastAsia="zh-CN"/>
              </w:rPr>
              <w:t>半结晶型聚丙交酯聚合物和共聚物树脂</w:t>
            </w:r>
          </w:p>
        </w:tc>
        <w:tc>
          <w:tcPr>
            <w:tcW w:w="2911" w:type="dxa"/>
            <w:tcBorders>
              <w:top w:val="nil"/>
              <w:left w:val="nil"/>
              <w:bottom w:val="nil"/>
              <w:right w:val="nil"/>
            </w:tcBorders>
          </w:tcPr>
          <w:p w14:paraId="4B25AE9E">
            <w:pPr>
              <w:ind w:firstLine="420"/>
              <w:rPr>
                <w:lang w:eastAsia="zh-CN"/>
              </w:rPr>
            </w:pPr>
            <w:r>
              <w:rPr>
                <w:rFonts w:eastAsia="宋体"/>
                <w:sz w:val="21"/>
                <w:lang w:eastAsia="zh-CN"/>
              </w:rPr>
              <w:t>材料术语与材料体系相协调</w:t>
            </w:r>
          </w:p>
        </w:tc>
      </w:tr>
      <w:tr w14:paraId="6ECFBE02">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11" w:type="dxa"/>
            <w:tcBorders>
              <w:top w:val="nil"/>
              <w:left w:val="nil"/>
              <w:bottom w:val="nil"/>
              <w:right w:val="nil"/>
            </w:tcBorders>
          </w:tcPr>
          <w:p w14:paraId="056B361D">
            <w:pPr>
              <w:ind w:firstLine="420"/>
            </w:pPr>
            <w:r>
              <w:rPr>
                <w:rFonts w:eastAsia="宋体"/>
                <w:sz w:val="21"/>
              </w:rPr>
              <w:t>ASTM F382—24、ASTM F3437—23</w:t>
            </w:r>
          </w:p>
        </w:tc>
        <w:tc>
          <w:tcPr>
            <w:tcW w:w="2911" w:type="dxa"/>
            <w:tcBorders>
              <w:top w:val="nil"/>
              <w:left w:val="nil"/>
              <w:bottom w:val="nil"/>
              <w:right w:val="nil"/>
            </w:tcBorders>
          </w:tcPr>
          <w:p w14:paraId="7D07B698">
            <w:pPr>
              <w:ind w:firstLine="420"/>
              <w:rPr>
                <w:lang w:eastAsia="zh-CN"/>
              </w:rPr>
            </w:pPr>
            <w:r>
              <w:rPr>
                <w:rFonts w:eastAsia="宋体"/>
                <w:sz w:val="21"/>
                <w:lang w:eastAsia="zh-CN"/>
              </w:rPr>
              <w:t>金属接骨板规范与试验方法</w:t>
            </w:r>
          </w:p>
        </w:tc>
        <w:tc>
          <w:tcPr>
            <w:tcW w:w="2911" w:type="dxa"/>
            <w:tcBorders>
              <w:top w:val="nil"/>
              <w:left w:val="nil"/>
              <w:bottom w:val="nil"/>
              <w:right w:val="nil"/>
            </w:tcBorders>
          </w:tcPr>
          <w:p w14:paraId="2BF4F109">
            <w:pPr>
              <w:ind w:firstLine="420"/>
              <w:rPr>
                <w:lang w:eastAsia="zh-CN"/>
              </w:rPr>
            </w:pPr>
            <w:r>
              <w:rPr>
                <w:rFonts w:eastAsia="宋体"/>
                <w:sz w:val="21"/>
                <w:lang w:eastAsia="zh-CN"/>
              </w:rPr>
              <w:t>夹具、加载几何与循环数量级参考借鉴</w:t>
            </w:r>
          </w:p>
        </w:tc>
      </w:tr>
      <w:tr w14:paraId="02B0AF03">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11" w:type="dxa"/>
            <w:tcBorders>
              <w:top w:val="nil"/>
              <w:left w:val="nil"/>
              <w:bottom w:val="nil"/>
              <w:right w:val="nil"/>
            </w:tcBorders>
          </w:tcPr>
          <w:p w14:paraId="32B94777">
            <w:pPr>
              <w:ind w:firstLine="420"/>
            </w:pPr>
            <w:r>
              <w:rPr>
                <w:rFonts w:eastAsia="宋体"/>
                <w:sz w:val="21"/>
              </w:rPr>
              <w:t>JJG 139</w:t>
            </w:r>
          </w:p>
        </w:tc>
        <w:tc>
          <w:tcPr>
            <w:tcW w:w="2911" w:type="dxa"/>
            <w:tcBorders>
              <w:top w:val="nil"/>
              <w:left w:val="nil"/>
              <w:bottom w:val="nil"/>
              <w:right w:val="nil"/>
            </w:tcBorders>
          </w:tcPr>
          <w:p w14:paraId="08F77A13">
            <w:pPr>
              <w:ind w:firstLine="420"/>
              <w:rPr>
                <w:lang w:eastAsia="zh-CN"/>
              </w:rPr>
            </w:pPr>
            <w:r>
              <w:rPr>
                <w:rFonts w:eastAsia="宋体"/>
                <w:sz w:val="21"/>
                <w:lang w:eastAsia="zh-CN"/>
              </w:rPr>
              <w:t>拉力、压力和万能试验机检定规程</w:t>
            </w:r>
          </w:p>
        </w:tc>
        <w:tc>
          <w:tcPr>
            <w:tcW w:w="2911" w:type="dxa"/>
            <w:tcBorders>
              <w:top w:val="nil"/>
              <w:left w:val="nil"/>
              <w:bottom w:val="nil"/>
              <w:right w:val="nil"/>
            </w:tcBorders>
          </w:tcPr>
          <w:p w14:paraId="1912D637">
            <w:pPr>
              <w:ind w:firstLine="420"/>
              <w:rPr>
                <w:lang w:eastAsia="zh-CN"/>
              </w:rPr>
            </w:pPr>
            <w:r>
              <w:rPr>
                <w:rFonts w:eastAsia="宋体"/>
                <w:sz w:val="21"/>
                <w:lang w:eastAsia="zh-CN"/>
              </w:rPr>
              <w:t>疲劳试验机的计量检定要求</w:t>
            </w:r>
          </w:p>
        </w:tc>
      </w:tr>
    </w:tbl>
    <w:p w14:paraId="4F36ADF3">
      <w:pPr>
        <w:pStyle w:val="4"/>
        <w:ind w:firstLine="560"/>
        <w:rPr>
          <w:b/>
          <w:bCs w:val="0"/>
          <w:lang w:eastAsia="zh-CN"/>
        </w:rPr>
      </w:pPr>
      <w:r>
        <w:rPr>
          <w:b/>
          <w:bCs w:val="0"/>
          <w:lang w:eastAsia="zh-CN"/>
        </w:rPr>
        <w:t>七、重大分歧意见的处理经过和依据</w:t>
      </w:r>
    </w:p>
    <w:p w14:paraId="61BD31C1">
      <w:pPr>
        <w:ind w:firstLine="560"/>
        <w:rPr>
          <w:lang w:eastAsia="zh-CN"/>
        </w:rPr>
      </w:pPr>
      <w:r>
        <w:rPr>
          <w:rFonts w:hint="eastAsia"/>
          <w:lang w:eastAsia="zh-CN"/>
        </w:rPr>
        <w:t>无</w:t>
      </w:r>
      <w:r>
        <w:rPr>
          <w:lang w:eastAsia="zh-CN"/>
        </w:rPr>
        <w:t>。</w:t>
      </w:r>
    </w:p>
    <w:p w14:paraId="322A9FD7">
      <w:pPr>
        <w:pStyle w:val="4"/>
        <w:ind w:firstLine="560"/>
        <w:rPr>
          <w:b/>
          <w:bCs w:val="0"/>
          <w:lang w:eastAsia="zh-CN"/>
        </w:rPr>
      </w:pPr>
      <w:r>
        <w:rPr>
          <w:b/>
          <w:bCs w:val="0"/>
          <w:lang w:eastAsia="zh-CN"/>
        </w:rPr>
        <w:t>八、涉及专利的有关说明</w:t>
      </w:r>
    </w:p>
    <w:p w14:paraId="2842D612">
      <w:pPr>
        <w:ind w:firstLine="560"/>
        <w:rPr>
          <w:lang w:eastAsia="zh-CN"/>
        </w:rPr>
      </w:pPr>
      <w:r>
        <w:rPr>
          <w:rFonts w:hint="eastAsia"/>
          <w:lang w:eastAsia="zh-CN"/>
        </w:rPr>
        <w:t>无</w:t>
      </w:r>
      <w:r>
        <w:rPr>
          <w:lang w:eastAsia="zh-CN"/>
        </w:rPr>
        <w:t>。</w:t>
      </w:r>
    </w:p>
    <w:p w14:paraId="271B37A6">
      <w:pPr>
        <w:pStyle w:val="4"/>
        <w:ind w:firstLine="560"/>
        <w:rPr>
          <w:b/>
          <w:bCs w:val="0"/>
          <w:lang w:eastAsia="zh-CN"/>
        </w:rPr>
      </w:pPr>
      <w:r>
        <w:rPr>
          <w:b/>
          <w:bCs w:val="0"/>
          <w:lang w:eastAsia="zh-CN"/>
        </w:rPr>
        <w:t>九、实施标准的要求，以及组织措施、技术措施、过渡期和实施日期的建议</w:t>
      </w:r>
    </w:p>
    <w:p w14:paraId="3B110D7B">
      <w:pPr>
        <w:ind w:firstLine="560"/>
        <w:rPr>
          <w:lang w:eastAsia="zh-CN"/>
        </w:rPr>
      </w:pPr>
      <w:r>
        <w:rPr>
          <w:rFonts w:hint="eastAsia"/>
          <w:lang w:eastAsia="zh-CN"/>
        </w:rPr>
        <w:t>无</w:t>
      </w:r>
      <w:r>
        <w:rPr>
          <w:lang w:eastAsia="zh-CN"/>
        </w:rPr>
        <w:t>。</w:t>
      </w:r>
    </w:p>
    <w:p w14:paraId="183EF576">
      <w:pPr>
        <w:pStyle w:val="4"/>
        <w:ind w:firstLine="560"/>
        <w:rPr>
          <w:b/>
          <w:bCs w:val="0"/>
          <w:lang w:eastAsia="zh-CN"/>
        </w:rPr>
      </w:pPr>
      <w:r>
        <w:rPr>
          <w:b/>
          <w:bCs w:val="0"/>
          <w:lang w:eastAsia="zh-CN"/>
        </w:rPr>
        <w:t>十、其他应当说明的事项</w:t>
      </w:r>
    </w:p>
    <w:p w14:paraId="56B0BAC6">
      <w:pPr>
        <w:ind w:firstLine="560"/>
      </w:pPr>
      <w:r>
        <w:rPr>
          <w:rFonts w:hint="eastAsia"/>
          <w:lang w:eastAsia="zh-CN"/>
        </w:rPr>
        <w:t>无</w:t>
      </w:r>
      <w:r>
        <w:rPr>
          <w:lang w:eastAsia="zh-CN"/>
        </w:rPr>
        <w:t>。</w:t>
      </w:r>
    </w:p>
    <w:sectPr>
      <w:pgSz w:w="11906" w:h="16838"/>
      <w:pgMar w:top="1417" w:right="1587" w:bottom="1417"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ＭＳ 明朝">
    <w:altName w:val="宋体"/>
    <w:panose1 w:val="00000000000000000000"/>
    <w:charset w:val="86"/>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70409020205020404"/>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ind w:firstLine="560"/>
      </w:pPr>
      <w:r>
        <w:separator/>
      </w:r>
    </w:p>
  </w:footnote>
  <w:footnote w:type="continuationSeparator" w:id="1">
    <w:p>
      <w:pPr>
        <w:spacing w:before="0" w:after="0" w:line="240" w:lineRule="auto"/>
        <w:ind w:firstLine="56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8286A"/>
    <w:rsid w:val="000832E7"/>
    <w:rsid w:val="000E7479"/>
    <w:rsid w:val="0015074B"/>
    <w:rsid w:val="0027620C"/>
    <w:rsid w:val="0029639D"/>
    <w:rsid w:val="00326F90"/>
    <w:rsid w:val="00393DC6"/>
    <w:rsid w:val="003C241D"/>
    <w:rsid w:val="00A42AF6"/>
    <w:rsid w:val="00A52AA9"/>
    <w:rsid w:val="00AA1D8D"/>
    <w:rsid w:val="00B47730"/>
    <w:rsid w:val="00C97442"/>
    <w:rsid w:val="00CB0664"/>
    <w:rsid w:val="00E47B2A"/>
    <w:rsid w:val="00E518D1"/>
    <w:rsid w:val="00EB5B68"/>
    <w:rsid w:val="00EC72BD"/>
    <w:rsid w:val="00F86907"/>
    <w:rsid w:val="00FC693F"/>
    <w:rsid w:val="3B620D6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qFormat="1" w:unhideWhenUsed="0" w:uiPriority="68" w:semiHidden="0" w:name="Medium Grid 2"/>
    <w:lsdException w:qFormat="1" w:unhideWhenUsed="0" w:uiPriority="69" w:semiHidden="0" w:name="Medium Grid 3"/>
    <w:lsdException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0" w:line="240" w:lineRule="auto"/>
      <w:ind w:firstLine="200" w:firstLineChars="200"/>
    </w:pPr>
    <w:rPr>
      <w:rFonts w:ascii="Times New Roman" w:hAnsi="Times New Roman" w:eastAsia="仿宋" w:cstheme="minorBidi"/>
      <w:sz w:val="28"/>
      <w:szCs w:val="22"/>
      <w:lang w:val="en-US" w:eastAsia="en-US" w:bidi="ar-SA"/>
    </w:rPr>
  </w:style>
  <w:style w:type="paragraph" w:styleId="3">
    <w:name w:val="heading 1"/>
    <w:basedOn w:val="1"/>
    <w:next w:val="1"/>
    <w:link w:val="138"/>
    <w:qFormat/>
    <w:uiPriority w:val="9"/>
    <w:pPr>
      <w:keepNext/>
      <w:keepLines/>
      <w:spacing w:line="360" w:lineRule="auto"/>
      <w:jc w:val="center"/>
      <w:outlineLvl w:val="0"/>
    </w:pPr>
    <w:rPr>
      <w:rFonts w:eastAsia="黑体" w:cstheme="majorBidi"/>
      <w:bCs/>
      <w:color w:val="000000" w:themeColor="text1"/>
      <w:sz w:val="32"/>
      <w:szCs w:val="28"/>
      <w14:textFill>
        <w14:solidFill>
          <w14:schemeClr w14:val="tx1"/>
        </w14:solidFill>
      </w14:textFill>
    </w:rPr>
  </w:style>
  <w:style w:type="paragraph" w:styleId="4">
    <w:name w:val="heading 2"/>
    <w:basedOn w:val="1"/>
    <w:next w:val="1"/>
    <w:link w:val="139"/>
    <w:unhideWhenUsed/>
    <w:qFormat/>
    <w:uiPriority w:val="9"/>
    <w:pPr>
      <w:keepNext/>
      <w:keepLines/>
      <w:outlineLvl w:val="1"/>
    </w:pPr>
    <w:rPr>
      <w:rFonts w:eastAsia="仿宋_GB2312" w:cstheme="majorBidi"/>
      <w:bCs/>
      <w:szCs w:val="26"/>
    </w:rPr>
  </w:style>
  <w:style w:type="paragraph" w:styleId="5">
    <w:name w:val="heading 3"/>
    <w:basedOn w:val="1"/>
    <w:next w:val="1"/>
    <w:link w:val="140"/>
    <w:unhideWhenUsed/>
    <w:qFormat/>
    <w:uiPriority w:val="9"/>
    <w:pPr>
      <w:keepNext/>
      <w:keepLines/>
      <w:outlineLvl w:val="2"/>
    </w:pPr>
    <w:rPr>
      <w:rFonts w:eastAsia="仿宋_GB2312" w:cstheme="majorBidi"/>
      <w:bCs/>
      <w:color w:val="000000" w:themeColor="text1"/>
      <w14:textFill>
        <w14:solidFill>
          <w14:schemeClr w14:val="tx1"/>
        </w14:solidFill>
      </w14:textFill>
    </w:rPr>
  </w:style>
  <w:style w:type="paragraph" w:styleId="6">
    <w:name w:val="heading 4"/>
    <w:basedOn w:val="1"/>
    <w:next w:val="1"/>
    <w:link w:val="150"/>
    <w:semiHidden/>
    <w:unhideWhenUsed/>
    <w:qFormat/>
    <w:uiPriority w:val="9"/>
    <w:pPr>
      <w:keepNext/>
      <w:keepLines/>
      <w:spacing w:before="20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pPr>
  </w:style>
  <w:style w:type="paragraph" w:styleId="25">
    <w:name w:val="header"/>
    <w:basedOn w:val="1"/>
    <w:link w:val="135"/>
    <w:unhideWhenUsed/>
    <w:uiPriority w:val="99"/>
    <w:pPr>
      <w:tabs>
        <w:tab w:val="center" w:pos="4680"/>
        <w:tab w:val="right" w:pos="9360"/>
      </w:tabs>
    </w:pPr>
  </w:style>
  <w:style w:type="paragraph" w:styleId="26">
    <w:name w:val="Subtitle"/>
    <w:basedOn w:val="1"/>
    <w:next w:val="1"/>
    <w:link w:val="142"/>
    <w:qFormat/>
    <w:uiPriority w:val="11"/>
    <w:pPr>
      <w:ind w:firstLine="200" w:firstLineChars="200"/>
    </w:pPr>
    <w:rPr>
      <w:rFonts w:asciiTheme="majorHAnsi" w:hAnsiTheme="majorHAnsi" w:eastAsiaTheme="majorEastAsia" w:cstheme="majorBidi"/>
      <w:i/>
      <w:iCs/>
      <w:color w:val="4F81BD" w:themeColor="accent1"/>
      <w:spacing w:val="15"/>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页眉 字符"/>
    <w:basedOn w:val="132"/>
    <w:link w:val="25"/>
    <w:uiPriority w:val="99"/>
  </w:style>
  <w:style w:type="character" w:customStyle="1" w:styleId="136">
    <w:name w:val="页脚 字符"/>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标题 1 字符"/>
    <w:basedOn w:val="132"/>
    <w:link w:val="3"/>
    <w:uiPriority w:val="9"/>
    <w:rPr>
      <w:rFonts w:ascii="Times New Roman" w:hAnsi="Times New Roman" w:eastAsia="黑体" w:cstheme="majorBidi"/>
      <w:bCs/>
      <w:color w:val="000000" w:themeColor="text1"/>
      <w:sz w:val="32"/>
      <w:szCs w:val="28"/>
      <w14:textFill>
        <w14:solidFill>
          <w14:schemeClr w14:val="tx1"/>
        </w14:solidFill>
      </w14:textFill>
    </w:rPr>
  </w:style>
  <w:style w:type="character" w:customStyle="1" w:styleId="139">
    <w:name w:val="标题 2 字符"/>
    <w:basedOn w:val="132"/>
    <w:link w:val="4"/>
    <w:uiPriority w:val="9"/>
    <w:rPr>
      <w:rFonts w:ascii="Times New Roman" w:hAnsi="Times New Roman" w:eastAsia="仿宋_GB2312" w:cstheme="majorBidi"/>
      <w:bCs/>
      <w:sz w:val="28"/>
      <w:szCs w:val="26"/>
    </w:rPr>
  </w:style>
  <w:style w:type="character" w:customStyle="1" w:styleId="140">
    <w:name w:val="标题 3 字符"/>
    <w:basedOn w:val="132"/>
    <w:link w:val="5"/>
    <w:uiPriority w:val="9"/>
    <w:rPr>
      <w:rFonts w:ascii="Times New Roman" w:hAnsi="Times New Roman" w:eastAsia="仿宋_GB2312" w:cstheme="majorBidi"/>
      <w:bCs/>
      <w:color w:val="000000" w:themeColor="text1"/>
      <w:sz w:val="28"/>
      <w14:textFill>
        <w14:solidFill>
          <w14:schemeClr w14:val="tx1"/>
        </w14:solidFill>
      </w14:textFill>
    </w:rPr>
  </w:style>
  <w:style w:type="character" w:customStyle="1" w:styleId="141">
    <w:name w:val="标题 字符"/>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副标题 字符"/>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正文文本 字符"/>
    <w:basedOn w:val="132"/>
    <w:link w:val="19"/>
    <w:uiPriority w:val="99"/>
  </w:style>
  <w:style w:type="character" w:customStyle="1" w:styleId="145">
    <w:name w:val="正文文本 2 字符"/>
    <w:basedOn w:val="132"/>
    <w:link w:val="28"/>
    <w:uiPriority w:val="99"/>
  </w:style>
  <w:style w:type="character" w:customStyle="1" w:styleId="146">
    <w:name w:val="正文文本 3 字符"/>
    <w:basedOn w:val="132"/>
    <w:link w:val="17"/>
    <w:uiPriority w:val="99"/>
    <w:rPr>
      <w:sz w:val="16"/>
      <w:szCs w:val="16"/>
    </w:rPr>
  </w:style>
  <w:style w:type="character" w:customStyle="1" w:styleId="147">
    <w:name w:val="宏文本 字符"/>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引用 字符"/>
    <w:basedOn w:val="132"/>
    <w:link w:val="148"/>
    <w:uiPriority w:val="29"/>
    <w:rPr>
      <w:i/>
      <w:iCs/>
      <w:color w:val="000000" w:themeColor="text1"/>
      <w14:textFill>
        <w14:solidFill>
          <w14:schemeClr w14:val="tx1"/>
        </w14:solidFill>
      </w14:textFill>
    </w:rPr>
  </w:style>
  <w:style w:type="character" w:customStyle="1" w:styleId="150">
    <w:name w:val="标题 4 字符"/>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标题 5 字符"/>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标题 6 字符"/>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标题 7 字符"/>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标题 8 字符"/>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标题 9 字符"/>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明显引用 字符"/>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ontractReview xmlns="http://schemas.wps.cn/vas-ai-hub/contract-review">
  <reviewItems>
    <reviewItem>
      <errorID>bb358367-0cd7-41d9-b922-20ca19e766ad</errorID>
      <errorWord>1500万-2000万</errorWord>
      <group>L1_Knowledge</group>
      <groupName>知识性问题</groupName>
      <ability>L2_Knowledge</ability>
      <abilityName>其他知识</abilityName>
      <candidateList>
        <item>1500万—2000万</item>
      </candidateList>
      <explain>1. “1500万-2000万”中的单位“万”仅出现在后一个数字上，容易引起歧义；根据《现代汉语标点符号数字用法规范手册》，数字表示范围两边需要使用统一的格式。2.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7F96652F</paraID>
      <start>8</start>
      <end>19</end>
      <status>unmodified</status>
      <modifiedWord/>
      <trackRevisions>false</trackRevisions>
    </reviewItem>
    <reviewItem>
      <errorID>d2caa1f8-05c4-481d-9268-02d928e756fe</errorID>
      <errorWord>亟需</errorWord>
      <group>L1_Word</group>
      <groupName>字词问题</groupName>
      <ability>L2_Typo</ability>
      <abilityName>字词错误</abilityName>
      <candidateList>
        <item>亟须</item>
      </candidateList>
      <explain>存在发音相同字词的误用。</explain>
      <paraID>7F96652F</paraID>
      <start>253</start>
      <end>255</end>
      <status>unmodified</status>
      <modifiedWord/>
      <trackRevisions>false</trackRevisions>
    </reviewItem>
    <reviewItem>
      <errorID>b479b6eb-2688-4e0a-b041-0968aab84f9d</errorID>
      <errorWord>羟基丁酸</errorWord>
      <group>L1_Sensitive</group>
      <groupName>敏感问题</groupName>
      <ability>L2_Prohibited</ability>
      <abilityName>违禁内容</abilityName>
      <candidateList/>
      <explain>【违禁内容】句中涉及国家法律明令禁止的违禁内容，请注意甄别。</explain>
      <paraID>4710F315</paraID>
      <start>192</start>
      <end>196</end>
      <status>unmodified</status>
      <modifiedWord/>
      <trackRevisions>false</trackRevisions>
    </reviewItem>
    <reviewItem>
      <errorID>596fd58d-3168-4572-bbdf-7f6de40aafc3</errorID>
      <errorWord>（</errorWord>
      <group>L1_Format</group>
      <groupName>格式问题</groupName>
      <ability>L2_HalfPunc_CN</ability>
      <abilityName>全半角问题</abilityName>
      <candidateList>
        <item>(</item>
      </candidateList>
      <explain>文本全半角错误。</explain>
      <paraID>68DD26E3</paraID>
      <start>0</start>
      <end>1</end>
      <status>unmodified</status>
      <modifiedWord/>
      <trackRevisions>false</trackRevisions>
    </reviewItem>
    <reviewItem>
      <errorID>0fe2633d-7bef-44f3-9ae2-1ea37331f843</errorID>
      <errorWord>）</errorWord>
      <group>L1_Format</group>
      <groupName>格式问题</groupName>
      <ability>L2_HalfPunc_CN</ability>
      <abilityName>全半角问题</abilityName>
      <candidateList>
        <item>)</item>
      </candidateList>
      <explain>文本全半角错误。</explain>
      <paraID>68DD26E3</paraID>
      <start>5</start>
      <end>6</end>
      <status>unmodified</status>
      <modifiedWord/>
      <trackRevisions>false</trackRevisions>
    </reviewItem>
    <reviewItem>
      <errorID>0175784a-1009-4bd0-82d6-5bb060898995</errorID>
      <errorWord>，</errorWord>
      <group>L1_Format</group>
      <groupName>格式问题</groupName>
      <ability>L2_HalfPunc_CN</ability>
      <abilityName>全半角问题</abilityName>
      <candidateList>
        <item>, </item>
      </candidateList>
      <explain>文本全半角错误。</explain>
      <paraID>6E0B13B8</paraID>
      <start>3</start>
      <end>4</end>
      <status>unmodified</status>
      <modifiedWord/>
      <trackRevisions>false</trackRevisions>
    </reviewItem>
    <reviewItem>
      <errorID>a30697c9-8eb2-455e-bbaa-5dc0278c9e0a</errorID>
      <errorWord>2-3个月</errorWord>
      <group>L1_Word</group>
      <groupName>字词问题</groupName>
      <ability>L2_Typo</ability>
      <abilityName>字词错误</abilityName>
      <candidateList>
        <item>2～3个月</item>
      </candidateList>
      <explain/>
      <paraID>4E70DB6C</paraID>
      <start>19</start>
      <end>24</end>
      <status>unmodified</status>
      <modifiedWord/>
      <trackRevisions>false</trackRevisions>
    </reviewItem>
    <reviewItem>
      <errorID>c51614c7-ab1c-4774-b7cd-85a16cbbfdd3</errorID>
      <errorWord>湿态环境</errorWord>
      <group>L1_Word</group>
      <groupName>字词问题</groupName>
      <ability>L2_Typo</ability>
      <abilityName>字词错误</abilityName>
      <candidateList>
        <item>生态环境</item>
      </candidateList>
      <explain/>
      <paraID>25518997</paraID>
      <start>0</start>
      <end>4</end>
      <status>unmodified</status>
      <modifiedWord/>
      <trackRevisions>false</trackRevisions>
    </reviewItem>
  </reviewItems>
  <config/>
</contractReview>
</file>

<file path=customXml/itemProps1.xml><?xml version="1.0" encoding="utf-8"?>
<ds:datastoreItem xmlns:ds="http://schemas.openxmlformats.org/officeDocument/2006/customXml" ds:itemID="{EF278816-EC6F-A645-907D-7F25AECB1D4A}">
  <ds:schemaRefs/>
</ds:datastoreItem>
</file>

<file path=customXml/itemProps2.xml><?xml version="1.0" encoding="utf-8"?>
<ds:datastoreItem xmlns:ds="http://schemas.openxmlformats.org/officeDocument/2006/customXml" ds:itemID="{62c236bd-38a0-4e06-b20d-a8e171e8543c}">
  <ds:schemaRefs/>
</ds:datastoreItem>
</file>

<file path=docProps/app.xml><?xml version="1.0" encoding="utf-8"?>
<Properties xmlns="http://schemas.openxmlformats.org/officeDocument/2006/extended-properties" xmlns:vt="http://schemas.openxmlformats.org/officeDocument/2006/docPropsVTypes">
  <Template>Normal</Template>
  <Pages>10</Pages>
  <Words>4341</Words>
  <Characters>4650</Characters>
  <Lines>65</Lines>
  <Paragraphs>18</Paragraphs>
  <TotalTime>89</TotalTime>
  <ScaleCrop>false</ScaleCrop>
  <LinksUpToDate>false</LinksUpToDate>
  <CharactersWithSpaces>4690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Julian</cp:lastModifiedBy>
  <dcterms:modified xsi:type="dcterms:W3CDTF">2026-09-29T00:44:23Z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eyJoZGlkIjoiOGI4NjI5OTBmMDM1ODFlMDkzNDFlZTFiMWNhZWU5ZTMiLCJ1c2VySWQiOiIzMDk3NTI4ODEifQ==</vt:lpwstr>
  </property>
  <property fmtid="{D5CDD505-2E9C-101B-9397-08002B2CF9AE}" pid="3" name="KSOProductBuildVer">
    <vt:lpwstr>2052-12.1.0.28043</vt:lpwstr>
  </property>
  <property fmtid="{D5CDD505-2E9C-101B-9397-08002B2CF9AE}" pid="4" name="ICV">
    <vt:lpwstr>57F41B0F6486425F864AFC0D06AD67ED_13</vt:lpwstr>
  </property>
</Properties>
</file>