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96E4A">
      <w:pPr>
        <w:pStyle w:val="134"/>
        <w:framePr w:wrap="around" w:hAnchor="page" w:x="1351" w:y="14071"/>
      </w:pPr>
      <w:bookmarkStart w:id="0" w:name="FY"/>
      <w:r>
        <w:rPr>
          <w:sz w:val="30"/>
          <w:szCs w:val="30"/>
        </w:rPr>
        <w:fldChar w:fldCharType="begin">
          <w:ffData>
            <w:name w:val="FY"/>
            <w:enabled/>
            <w:calcOnExit w:val="0"/>
            <w:textInput>
              <w:default w:val="XXXX"/>
              <w:maxLength w:val="4"/>
            </w:textInput>
          </w:ffData>
        </w:fldChar>
      </w:r>
      <w:r>
        <w:rPr>
          <w:sz w:val="30"/>
          <w:szCs w:val="30"/>
        </w:rPr>
        <w:instrText xml:space="preserve"> FORMTEXT </w:instrText>
      </w:r>
      <w:r>
        <w:rPr>
          <w:sz w:val="30"/>
          <w:szCs w:val="30"/>
        </w:rPr>
        <w:fldChar w:fldCharType="separate"/>
      </w:r>
      <w:r>
        <w:rPr>
          <w:sz w:val="30"/>
          <w:szCs w:val="30"/>
        </w:rPr>
        <w:t>XXXX</w:t>
      </w:r>
      <w:r>
        <w:rPr>
          <w:sz w:val="30"/>
          <w:szCs w:val="30"/>
        </w:rPr>
        <w:fldChar w:fldCharType="end"/>
      </w:r>
      <w:bookmarkEnd w:id="0"/>
      <w:r>
        <w:rPr>
          <w:sz w:val="30"/>
          <w:szCs w:val="30"/>
        </w:rPr>
        <w:t xml:space="preserve"> - </w:t>
      </w:r>
      <w:r>
        <w:rPr>
          <w:sz w:val="30"/>
          <w:szCs w:val="30"/>
        </w:rPr>
        <w:fldChar w:fldCharType="begin">
          <w:ffData>
            <w:name w:val="FM"/>
            <w:enabled/>
            <w:calcOnExit w:val="0"/>
            <w:textInput>
              <w:default w:val="XX"/>
              <w:maxLength w:val="2"/>
            </w:textInput>
          </w:ffData>
        </w:fldChar>
      </w:r>
      <w:r>
        <w:rPr>
          <w:sz w:val="30"/>
          <w:szCs w:val="30"/>
        </w:rPr>
        <w:instrText xml:space="preserve"> FORMTEXT </w:instrText>
      </w:r>
      <w:r>
        <w:rPr>
          <w:sz w:val="30"/>
          <w:szCs w:val="30"/>
        </w:rPr>
        <w:fldChar w:fldCharType="separate"/>
      </w:r>
      <w:r>
        <w:rPr>
          <w:sz w:val="30"/>
          <w:szCs w:val="30"/>
        </w:rPr>
        <w:t>XX</w:t>
      </w:r>
      <w:r>
        <w:rPr>
          <w:sz w:val="30"/>
          <w:szCs w:val="30"/>
        </w:rPr>
        <w:fldChar w:fldCharType="end"/>
      </w:r>
      <w:r>
        <w:rPr>
          <w:sz w:val="30"/>
          <w:szCs w:val="30"/>
        </w:rPr>
        <w:t xml:space="preserve"> - </w:t>
      </w:r>
      <w:bookmarkStart w:id="1" w:name="FD"/>
      <w:r>
        <w:rPr>
          <w:sz w:val="30"/>
          <w:szCs w:val="30"/>
        </w:rPr>
        <w:fldChar w:fldCharType="begin">
          <w:ffData>
            <w:name w:val="FD"/>
            <w:enabled/>
            <w:calcOnExit w:val="0"/>
            <w:textInput>
              <w:default w:val="XX"/>
              <w:maxLength w:val="2"/>
            </w:textInput>
          </w:ffData>
        </w:fldChar>
      </w:r>
      <w:r>
        <w:rPr>
          <w:sz w:val="30"/>
          <w:szCs w:val="30"/>
        </w:rPr>
        <w:instrText xml:space="preserve"> FORMTEXT </w:instrText>
      </w:r>
      <w:r>
        <w:rPr>
          <w:sz w:val="30"/>
          <w:szCs w:val="30"/>
        </w:rPr>
        <w:fldChar w:fldCharType="separate"/>
      </w:r>
      <w:r>
        <w:rPr>
          <w:sz w:val="30"/>
          <w:szCs w:val="30"/>
        </w:rPr>
        <w:t>XX</w:t>
      </w:r>
      <w:r>
        <w:rPr>
          <w:sz w:val="30"/>
          <w:szCs w:val="30"/>
        </w:rPr>
        <w:fldChar w:fldCharType="end"/>
      </w:r>
      <w:bookmarkEnd w:id="1"/>
      <w:r>
        <w:rPr>
          <w:sz w:val="30"/>
          <w:szCs w:val="30"/>
        </w:rPr>
        <w:t>发布</w:t>
      </w:r>
      <w:r>
        <mc:AlternateContent>
          <mc:Choice Requires="wps">
            <w:drawing>
              <wp:anchor distT="0" distB="0" distL="114300" distR="114300" simplePos="0" relativeHeight="251659264" behindDoc="0" locked="1" layoutInCell="1" allowOverlap="1">
                <wp:simplePos x="0" y="0"/>
                <wp:positionH relativeFrom="column">
                  <wp:posOffset>-635</wp:posOffset>
                </wp:positionH>
                <wp:positionV relativeFrom="page">
                  <wp:posOffset>9251950</wp:posOffset>
                </wp:positionV>
                <wp:extent cx="6120130" cy="0"/>
                <wp:effectExtent l="8890" t="12700" r="5080" b="6350"/>
                <wp:wrapNone/>
                <wp:docPr id="43" name="Line 10"/>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10" o:spid="_x0000_s1026" o:spt="20" style="position:absolute;left:0pt;margin-left:-0.05pt;margin-top:728.5pt;height:0pt;width:481.9pt;mso-position-vertical-relative:page;z-index:251659264;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WHazzWAAAACwEAAA8AAAAAAAAAAQAgAAAAIgAAAGRycy9k&#10;b3ducmV2LnhtbFBLAQIUABQAAAAIAIdO4kDewLGAywEAAKEDAAAOAAAAAAAAAAEAIAAAACUBAABk&#10;cnMvZTJvRG9jLnhtbFBLBQYAAAAABgAGAFkBAABiBQAAAAA=&#10;">
                <v:fill on="f" focussize="0,0"/>
                <v:stroke color="#000000" joinstyle="round"/>
                <v:imagedata o:title=""/>
                <o:lock v:ext="edit" aspectratio="f"/>
                <w10:anchorlock/>
              </v:line>
            </w:pict>
          </mc:Fallback>
        </mc:AlternateContent>
      </w:r>
    </w:p>
    <w:p w14:paraId="4B48DB1C">
      <w:pPr>
        <w:pStyle w:val="135"/>
        <w:framePr w:wrap="around" w:hAnchor="page" w:x="6931" w:y="13981"/>
        <w:rPr>
          <w:sz w:val="30"/>
          <w:szCs w:val="30"/>
        </w:rPr>
      </w:pPr>
      <w:bookmarkStart w:id="2" w:name="SY"/>
      <w:r>
        <w:rPr>
          <w:sz w:val="30"/>
          <w:szCs w:val="30"/>
        </w:rPr>
        <w:fldChar w:fldCharType="begin">
          <w:ffData>
            <w:name w:val="SY"/>
            <w:enabled/>
            <w:calcOnExit w:val="0"/>
            <w:textInput>
              <w:default w:val="XXXX"/>
              <w:maxLength w:val="4"/>
            </w:textInput>
          </w:ffData>
        </w:fldChar>
      </w:r>
      <w:r>
        <w:rPr>
          <w:sz w:val="30"/>
          <w:szCs w:val="30"/>
        </w:rPr>
        <w:instrText xml:space="preserve"> FORMTEXT </w:instrText>
      </w:r>
      <w:r>
        <w:rPr>
          <w:sz w:val="30"/>
          <w:szCs w:val="30"/>
        </w:rPr>
        <w:fldChar w:fldCharType="separate"/>
      </w:r>
      <w:r>
        <w:rPr>
          <w:sz w:val="30"/>
          <w:szCs w:val="30"/>
        </w:rPr>
        <w:t>XXXX</w:t>
      </w:r>
      <w:r>
        <w:rPr>
          <w:sz w:val="30"/>
          <w:szCs w:val="30"/>
        </w:rPr>
        <w:fldChar w:fldCharType="end"/>
      </w:r>
      <w:bookmarkEnd w:id="2"/>
      <w:r>
        <w:rPr>
          <w:sz w:val="30"/>
          <w:szCs w:val="30"/>
        </w:rPr>
        <w:t xml:space="preserve"> - </w:t>
      </w:r>
      <w:bookmarkStart w:id="3" w:name="SM"/>
      <w:r>
        <w:rPr>
          <w:sz w:val="30"/>
          <w:szCs w:val="30"/>
        </w:rPr>
        <w:fldChar w:fldCharType="begin">
          <w:ffData>
            <w:name w:val="SM"/>
            <w:enabled/>
            <w:calcOnExit w:val="0"/>
            <w:textInput>
              <w:default w:val="XX"/>
              <w:maxLength w:val="2"/>
            </w:textInput>
          </w:ffData>
        </w:fldChar>
      </w:r>
      <w:r>
        <w:rPr>
          <w:sz w:val="30"/>
          <w:szCs w:val="30"/>
        </w:rPr>
        <w:instrText xml:space="preserve"> FORMTEXT </w:instrText>
      </w:r>
      <w:r>
        <w:rPr>
          <w:sz w:val="30"/>
          <w:szCs w:val="30"/>
        </w:rPr>
        <w:fldChar w:fldCharType="separate"/>
      </w:r>
      <w:r>
        <w:rPr>
          <w:sz w:val="30"/>
          <w:szCs w:val="30"/>
        </w:rPr>
        <w:t>XX</w:t>
      </w:r>
      <w:r>
        <w:rPr>
          <w:sz w:val="30"/>
          <w:szCs w:val="30"/>
        </w:rPr>
        <w:fldChar w:fldCharType="end"/>
      </w:r>
      <w:bookmarkEnd w:id="3"/>
      <w:r>
        <w:rPr>
          <w:sz w:val="30"/>
          <w:szCs w:val="30"/>
        </w:rPr>
        <w:t xml:space="preserve"> - </w:t>
      </w:r>
      <w:bookmarkStart w:id="4" w:name="SD"/>
      <w:r>
        <w:rPr>
          <w:sz w:val="30"/>
          <w:szCs w:val="30"/>
        </w:rPr>
        <w:fldChar w:fldCharType="begin">
          <w:ffData>
            <w:name w:val="SD"/>
            <w:enabled/>
            <w:calcOnExit w:val="0"/>
            <w:textInput>
              <w:default w:val="XX"/>
              <w:maxLength w:val="2"/>
            </w:textInput>
          </w:ffData>
        </w:fldChar>
      </w:r>
      <w:r>
        <w:rPr>
          <w:sz w:val="30"/>
          <w:szCs w:val="30"/>
        </w:rPr>
        <w:instrText xml:space="preserve"> FORMTEXT </w:instrText>
      </w:r>
      <w:r>
        <w:rPr>
          <w:sz w:val="30"/>
          <w:szCs w:val="30"/>
        </w:rPr>
        <w:fldChar w:fldCharType="separate"/>
      </w:r>
      <w:r>
        <w:rPr>
          <w:sz w:val="30"/>
          <w:szCs w:val="30"/>
        </w:rPr>
        <w:t>XX</w:t>
      </w:r>
      <w:r>
        <w:rPr>
          <w:sz w:val="30"/>
          <w:szCs w:val="30"/>
        </w:rPr>
        <w:fldChar w:fldCharType="end"/>
      </w:r>
      <w:bookmarkEnd w:id="4"/>
      <w:r>
        <w:rPr>
          <w:sz w:val="30"/>
          <w:szCs w:val="30"/>
        </w:rPr>
        <w:t>实施</w:t>
      </w:r>
    </w:p>
    <w:p w14:paraId="450A8CED">
      <w:pPr>
        <w:pStyle w:val="115"/>
        <w:framePr w:wrap="around"/>
        <w:rPr>
          <w:rFonts w:ascii="Times New Roman"/>
        </w:rPr>
      </w:pPr>
      <w:r>
        <w:rPr>
          <w:rFonts w:hint="eastAsia" w:asciiTheme="majorEastAsia" w:hAnsiTheme="majorEastAsia" w:eastAsiaTheme="majorEastAsia"/>
          <w:sz w:val="30"/>
          <w:szCs w:val="30"/>
        </w:rPr>
        <w:t xml:space="preserve">中国生物材料学会   </w:t>
      </w:r>
      <w:r>
        <w:rPr>
          <w:rStyle w:val="77"/>
          <w:rFonts w:ascii="Times New Roman"/>
          <w:sz w:val="30"/>
          <w:szCs w:val="30"/>
        </w:rPr>
        <w:t>发布</w:t>
      </w:r>
    </w:p>
    <w:p w14:paraId="40CD2C13">
      <w:pPr>
        <w:pStyle w:val="83"/>
        <w:framePr w:wrap="around"/>
        <w:spacing w:before="156" w:after="156" w:line="240" w:lineRule="auto"/>
        <w:rPr>
          <w:rFonts w:ascii="黑体"/>
          <w:sz w:val="52"/>
          <w:szCs w:val="20"/>
        </w:rPr>
      </w:pPr>
      <w:bookmarkStart w:id="5" w:name="OLE_LINK23"/>
      <w:bookmarkStart w:id="6" w:name="YZBS"/>
      <w:bookmarkStart w:id="94" w:name="_GoBack"/>
      <w:r>
        <w:rPr>
          <w:rFonts w:ascii="黑体"/>
          <w:sz w:val="48"/>
          <w:szCs w:val="18"/>
        </w:rPr>
        <w:t>外科植入物 可吸收接骨板弯曲疲劳测试方法</w:t>
      </w:r>
      <w:bookmarkEnd w:id="94"/>
    </w:p>
    <w:bookmarkEnd w:id="5"/>
    <w:p w14:paraId="1A20B5CA">
      <w:pPr>
        <w:pStyle w:val="83"/>
        <w:framePr w:wrap="around"/>
        <w:spacing w:before="156" w:after="156"/>
        <w:rPr>
          <w:sz w:val="36"/>
          <w:szCs w:val="36"/>
        </w:rPr>
      </w:pPr>
      <w:r>
        <w:rPr>
          <w:sz w:val="36"/>
          <w:szCs w:val="36"/>
        </w:rPr>
        <w:t>Implants for surgery—Test method for bending fatigue of bioresorbable bone plates</w:t>
      </w:r>
    </w:p>
    <w:bookmarkEnd w:id="6"/>
    <w:tbl>
      <w:tblPr>
        <w:tblStyle w:val="34"/>
        <w:tblW w:w="98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14:paraId="0E1CE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14:paraId="73EAB489">
            <w:pPr>
              <w:pStyle w:val="83"/>
              <w:framePr w:wrap="around"/>
              <w:spacing w:before="156" w:after="156"/>
            </w:pPr>
            <w:r>
              <mc:AlternateContent>
                <mc:Choice Requires="wps">
                  <w:drawing>
                    <wp:anchor distT="0" distB="0" distL="114300" distR="114300" simplePos="0" relativeHeight="251661312" behindDoc="1" locked="1" layoutInCell="1" allowOverlap="1">
                      <wp:simplePos x="0" y="0"/>
                      <wp:positionH relativeFrom="column">
                        <wp:posOffset>2200910</wp:posOffset>
                      </wp:positionH>
                      <wp:positionV relativeFrom="paragraph">
                        <wp:posOffset>573405</wp:posOffset>
                      </wp:positionV>
                      <wp:extent cx="1905000" cy="254000"/>
                      <wp:effectExtent l="635" t="1905" r="0" b="1270"/>
                      <wp:wrapNone/>
                      <wp:docPr id="45" name="RQ"/>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RQ" o:spid="_x0000_s1026" o:spt="1" style="position:absolute;left:0pt;margin-left:173.3pt;margin-top:45.15pt;height:20pt;width:150pt;z-index:-251655168;mso-width-relative:page;mso-height-relative:page;" fillcolor="#FFFFFF" filled="t" stroked="f" coordsize="21600,21600" o:gfxdata="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YmuktUAAAAKAQAADwAAAAAAAAABACAAAAAiAAAA&#10;ZHJzL2Rvd25yZXYueG1sUEsBAhQAFAAAAAgAh07iQOlIXzMKAgAAIQQAAA4AAAAAAAAAAQAgAAAA&#10;JAEAAGRycy9lMm9Eb2MueG1sUEsFBgAAAAAGAAYAWQEAAKAFAAAAAA==&#10;">
                      <v:fill on="t" focussize="0,0"/>
                      <v:stroke on="f"/>
                      <v:imagedata o:title=""/>
                      <o:lock v:ext="edit" aspectratio="f"/>
                      <w10:anchorlock/>
                    </v:rect>
                  </w:pict>
                </mc:Fallback>
              </mc:AlternateContent>
            </w:r>
            <w:r>
              <w:rPr>
                <w:rFonts w:hint="eastAsia"/>
              </w:rPr>
              <w:t>（征求意见稿）</w:t>
            </w:r>
          </w:p>
        </w:tc>
      </w:tr>
      <w:tr w14:paraId="11235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14:paraId="05F48873">
            <w:pPr>
              <w:pStyle w:val="86"/>
              <w:framePr w:wrap="around"/>
              <w:spacing w:before="312" w:after="312"/>
              <w:rPr>
                <w:rFonts w:ascii="Times New Roman"/>
              </w:rPr>
            </w:pPr>
          </w:p>
        </w:tc>
      </w:tr>
    </w:tbl>
    <w:tbl>
      <w:tblPr>
        <w:tblStyle w:val="35"/>
        <w:tblW w:w="98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36"/>
        <w:gridCol w:w="9319"/>
      </w:tblGrid>
      <w:tr w14:paraId="77ED7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4E83E01">
            <w:pPr>
              <w:pStyle w:val="19"/>
              <w:framePr w:wrap="notBeside" w:vAnchor="page" w:hAnchor="page" w:x="1372" w:y="568"/>
              <w:rPr>
                <w:rFonts w:ascii="宋体" w:eastAsiaTheme="minorEastAsia"/>
                <w:color w:val="000000" w:themeColor="text1"/>
                <w:sz w:val="21"/>
                <w:szCs w:val="21"/>
                <w14:textFill>
                  <w14:solidFill>
                    <w14:schemeClr w14:val="tx1"/>
                  </w14:solidFill>
                </w14:textFill>
              </w:rPr>
            </w:pPr>
            <w:r>
              <w:rPr>
                <w:rFonts w:ascii="宋体" w:eastAsiaTheme="minorEastAsia"/>
                <w:color w:val="000000" w:themeColor="text1"/>
                <w:sz w:val="21"/>
                <w:szCs w:val="21"/>
                <w14:textFill>
                  <w14:solidFill>
                    <w14:schemeClr w14:val="tx1"/>
                  </w14:solidFill>
                </w14:textFill>
              </w:rPr>
              <w:t>ICS</w:t>
            </w:r>
          </w:p>
        </w:tc>
        <w:tc>
          <w:tcPr>
            <w:tcW w:w="8855" w:type="dxa"/>
          </w:tcPr>
          <w:p w14:paraId="2C9F5786">
            <w:pPr>
              <w:pStyle w:val="19"/>
              <w:framePr w:wrap="notBeside" w:vAnchor="page" w:hAnchor="page" w:x="1372" w:y="568"/>
              <w:jc w:val="both"/>
              <w:rPr>
                <w:rFonts w:ascii="宋体" w:eastAsiaTheme="minorEastAsia"/>
                <w:sz w:val="21"/>
                <w:szCs w:val="21"/>
              </w:rPr>
            </w:pPr>
            <w:r>
              <w:rPr>
                <w:rFonts w:ascii="宋体" w:eastAsiaTheme="minorEastAsia"/>
                <w:sz w:val="21"/>
                <w:szCs w:val="21"/>
              </w:rPr>
              <w:t>11.040.40</w:t>
            </w:r>
          </w:p>
        </w:tc>
      </w:tr>
      <w:tr w14:paraId="5CA9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14:paraId="6C999DD1">
            <w:pPr>
              <w:pStyle w:val="19"/>
              <w:framePr w:wrap="notBeside" w:vAnchor="page" w:hAnchor="page" w:x="1372" w:y="568"/>
              <w:spacing w:before="40"/>
              <w:rPr>
                <w:rFonts w:ascii="宋体" w:eastAsiaTheme="minorEastAsia"/>
                <w:color w:val="000000" w:themeColor="text1"/>
                <w:sz w:val="21"/>
                <w:szCs w:val="21"/>
                <w14:textFill>
                  <w14:solidFill>
                    <w14:schemeClr w14:val="tx1"/>
                  </w14:solidFill>
                </w14:textFill>
              </w:rPr>
            </w:pPr>
            <w:r>
              <w:rPr>
                <w:rFonts w:ascii="宋体" w:eastAsiaTheme="minorEastAsia"/>
                <w:color w:val="000000" w:themeColor="text1"/>
                <w:sz w:val="21"/>
                <w:szCs w:val="21"/>
                <w14:textFill>
                  <w14:solidFill>
                    <w14:schemeClr w14:val="tx1"/>
                  </w14:solidFill>
                </w14:textFill>
              </w:rPr>
              <w:t>CCS</w:t>
            </w:r>
          </w:p>
        </w:tc>
        <w:tc>
          <w:tcPr>
            <w:tcW w:w="8855" w:type="dxa"/>
          </w:tcPr>
          <w:p w14:paraId="5C484C71">
            <w:pPr>
              <w:pStyle w:val="7"/>
              <w:framePr w:wrap="notBeside" w:vAnchor="page" w:hAnchor="page" w:x="1372" w:y="568"/>
              <w:rPr>
                <w:rFonts w:ascii="宋体" w:eastAsiaTheme="minorEastAsia"/>
                <w:szCs w:val="21"/>
              </w:rPr>
            </w:pPr>
            <w:r>
              <w:rPr>
                <w:rFonts w:ascii="宋体" w:eastAsiaTheme="minorEastAsia"/>
                <w:szCs w:val="21"/>
              </w:rPr>
              <w:t>C35</w:t>
            </w:r>
          </w:p>
        </w:tc>
      </w:tr>
    </w:tbl>
    <w:tbl>
      <w:tblPr>
        <w:tblStyle w:val="35"/>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1"/>
      </w:tblGrid>
      <w:tr w14:paraId="3AD4CD6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61" w:type="dxa"/>
          </w:tcPr>
          <w:p w14:paraId="6AA44415">
            <w:pPr>
              <w:pStyle w:val="70"/>
              <w:framePr w:w="0" w:hRule="auto" w:hSpace="0" w:vSpace="0" w:wrap="auto" w:vAnchor="margin" w:hAnchor="text" w:xAlign="left" w:yAlign="inline"/>
              <w:rPr>
                <w:rFonts w:ascii="宋体" w:hAnsi="宋体"/>
                <w:color w:val="000000" w:themeColor="text1"/>
                <w:sz w:val="28"/>
                <w:szCs w:val="28"/>
                <w14:textFill>
                  <w14:solidFill>
                    <w14:schemeClr w14:val="tx1"/>
                  </w14:solidFill>
                </w14:textFill>
              </w:rPr>
            </w:pPr>
            <w:r>
              <w:rPr>
                <w:rFonts w:ascii="宋体"/>
                <w:color w:val="000000" w:themeColor="text1"/>
                <w14:textFill>
                  <w14:solidFill>
                    <w14:schemeClr w14:val="tx1"/>
                  </w14:solidFill>
                </w14:textFill>
              </w:rPr>
              <w:t>T</w:t>
            </w:r>
            <w:r>
              <w:rPr>
                <w:rFonts w:hint="eastAsia" w:ascii="宋体"/>
                <w:color w:val="000000" w:themeColor="text1"/>
                <w14:textFill>
                  <w14:solidFill>
                    <w14:schemeClr w14:val="tx1"/>
                  </w14:solidFill>
                </w14:textFill>
              </w:rPr>
              <w:t>/</w:t>
            </w:r>
            <w:r>
              <w:rPr>
                <w:rFonts w:ascii="宋体"/>
                <w:color w:val="000000" w:themeColor="text1"/>
                <w14:textFill>
                  <w14:solidFill>
                    <w14:schemeClr w14:val="tx1"/>
                  </w14:solidFill>
                </w14:textFill>
              </w:rPr>
              <w:t>CSBM</w:t>
            </w:r>
          </w:p>
        </w:tc>
      </w:tr>
    </w:tbl>
    <w:p w14:paraId="10D86786">
      <w:pPr>
        <w:pStyle w:val="71"/>
        <w:framePr w:wrap="around" w:x="1305" w:y="2269"/>
        <w:rPr>
          <w:rFonts w:ascii="黑体" w:hAnsi="黑体" w:eastAsia="黑体"/>
          <w:b w:val="0"/>
          <w:bCs w:val="0"/>
          <w:color w:val="000000" w:themeColor="text1"/>
          <w:w w:val="100"/>
          <w:szCs w:val="48"/>
          <w14:textFill>
            <w14:solidFill>
              <w14:schemeClr w14:val="tx1"/>
            </w14:solidFill>
          </w14:textFill>
        </w:rPr>
      </w:pPr>
      <w:r>
        <w:rPr>
          <w:rFonts w:hint="eastAsia" w:ascii="黑体" w:hAnsi="黑体" w:eastAsia="黑体"/>
          <w:b w:val="0"/>
          <w:bCs w:val="0"/>
          <w:color w:val="000000" w:themeColor="text1"/>
          <w:w w:val="100"/>
          <w:szCs w:val="48"/>
          <w14:textFill>
            <w14:solidFill>
              <w14:schemeClr w14:val="tx1"/>
            </w14:solidFill>
          </w14:textFill>
        </w:rPr>
        <w:t>团体标准</w:t>
      </w:r>
    </w:p>
    <w:p w14:paraId="59082C43">
      <w:pPr>
        <w:pStyle w:val="161"/>
        <w:framePr/>
        <w:rPr>
          <w:rFonts w:hint="eastAsia" w:hAnsi="黑体" w:eastAsia="黑体"/>
          <w:color w:val="000000" w:themeColor="text1"/>
          <w:lang w:eastAsia="zh-CN"/>
          <w14:textFill>
            <w14:solidFill>
              <w14:schemeClr w14:val="tx1"/>
            </w14:solidFill>
          </w14:textFill>
        </w:rPr>
      </w:pPr>
      <w:r>
        <w:rPr>
          <w:rFonts w:hAnsi="黑体"/>
          <w:color w:val="000000" w:themeColor="text1"/>
          <w14:textFill>
            <w14:solidFill>
              <w14:schemeClr w14:val="tx1"/>
            </w14:solidFill>
          </w14:textFill>
        </w:rPr>
        <w:t xml:space="preserve">T/CSBM </w:t>
      </w:r>
      <w:r>
        <w:rPr>
          <w:rFonts w:hint="eastAsia" w:hAnsi="黑体"/>
          <w:color w:val="000000" w:themeColor="text1"/>
          <w:lang w:val="en-US" w:eastAsia="zh-CN"/>
          <w14:textFill>
            <w14:solidFill>
              <w14:schemeClr w14:val="tx1"/>
            </w14:solidFill>
          </w14:textFill>
        </w:rPr>
        <w:t>XXXX</w:t>
      </w:r>
      <w:r>
        <w:rPr>
          <w:rFonts w:hAnsi="黑体"/>
          <w:color w:val="000000" w:themeColor="text1"/>
          <w14:textFill>
            <w14:solidFill>
              <w14:schemeClr w14:val="tx1"/>
            </w14:solidFill>
          </w14:textFill>
        </w:rPr>
        <w:t>—</w:t>
      </w:r>
      <w:r>
        <w:rPr>
          <w:rFonts w:hint="eastAsia" w:hAnsi="黑体"/>
          <w:color w:val="000000" w:themeColor="text1"/>
          <w:lang w:val="en-US" w:eastAsia="zh-CN"/>
          <w14:textFill>
            <w14:solidFill>
              <w14:schemeClr w14:val="tx1"/>
            </w14:solidFill>
          </w14:textFill>
        </w:rPr>
        <w:t>XXXX</w:t>
      </w:r>
    </w:p>
    <w:p w14:paraId="2996E31A">
      <w:pPr>
        <w:pStyle w:val="162"/>
        <w:framePr/>
        <w:rPr>
          <w:rFonts w:hAnsi="黑体"/>
          <w:color w:val="000000" w:themeColor="text1"/>
          <w14:textFill>
            <w14:solidFill>
              <w14:schemeClr w14:val="tx1"/>
            </w14:solidFill>
          </w14:textFill>
        </w:rPr>
      </w:pPr>
      <w:r>
        <w:rPr>
          <w:rFonts w:hAnsi="黑体"/>
          <w:color w:val="000000" w:themeColor="text1"/>
          <w14:textFill>
            <w14:solidFill>
              <w14:schemeClr w14:val="tx1"/>
            </w14:solidFill>
          </w14:textFill>
        </w:rPr>
        <w:fldChar w:fldCharType="begin">
          <w:ffData>
            <w:name w:val="OSTD_CODE"/>
            <w:enabled/>
            <w:calcOnExit w:val="0"/>
            <w:textInput/>
          </w:ffData>
        </w:fldChar>
      </w:r>
      <w:bookmarkStart w:id="7" w:name="OSTD_CODE"/>
      <w:r>
        <w:rPr>
          <w:rFonts w:hAnsi="黑体"/>
          <w:color w:val="000000" w:themeColor="text1"/>
          <w14:textFill>
            <w14:solidFill>
              <w14:schemeClr w14:val="tx1"/>
            </w14:solidFill>
          </w14:textFill>
        </w:rPr>
        <w:instrText xml:space="preserve"> FORMTEXT </w:instrText>
      </w:r>
      <w:r>
        <w:rPr>
          <w:rFonts w:hAnsi="黑体"/>
          <w:color w:val="000000" w:themeColor="text1"/>
          <w14:textFill>
            <w14:solidFill>
              <w14:schemeClr w14:val="tx1"/>
            </w14:solidFill>
          </w14:textFill>
        </w:rPr>
        <w:fldChar w:fldCharType="separate"/>
      </w:r>
      <w:r>
        <w:rPr>
          <w:rFonts w:hAnsi="黑体"/>
          <w:color w:val="000000" w:themeColor="text1"/>
          <w14:textFill>
            <w14:solidFill>
              <w14:schemeClr w14:val="tx1"/>
            </w14:solidFill>
          </w14:textFill>
        </w:rPr>
        <w:t>     </w:t>
      </w:r>
      <w:r>
        <w:rPr>
          <w:rFonts w:hAnsi="黑体"/>
          <w:color w:val="000000" w:themeColor="text1"/>
          <w14:textFill>
            <w14:solidFill>
              <w14:schemeClr w14:val="tx1"/>
            </w14:solidFill>
          </w14:textFill>
        </w:rPr>
        <w:fldChar w:fldCharType="end"/>
      </w:r>
      <w:bookmarkEnd w:id="7"/>
    </w:p>
    <w:p w14:paraId="1C933157">
      <w:pPr>
        <w:pStyle w:val="24"/>
        <w:rPr>
          <w:rFonts w:ascii="Times New Roman"/>
        </w:rPr>
        <w:sectPr>
          <w:footerReference r:id="rId3" w:type="even"/>
          <w:pgSz w:w="11906" w:h="16838"/>
          <w:pgMar w:top="567" w:right="1134" w:bottom="1134" w:left="1417" w:header="0" w:footer="0" w:gutter="0"/>
          <w:pgNumType w:start="1"/>
          <w:cols w:space="425" w:num="1"/>
          <w:docGrid w:type="lines" w:linePitch="312" w:charSpace="0"/>
        </w:sectPr>
      </w:pPr>
      <w:r>
        <w:rPr>
          <w:rFonts w:ascii="Times New Roman"/>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2339975</wp:posOffset>
                </wp:positionV>
                <wp:extent cx="6120130" cy="0"/>
                <wp:effectExtent l="8890" t="6350" r="5080" b="12700"/>
                <wp:wrapNone/>
                <wp:docPr id="42" name="Line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Line 11" o:spid="_x0000_s1026" o:spt="20" style="position:absolute;left:0pt;margin-left:-0.05pt;margin-top:184.25pt;height:0pt;width:481.9pt;z-index:251660288;mso-width-relative:page;mso-height-relative:page;" filled="f" stroked="t" coordsize="21600,21600" o:gfxdata="UEsDBAoAAAAAAIdO4kAAAAAAAAAAAAAAAAAEAAAAZHJzL1BLAwQUAAAACACHTuJAQkHiX9cAAAAJ&#10;AQAADwAAAGRycy9kb3ducmV2LnhtbE2PzU7DMBCE70h9B2uRuFStnUaE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kHiX9cAAAAJAQAADwAAAAAAAAABACAAAAAiAAAAZHJzL2Rv&#10;d25yZXYueG1sUEsBAhQAFAAAAAgAh07iQFi0IyfJAQAAoQMAAA4AAAAAAAAAAQAgAAAAJgEAAGRy&#10;cy9lMm9Eb2MueG1sUEsFBgAAAAAGAAYAWQEAAGEFAAAAAA==&#10;">
                <v:fill on="f" focussize="0,0"/>
                <v:stroke color="#000000" joinstyle="round"/>
                <v:imagedata o:title=""/>
                <o:lock v:ext="edit" aspectratio="f"/>
              </v:line>
            </w:pict>
          </mc:Fallback>
        </mc:AlternateContent>
      </w:r>
    </w:p>
    <w:p w14:paraId="55D8A8BA">
      <w:pPr>
        <w:pStyle w:val="54"/>
        <w:rPr>
          <w:rFonts w:ascii="Times New Roman"/>
        </w:rPr>
      </w:pPr>
      <w:bookmarkStart w:id="8" w:name="_Toc340491278"/>
      <w:bookmarkStart w:id="9" w:name="_Toc354142627"/>
      <w:bookmarkStart w:id="10" w:name="_Toc354142267"/>
      <w:bookmarkStart w:id="11" w:name="_Toc342589523"/>
      <w:bookmarkStart w:id="12" w:name="_Toc338754584"/>
      <w:bookmarkStart w:id="13" w:name="_Toc338060690"/>
      <w:bookmarkStart w:id="14" w:name="_Toc338685857"/>
      <w:bookmarkStart w:id="15" w:name="_Toc338060633"/>
      <w:bookmarkStart w:id="16" w:name="_Toc342665737"/>
      <w:bookmarkStart w:id="17" w:name="_Toc354142462"/>
      <w:bookmarkStart w:id="18" w:name="_Toc358964227"/>
      <w:bookmarkStart w:id="19" w:name="_Toc374444820"/>
      <w:bookmarkStart w:id="20" w:name="_Toc338604798"/>
      <w:bookmarkStart w:id="21" w:name="_Toc343596936"/>
      <w:bookmarkStart w:id="22" w:name="_Toc398301037"/>
      <w:r>
        <w:rPr>
          <w:rFonts w:ascii="Times New Roman"/>
        </w:rPr>
        <w:t>目</w:t>
      </w:r>
      <w:bookmarkStart w:id="23" w:name="BKML"/>
      <w:r>
        <w:rPr>
          <w:rFonts w:ascii="Times New Roman"/>
        </w:rPr>
        <w:t>  次</w:t>
      </w:r>
      <w:bookmarkEnd w:id="23"/>
    </w:p>
    <w:p w14:paraId="4B3474A3">
      <w:pPr>
        <w:pStyle w:val="20"/>
        <w:spacing w:before="78" w:after="78"/>
        <w:rPr>
          <w:rFonts w:asciiTheme="minorHAnsi" w:hAnsiTheme="minorHAnsi" w:eastAsiaTheme="minorEastAsia" w:cstheme="minorBidi"/>
          <w:sz w:val="22"/>
          <w:szCs w:val="24"/>
          <w14:ligatures w14:val="standardContextual"/>
        </w:rPr>
      </w:pPr>
      <w:r>
        <w:rPr>
          <w:rFonts w:ascii="Times New Roman"/>
        </w:rPr>
        <w:fldChar w:fldCharType="begin"/>
      </w:r>
      <w:r>
        <w:rPr>
          <w:rFonts w:ascii="Times New Roman"/>
        </w:rPr>
        <w:instrText xml:space="preserve"> TOC \h \z \t "前言、引言标题,1,参考文献、索引标题,1,章标题,1,参考文献,1,附录标识,1" </w:instrText>
      </w:r>
      <w:r>
        <w:rPr>
          <w:rFonts w:ascii="Times New Roman"/>
        </w:rPr>
        <w:fldChar w:fldCharType="separate"/>
      </w:r>
      <w:r>
        <w:fldChar w:fldCharType="begin"/>
      </w:r>
      <w:r>
        <w:instrText xml:space="preserve"> HYPERLINK \l "_Toc239967594" </w:instrText>
      </w:r>
      <w:r>
        <w:fldChar w:fldCharType="separate"/>
      </w:r>
      <w:r>
        <w:rPr>
          <w:rStyle w:val="42"/>
          <w:rFonts w:ascii="Times New Roman"/>
        </w:rPr>
        <w:t>前  言</w:t>
      </w:r>
      <w:r>
        <w:tab/>
      </w:r>
      <w:r>
        <w:fldChar w:fldCharType="begin"/>
      </w:r>
      <w:r>
        <w:instrText xml:space="preserve"> PAGEREF _Toc239967594 \h </w:instrText>
      </w:r>
      <w:r>
        <w:fldChar w:fldCharType="separate"/>
      </w:r>
      <w:r>
        <w:t>II</w:t>
      </w:r>
      <w:r>
        <w:fldChar w:fldCharType="end"/>
      </w:r>
      <w:r>
        <w:fldChar w:fldCharType="end"/>
      </w:r>
    </w:p>
    <w:p w14:paraId="366B7300">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"_Toc239967595" </w:instrText>
      </w:r>
      <w:r>
        <w:fldChar w:fldCharType="separate"/>
      </w:r>
      <w:r>
        <w:rPr>
          <w:rStyle w:val="42"/>
        </w:rPr>
        <w:t>引   言</w:t>
      </w:r>
      <w:r>
        <w:tab/>
      </w:r>
      <w:r>
        <w:fldChar w:fldCharType="begin"/>
      </w:r>
      <w:r>
        <w:instrText xml:space="preserve"> PAGEREF _Toc239967595 \h </w:instrText>
      </w:r>
      <w:r>
        <w:fldChar w:fldCharType="separate"/>
      </w:r>
      <w:r>
        <w:t>III</w:t>
      </w:r>
      <w:r>
        <w:fldChar w:fldCharType="end"/>
      </w:r>
      <w:r>
        <w:fldChar w:fldCharType="end"/>
      </w:r>
    </w:p>
    <w:p w14:paraId="532789AF">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"_Toc239967596" </w:instrText>
      </w:r>
      <w:r>
        <w:fldChar w:fldCharType="separate"/>
      </w:r>
      <w:r>
        <w:rPr>
          <w:rStyle w:val="42"/>
        </w:rPr>
        <w:t>1</w:t>
      </w:r>
      <w:r>
        <w:rPr>
          <w:rStyle w:val="42"/>
          <w:rFonts w:ascii="Times New Roman"/>
        </w:rPr>
        <w:t xml:space="preserve"> 范围</w:t>
      </w:r>
      <w:r>
        <w:tab/>
      </w:r>
      <w:r>
        <w:fldChar w:fldCharType="begin"/>
      </w:r>
      <w:r>
        <w:instrText xml:space="preserve"> PAGEREF _Toc239967596 \h </w:instrText>
      </w:r>
      <w:r>
        <w:fldChar w:fldCharType="separate"/>
      </w:r>
      <w:r>
        <w:t>1</w:t>
      </w:r>
      <w:r>
        <w:fldChar w:fldCharType="end"/>
      </w:r>
      <w:r>
        <w:fldChar w:fldCharType="end"/>
      </w:r>
    </w:p>
    <w:p w14:paraId="2ED9F1BE">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"_Toc239967597" </w:instrText>
      </w:r>
      <w:r>
        <w:fldChar w:fldCharType="separate"/>
      </w:r>
      <w:r>
        <w:rPr>
          <w:rStyle w:val="42"/>
        </w:rPr>
        <w:t>2</w:t>
      </w:r>
      <w:r>
        <w:rPr>
          <w:rStyle w:val="42"/>
          <w:rFonts w:ascii="Times New Roman"/>
        </w:rPr>
        <w:t xml:space="preserve"> 规范性引用文件</w:t>
      </w:r>
      <w:r>
        <w:tab/>
      </w:r>
      <w:r>
        <w:fldChar w:fldCharType="begin"/>
      </w:r>
      <w:r>
        <w:instrText xml:space="preserve"> PAGEREF _Toc239967597 \h </w:instrText>
      </w:r>
      <w:r>
        <w:fldChar w:fldCharType="separate"/>
      </w:r>
      <w:r>
        <w:t>1</w:t>
      </w:r>
      <w:r>
        <w:fldChar w:fldCharType="end"/>
      </w:r>
      <w:r>
        <w:fldChar w:fldCharType="end"/>
      </w:r>
    </w:p>
    <w:p w14:paraId="7A1BC077">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"_Toc239967598" </w:instrText>
      </w:r>
      <w:r>
        <w:fldChar w:fldCharType="separate"/>
      </w:r>
      <w:r>
        <w:rPr>
          <w:rStyle w:val="42"/>
        </w:rPr>
        <w:t>3</w:t>
      </w:r>
      <w:r>
        <w:rPr>
          <w:rStyle w:val="42"/>
          <w:rFonts w:ascii="Times New Roman"/>
        </w:rPr>
        <w:t xml:space="preserve"> 术语和定义</w:t>
      </w:r>
      <w:r>
        <w:tab/>
      </w:r>
      <w:r>
        <w:fldChar w:fldCharType="begin"/>
      </w:r>
      <w:r>
        <w:instrText xml:space="preserve"> PAGEREF _Toc239967598 \h </w:instrText>
      </w:r>
      <w:r>
        <w:fldChar w:fldCharType="separate"/>
      </w:r>
      <w:r>
        <w:t>1</w:t>
      </w:r>
      <w:r>
        <w:fldChar w:fldCharType="end"/>
      </w:r>
      <w:r>
        <w:fldChar w:fldCharType="end"/>
      </w:r>
    </w:p>
    <w:p w14:paraId="15B38926">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"_Toc239967599" </w:instrText>
      </w:r>
      <w:r>
        <w:fldChar w:fldCharType="separate"/>
      </w:r>
      <w:r>
        <w:rPr>
          <w:rStyle w:val="42"/>
        </w:rPr>
        <w:t>4</w:t>
      </w:r>
      <w:r>
        <w:rPr>
          <w:rStyle w:val="42"/>
          <w:rFonts w:ascii="Times New Roman"/>
        </w:rPr>
        <w:t xml:space="preserve"> 试验设计</w:t>
      </w:r>
      <w:r>
        <w:tab/>
      </w:r>
      <w:r>
        <w:fldChar w:fldCharType="begin"/>
      </w:r>
      <w:r>
        <w:instrText xml:space="preserve"> PAGEREF _Toc239967599 \h </w:instrText>
      </w:r>
      <w:r>
        <w:fldChar w:fldCharType="separate"/>
      </w:r>
      <w:r>
        <w:t>3</w:t>
      </w:r>
      <w:r>
        <w:fldChar w:fldCharType="end"/>
      </w:r>
      <w:r>
        <w:fldChar w:fldCharType="end"/>
      </w:r>
    </w:p>
    <w:p w14:paraId="23A12A48">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"_Toc239967600" </w:instrText>
      </w:r>
      <w:r>
        <w:fldChar w:fldCharType="separate"/>
      </w:r>
      <w:r>
        <w:rPr>
          <w:rStyle w:val="42"/>
        </w:rPr>
        <w:t>5</w:t>
      </w:r>
      <w:r>
        <w:rPr>
          <w:rStyle w:val="42"/>
          <w:rFonts w:ascii="Times New Roman"/>
        </w:rPr>
        <w:t xml:space="preserve"> 意义和应用</w:t>
      </w:r>
      <w:r>
        <w:tab/>
      </w:r>
      <w:r>
        <w:fldChar w:fldCharType="begin"/>
      </w:r>
      <w:r>
        <w:instrText xml:space="preserve"> PAGEREF _Toc239967600 \h </w:instrText>
      </w:r>
      <w:r>
        <w:fldChar w:fldCharType="separate"/>
      </w:r>
      <w:r>
        <w:t>3</w:t>
      </w:r>
      <w:r>
        <w:fldChar w:fldCharType="end"/>
      </w:r>
      <w:r>
        <w:fldChar w:fldCharType="end"/>
      </w:r>
    </w:p>
    <w:p w14:paraId="78DFDDD3">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"_Toc239967601" </w:instrText>
      </w:r>
      <w:r>
        <w:fldChar w:fldCharType="separate"/>
      </w:r>
      <w:r>
        <w:rPr>
          <w:rStyle w:val="42"/>
        </w:rPr>
        <w:t>6</w:t>
      </w:r>
      <w:r>
        <w:rPr>
          <w:rStyle w:val="42"/>
          <w:rFonts w:ascii="Times New Roman"/>
        </w:rPr>
        <w:t xml:space="preserve"> 试验方法</w:t>
      </w:r>
      <w:r>
        <w:tab/>
      </w:r>
      <w:r>
        <w:fldChar w:fldCharType="begin"/>
      </w:r>
      <w:r>
        <w:instrText xml:space="preserve"> PAGEREF _Toc239967601 \h </w:instrText>
      </w:r>
      <w:r>
        <w:fldChar w:fldCharType="separate"/>
      </w:r>
      <w:r>
        <w:t>4</w:t>
      </w:r>
      <w:r>
        <w:fldChar w:fldCharType="end"/>
      </w:r>
      <w:r>
        <w:fldChar w:fldCharType="end"/>
      </w:r>
    </w:p>
    <w:p w14:paraId="3F4DE768">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"_Toc239967602" </w:instrText>
      </w:r>
      <w:r>
        <w:fldChar w:fldCharType="separate"/>
      </w:r>
      <w:r>
        <w:rPr>
          <w:rStyle w:val="42"/>
        </w:rPr>
        <w:t>7</w:t>
      </w:r>
      <w:r>
        <w:rPr>
          <w:rStyle w:val="42"/>
          <w:rFonts w:ascii="Times New Roman"/>
        </w:rPr>
        <w:t xml:space="preserve"> 结果处理</w:t>
      </w:r>
      <w:r>
        <w:tab/>
      </w:r>
      <w:r>
        <w:fldChar w:fldCharType="begin"/>
      </w:r>
      <w:r>
        <w:instrText xml:space="preserve"> PAGEREF _Toc239967602 \h </w:instrText>
      </w:r>
      <w:r>
        <w:fldChar w:fldCharType="separate"/>
      </w:r>
      <w:r>
        <w:t>4</w:t>
      </w:r>
      <w:r>
        <w:fldChar w:fldCharType="end"/>
      </w:r>
      <w:r>
        <w:fldChar w:fldCharType="end"/>
      </w:r>
    </w:p>
    <w:p w14:paraId="2AB34F15">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"_Toc239967603" </w:instrText>
      </w:r>
      <w:r>
        <w:fldChar w:fldCharType="separate"/>
      </w:r>
      <w:r>
        <w:rPr>
          <w:rStyle w:val="42"/>
        </w:rPr>
        <w:t>8</w:t>
      </w:r>
      <w:r>
        <w:rPr>
          <w:rStyle w:val="42"/>
          <w:rFonts w:ascii="Times New Roman"/>
        </w:rPr>
        <w:t xml:space="preserve"> 试验报告</w:t>
      </w:r>
      <w:r>
        <w:tab/>
      </w:r>
      <w:r>
        <w:fldChar w:fldCharType="begin"/>
      </w:r>
      <w:r>
        <w:instrText xml:space="preserve"> PAGEREF _Toc239967603 \h </w:instrText>
      </w:r>
      <w:r>
        <w:fldChar w:fldCharType="separate"/>
      </w:r>
      <w:r>
        <w:t>4</w:t>
      </w:r>
      <w:r>
        <w:fldChar w:fldCharType="end"/>
      </w:r>
      <w:r>
        <w:fldChar w:fldCharType="end"/>
      </w:r>
    </w:p>
    <w:p w14:paraId="3BEDAB5A">
      <w:pPr>
        <w:pStyle w:val="20"/>
        <w:spacing w:before="78" w:after="78"/>
        <w:rPr>
          <w:rFonts w:asciiTheme="minorHAnsi" w:hAnsiTheme="minorHAnsi" w:eastAsiaTheme="minorEastAsia" w:cstheme="minorBidi"/>
          <w:sz w:val="22"/>
          <w:szCs w:val="24"/>
          <w14:ligatures w14:val="standardContextual"/>
        </w:rPr>
      </w:pPr>
      <w:r>
        <w:fldChar w:fldCharType="begin"/>
      </w:r>
      <w:r>
        <w:instrText xml:space="preserve"> HYPERLINK \l "_Toc239967604" </w:instrText>
      </w:r>
      <w:r>
        <w:fldChar w:fldCharType="separate"/>
      </w:r>
      <w:r>
        <w:rPr>
          <w:rStyle w:val="42"/>
        </w:rPr>
        <w:t>参考文献</w:t>
      </w:r>
      <w:r>
        <w:tab/>
      </w:r>
      <w:r>
        <w:fldChar w:fldCharType="begin"/>
      </w:r>
      <w:r>
        <w:instrText xml:space="preserve"> PAGEREF _Toc239967604 \h </w:instrText>
      </w:r>
      <w:r>
        <w:fldChar w:fldCharType="separate"/>
      </w:r>
      <w:r>
        <w:t>10</w:t>
      </w:r>
      <w:r>
        <w:fldChar w:fldCharType="end"/>
      </w:r>
      <w:r>
        <w:fldChar w:fldCharType="end"/>
      </w:r>
    </w:p>
    <w:p w14:paraId="542669CF">
      <w:pPr>
        <w:pStyle w:val="24"/>
        <w:rPr>
          <w:rFonts w:ascii="Times New Roman"/>
        </w:rPr>
      </w:pPr>
      <w:r>
        <w:rPr>
          <w:rFonts w:ascii="Times New Roman"/>
          <w:kern w:val="2"/>
          <w:szCs w:val="21"/>
        </w:rPr>
        <w:fldChar w:fldCharType="end"/>
      </w:r>
    </w:p>
    <w:p w14:paraId="60B5FDBE">
      <w:pPr>
        <w:pStyle w:val="116"/>
        <w:tabs>
          <w:tab w:val="center" w:pos="4677"/>
        </w:tabs>
        <w:rPr>
          <w:rFonts w:ascii="Times New Roman"/>
        </w:rPr>
      </w:pPr>
      <w:bookmarkStart w:id="24" w:name="_Toc428177671"/>
      <w:bookmarkStart w:id="25" w:name="_Toc239967594"/>
      <w:r>
        <w:rPr>
          <w:rFonts w:ascii="Times New Roman"/>
        </w:rPr>
        <w:t>前</w:t>
      </w:r>
      <w:bookmarkStart w:id="26" w:name="BKQY"/>
      <w:r>
        <w:rPr>
          <w:rFonts w:ascii="Times New Roman"/>
        </w:rPr>
        <w:t>  言</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4"/>
      <w:bookmarkEnd w:id="25"/>
      <w:bookmarkEnd w:id="26"/>
    </w:p>
    <w:p w14:paraId="40D4502B">
      <w:pPr>
        <w:pStyle w:val="24"/>
        <w:rPr>
          <w:rFonts w:ascii="Times New Roman"/>
        </w:rPr>
      </w:pPr>
      <w:r>
        <w:rPr>
          <w:rFonts w:ascii="Times New Roman" w:hAnsi="宋体"/>
        </w:rPr>
        <w:t>本</w:t>
      </w:r>
      <w:r>
        <w:rPr>
          <w:rFonts w:hint="eastAsia" w:ascii="Times New Roman" w:hAnsi="宋体"/>
        </w:rPr>
        <w:t>文件</w:t>
      </w:r>
      <w:r>
        <w:rPr>
          <w:rFonts w:ascii="Times New Roman" w:hAnsi="宋体"/>
        </w:rPr>
        <w:t>按照</w:t>
      </w:r>
      <w:r>
        <w:rPr>
          <w:rFonts w:ascii="Times New Roman"/>
        </w:rPr>
        <w:t>GB/T 1.1—2020《标准化工作导则 第1部分：标准化文件的结构和起草规则》</w:t>
      </w:r>
      <w:r>
        <w:rPr>
          <w:rFonts w:hint="eastAsia" w:ascii="Times New Roman" w:hAnsi="宋体"/>
        </w:rPr>
        <w:t>的规定</w:t>
      </w:r>
      <w:r>
        <w:rPr>
          <w:rFonts w:ascii="Times New Roman" w:hAnsi="宋体"/>
        </w:rPr>
        <w:t>起草。</w:t>
      </w:r>
    </w:p>
    <w:p w14:paraId="72EA57B1">
      <w:pPr>
        <w:pStyle w:val="24"/>
        <w:rPr>
          <w:rFonts w:ascii="Times New Roman"/>
        </w:rPr>
      </w:pPr>
      <w:r>
        <w:rPr>
          <w:rFonts w:hint="eastAsia" w:ascii="Times New Roman" w:hAnsi="宋体"/>
        </w:rPr>
        <w:t>请注意</w:t>
      </w:r>
      <w:r>
        <w:rPr>
          <w:rFonts w:ascii="Times New Roman" w:hAnsi="宋体"/>
        </w:rPr>
        <w:t>本</w:t>
      </w:r>
      <w:r>
        <w:rPr>
          <w:rFonts w:hint="eastAsia" w:ascii="Times New Roman" w:hAnsi="宋体"/>
        </w:rPr>
        <w:t>文件</w:t>
      </w:r>
      <w:r>
        <w:rPr>
          <w:rFonts w:ascii="Times New Roman" w:hAnsi="宋体"/>
        </w:rPr>
        <w:t>的某些内容可能涉及专利</w:t>
      </w:r>
      <w:r>
        <w:rPr>
          <w:rFonts w:hint="eastAsia" w:ascii="Times New Roman" w:hAnsi="宋体"/>
        </w:rPr>
        <w:t>。</w:t>
      </w:r>
      <w:r>
        <w:rPr>
          <w:rFonts w:ascii="Times New Roman" w:hAnsi="宋体"/>
        </w:rPr>
        <w:t>本文件的发布机构不承担识别这些专利的责任。</w:t>
      </w:r>
    </w:p>
    <w:p w14:paraId="233325B3">
      <w:pPr>
        <w:pStyle w:val="24"/>
        <w:spacing w:before="50"/>
        <w:rPr>
          <w:rFonts w:ascii="Times New Roman"/>
        </w:rPr>
      </w:pPr>
      <w:r>
        <w:rPr>
          <w:rFonts w:ascii="Times New Roman" w:hAnsi="宋体"/>
        </w:rPr>
        <w:t>本</w:t>
      </w:r>
      <w:r>
        <w:rPr>
          <w:rFonts w:hint="eastAsia" w:ascii="Times New Roman" w:hAnsi="宋体"/>
        </w:rPr>
        <w:t>文件</w:t>
      </w:r>
      <w:r>
        <w:rPr>
          <w:rFonts w:ascii="Times New Roman" w:hAnsi="宋体"/>
        </w:rPr>
        <w:t>由</w:t>
      </w:r>
      <w:r>
        <w:rPr>
          <w:rFonts w:hint="eastAsia" w:ascii="Times New Roman" w:hAnsi="宋体"/>
        </w:rPr>
        <w:t>中国生物材料学会</w:t>
      </w:r>
      <w:r>
        <w:rPr>
          <w:rFonts w:ascii="Times New Roman" w:hAnsi="宋体"/>
        </w:rPr>
        <w:t>提出。</w:t>
      </w:r>
    </w:p>
    <w:p w14:paraId="7C3A1C5D">
      <w:pPr>
        <w:pStyle w:val="24"/>
        <w:spacing w:before="50"/>
        <w:rPr>
          <w:rFonts w:ascii="Times New Roman"/>
        </w:rPr>
      </w:pPr>
      <w:r>
        <w:rPr>
          <w:rFonts w:ascii="Times New Roman" w:hAnsi="宋体"/>
        </w:rPr>
        <w:t>本</w:t>
      </w:r>
      <w:r>
        <w:rPr>
          <w:rFonts w:hint="eastAsia" w:ascii="Times New Roman" w:hAnsi="宋体"/>
        </w:rPr>
        <w:t>文件</w:t>
      </w:r>
      <w:r>
        <w:rPr>
          <w:rFonts w:ascii="Times New Roman" w:hAnsi="宋体"/>
        </w:rPr>
        <w:t>由</w:t>
      </w:r>
      <w:r>
        <w:rPr>
          <w:rFonts w:hint="eastAsia" w:ascii="Times New Roman" w:hAnsi="宋体"/>
        </w:rPr>
        <w:t>中国生物材料学会标准工作委员会</w:t>
      </w:r>
      <w:r>
        <w:rPr>
          <w:rFonts w:ascii="Times New Roman" w:hAnsi="宋体"/>
        </w:rPr>
        <w:t>归口。</w:t>
      </w:r>
    </w:p>
    <w:p w14:paraId="5C5F21E8">
      <w:pPr>
        <w:spacing w:before="50"/>
        <w:ind w:firstLine="420" w:firstLineChars="200"/>
      </w:pPr>
      <w:r>
        <w:t>本</w:t>
      </w:r>
      <w:r>
        <w:rPr>
          <w:rFonts w:hint="eastAsia" w:hAnsi="宋体"/>
        </w:rPr>
        <w:t>文件</w:t>
      </w:r>
      <w:r>
        <w:t>起草单位：</w:t>
      </w:r>
      <w:r>
        <w:rPr>
          <w:bCs/>
        </w:rPr>
        <w:t>中国人民解放军总医院第四医学中心、中国食品药品检定研究院、北京纳通医学研究院有限公司、复旦大学、北京航空航天大学、北京化工大学、北京大学人民医院、河北医科大学第三医院、首都医科大学附属北京世纪坛医院、东华大学、天津正天医疗器械有限公司。</w:t>
      </w:r>
    </w:p>
    <w:p w14:paraId="48A4A084">
      <w:pPr>
        <w:pStyle w:val="24"/>
        <w:spacing w:before="50"/>
        <w:rPr>
          <w:rFonts w:ascii="Times New Roman"/>
        </w:rPr>
      </w:pPr>
      <w:r>
        <w:rPr>
          <w:rFonts w:ascii="Times New Roman" w:hAnsi="宋体"/>
        </w:rPr>
        <w:t>本</w:t>
      </w:r>
      <w:r>
        <w:rPr>
          <w:rFonts w:hint="eastAsia" w:ascii="Times New Roman" w:hAnsi="宋体"/>
        </w:rPr>
        <w:t>文件</w:t>
      </w:r>
      <w:r>
        <w:rPr>
          <w:rFonts w:ascii="Times New Roman" w:hAnsi="宋体"/>
        </w:rPr>
        <w:t>主要起草人：</w:t>
      </w:r>
      <w:r>
        <w:rPr>
          <w:rFonts w:ascii="Times New Roman"/>
          <w:bCs/>
        </w:rPr>
        <w:t>吕厚辰、张里程、唐缪田、梁定发、李明、丁建东、韩倩倩、李崇崇、陈伟、蔡晴、党育、姚琦、王娟、陈行、曹晓艳、修宗鹏、刘子文、顾进、崔翔、马驰、高建朋、江渝、林希圣、鞠雯、赵婷婕、聂飞、苏秀云、王昳琳、谈枢怀、杨昌、周田俊克、赵志雄、臧泽桐、宋卓钰、毛吉富、谢雍、姜矞恒、张刚、杨浦鑫、张蒙、刘潇、汤俊君、王虎飞、陈玥琦、刘昊、李佳、郭徽、郝明、王琨、李然、解非、覃凯华、杨贺中、王富强、高兆远、王驰、陈佳驹、李一铭、路紫铖、宋文煜、田壮、栾义超、安小龙、姚孟轩、朱燕宾、张静、尹鹏滨、张浩、李建涛、刘建恒。</w:t>
      </w:r>
    </w:p>
    <w:p w14:paraId="169809E2">
      <w:pPr>
        <w:spacing w:before="50"/>
        <w:rPr>
          <w:rFonts w:asciiTheme="minorEastAsia" w:hAnsiTheme="minorEastAsia" w:eastAsiaTheme="minorEastAsia"/>
        </w:rPr>
      </w:pPr>
    </w:p>
    <w:p w14:paraId="61BFDE71">
      <w:pPr>
        <w:pStyle w:val="24"/>
        <w:spacing w:before="50"/>
        <w:ind w:firstLine="0" w:firstLineChars="0"/>
        <w:rPr>
          <w:rFonts w:ascii="Times New Roman"/>
        </w:rPr>
      </w:pPr>
    </w:p>
    <w:p w14:paraId="18C58FDC">
      <w:pPr>
        <w:pStyle w:val="116"/>
      </w:pPr>
      <w:bookmarkStart w:id="27" w:name="_Toc14816819"/>
      <w:bookmarkStart w:id="28" w:name="_Toc239967595"/>
      <w:r>
        <w:rPr>
          <w:rFonts w:hint="eastAsia"/>
        </w:rPr>
        <w:t>引   言</w:t>
      </w:r>
      <w:bookmarkEnd w:id="27"/>
      <w:bookmarkEnd w:id="28"/>
    </w:p>
    <w:p w14:paraId="5EB776A0">
      <w:pPr>
        <w:spacing w:line="360" w:lineRule="auto"/>
        <w:ind w:firstLine="480" w:firstLineChars="200"/>
        <w:rPr>
          <w:sz w:val="24"/>
        </w:rPr>
      </w:pPr>
      <w:r>
        <w:rPr>
          <w:rFonts w:hint="eastAsia"/>
          <w:sz w:val="24"/>
        </w:rPr>
        <w:t>随着生物医学工程技术的进步，可吸收接骨板已在临床广泛应用，适用于桡骨、腓骨、手足、颅颌面及神经外科等骨折固定场景。这类产品在植入初期可为骨折部位提供必要的力学支撑，随后逐渐降解吸收，避免了金属材料需二次手术取出的弊端。然而，可吸收材料的力学性能与传统金属内固定器械（如钛合金）存在显著差异，其力学强度不足和降解速率匹配问题成为临床关注的重点，如若初始强度不足，可能导致初期即刻固定失效；若降解过程中力学性能下降过快，易造成与骨愈合周期不匹配，增加固定失败风险。亟需建立适用于临床多场景的可吸收接骨板力学评价共识与标准。</w:t>
      </w:r>
    </w:p>
    <w:p w14:paraId="3F4EB6E9">
      <w:pPr>
        <w:widowControl/>
        <w:spacing w:line="360" w:lineRule="auto"/>
        <w:ind w:firstLine="480" w:firstLineChars="200"/>
        <w:rPr>
          <w:sz w:val="24"/>
        </w:rPr>
      </w:pPr>
      <w:r>
        <w:rPr>
          <w:rFonts w:hint="eastAsia"/>
          <w:sz w:val="24"/>
        </w:rPr>
        <w:t>目前，针对可吸收接骨板的力学评价标准有待进一步完善。现行标准YY/T 0509《生物可吸收内固定板和螺钉的标准要求和测试方法》仅规定了静态弯曲力学性能</w:t>
      </w:r>
      <w:r>
        <w:rPr>
          <w:sz w:val="24"/>
        </w:rPr>
        <w:t>测试</w:t>
      </w:r>
      <w:r>
        <w:rPr>
          <w:rFonts w:hint="eastAsia"/>
          <w:sz w:val="24"/>
        </w:rPr>
        <w:t>要求，而对于动态力学衰减性能的评价存在空白。暂时仍需参考体外降解浸泡试验相关标准（</w:t>
      </w:r>
      <w:r>
        <w:rPr>
          <w:sz w:val="24"/>
        </w:rPr>
        <w:t>YY/T 0474—2025《外科植入物 聚丙交酯均聚物、共聚物和共混物 体外降解试验》</w:t>
      </w:r>
      <w:r>
        <w:rPr>
          <w:rFonts w:hint="eastAsia"/>
          <w:sz w:val="24"/>
        </w:rPr>
        <w:t>），难以满足不同设计的接骨板在</w:t>
      </w:r>
      <w:r>
        <w:rPr>
          <w:sz w:val="24"/>
        </w:rPr>
        <w:t>材料筛选环节</w:t>
      </w:r>
      <w:r>
        <w:rPr>
          <w:rFonts w:hint="eastAsia"/>
          <w:sz w:val="24"/>
        </w:rPr>
        <w:t>对力学有效性的全面评估。此外，现有的替代方法需在不同时间点行体外取样进行弯曲测试，不仅测试周期长、成本高昂，且难以真实模拟体内长期生理载荷条件下的力学性能变化，不仅制约了产品质量控制，也增加了失效风险。因此，亟需建立一套普适性强、指导性明确的可吸收接骨板动态弯曲疲劳力学</w:t>
      </w:r>
      <w:r>
        <w:rPr>
          <w:sz w:val="24"/>
        </w:rPr>
        <w:t>测试</w:t>
      </w:r>
      <w:r>
        <w:rPr>
          <w:rFonts w:hint="eastAsia"/>
          <w:sz w:val="24"/>
        </w:rPr>
        <w:t>标准，快速评价可吸收接骨板的力学衰减及有效性，以推动可吸收接骨板产品的安全性和可靠性提升。</w:t>
      </w:r>
    </w:p>
    <w:p w14:paraId="49CBD9DE">
      <w:pPr>
        <w:spacing w:line="360" w:lineRule="auto"/>
        <w:ind w:firstLine="480" w:firstLineChars="200"/>
        <w:rPr>
          <w:sz w:val="24"/>
        </w:rPr>
      </w:pPr>
      <w:r>
        <w:rPr>
          <w:rFonts w:hint="eastAsia"/>
          <w:sz w:val="24"/>
        </w:rPr>
        <w:t>本文件给出了可吸收聚酯及其复合材料接骨板的动态弯曲疲劳力学试验方法，包括力学加载条件的设置、循环次数的选择、试验装置的搭建等。</w:t>
      </w:r>
    </w:p>
    <w:p w14:paraId="5C169D11">
      <w:pPr>
        <w:pStyle w:val="24"/>
        <w:spacing w:before="50"/>
        <w:rPr>
          <w:rFonts w:ascii="Times New Roman"/>
        </w:rPr>
      </w:pPr>
    </w:p>
    <w:p w14:paraId="6A9476CE">
      <w:pPr>
        <w:pStyle w:val="24"/>
        <w:rPr>
          <w:rFonts w:ascii="Times New Roman"/>
        </w:rPr>
        <w:sectPr>
          <w:headerReference r:id="rId6" w:type="first"/>
          <w:headerReference r:id="rId4" w:type="default"/>
          <w:footerReference r:id="rId7" w:type="default"/>
          <w:headerReference r:id="rId5" w:type="even"/>
          <w:pgSz w:w="11906" w:h="16838"/>
          <w:pgMar w:top="567" w:right="1134" w:bottom="1134" w:left="1417" w:header="1418" w:footer="1134" w:gutter="0"/>
          <w:pgNumType w:fmt="upperRoman" w:start="1"/>
          <w:cols w:space="425" w:num="1"/>
          <w:formProt w:val="0"/>
          <w:docGrid w:type="lines" w:linePitch="312" w:charSpace="0"/>
        </w:sectPr>
      </w:pPr>
    </w:p>
    <w:p w14:paraId="5C9EB0AC">
      <w:pPr>
        <w:pStyle w:val="54"/>
        <w:rPr>
          <w:rFonts w:ascii="Times New Roman"/>
        </w:rPr>
      </w:pPr>
      <w:r>
        <w:rPr>
          <w:rFonts w:hint="eastAsia"/>
        </w:rPr>
        <w:t>外科植入物 可吸收接骨板弯曲疲劳测试方法</w:t>
      </w:r>
    </w:p>
    <w:p w14:paraId="4EECAFA5">
      <w:pPr>
        <w:pStyle w:val="49"/>
        <w:spacing w:before="312" w:after="312"/>
        <w:ind w:left="0"/>
        <w:rPr>
          <w:rFonts w:ascii="Times New Roman"/>
        </w:rPr>
      </w:pPr>
      <w:bookmarkStart w:id="29" w:name="_Toc338060691"/>
      <w:bookmarkStart w:id="30" w:name="_Toc338685858"/>
      <w:bookmarkStart w:id="31" w:name="_Toc342589524"/>
      <w:bookmarkStart w:id="32" w:name="_Toc239967596"/>
      <w:bookmarkStart w:id="33" w:name="_Toc374444821"/>
      <w:bookmarkStart w:id="34" w:name="_Toc428177672"/>
      <w:bookmarkStart w:id="35" w:name="_Toc338754585"/>
      <w:bookmarkStart w:id="36" w:name="_Toc354142268"/>
      <w:bookmarkStart w:id="37" w:name="_Toc358964228"/>
      <w:bookmarkStart w:id="38" w:name="_Toc354142628"/>
      <w:bookmarkStart w:id="39" w:name="_Toc398301038"/>
      <w:bookmarkStart w:id="40" w:name="_Toc343596937"/>
      <w:bookmarkStart w:id="41" w:name="_Toc354142463"/>
      <w:bookmarkStart w:id="42" w:name="_Toc340491279"/>
      <w:bookmarkStart w:id="43" w:name="_Toc342665738"/>
      <w:bookmarkStart w:id="44" w:name="_Toc338060634"/>
      <w:bookmarkStart w:id="45" w:name="_Toc338604799"/>
      <w:r>
        <w:rPr>
          <w:rFonts w:ascii="Times New Roman"/>
        </w:rPr>
        <w:t>范围</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50050B57">
      <w:pPr>
        <w:pStyle w:val="24"/>
        <w:rPr>
          <w:rFonts w:ascii="Times New Roman" w:hAnsi="宋体"/>
        </w:rPr>
      </w:pPr>
      <w:bookmarkStart w:id="46" w:name="_Toc398301039"/>
      <w:bookmarkStart w:id="47" w:name="_Toc354142464"/>
      <w:bookmarkStart w:id="48" w:name="_Toc428177673"/>
      <w:bookmarkStart w:id="49" w:name="_Toc358964229"/>
      <w:bookmarkStart w:id="50" w:name="_Toc354142629"/>
      <w:bookmarkStart w:id="51" w:name="_Toc354142269"/>
      <w:bookmarkStart w:id="52" w:name="_Toc374444822"/>
      <w:bookmarkStart w:id="53" w:name="_Toc340491280"/>
      <w:bookmarkStart w:id="54" w:name="_Toc338060692"/>
      <w:bookmarkStart w:id="55" w:name="_Toc338060635"/>
      <w:bookmarkStart w:id="56" w:name="_Toc338604800"/>
      <w:bookmarkStart w:id="57" w:name="_Toc343596938"/>
      <w:bookmarkStart w:id="58" w:name="_Toc338685859"/>
      <w:bookmarkStart w:id="59" w:name="_Toc338754586"/>
      <w:bookmarkStart w:id="60" w:name="_Toc342589525"/>
      <w:bookmarkStart w:id="61" w:name="_Toc342665739"/>
      <w:r>
        <w:rPr>
          <w:rFonts w:hint="eastAsia" w:ascii="Times New Roman" w:hAnsi="宋体"/>
        </w:rPr>
        <w:t>本文件规定了</w:t>
      </w:r>
      <w:r>
        <w:rPr>
          <w:rFonts w:ascii="Times New Roman" w:hAnsi="宋体"/>
        </w:rPr>
        <w:t>可吸收接骨板（以下简称“接骨板”）弯曲疲劳性能测试方法。本文旨在为不同设计、不同材料组成的接骨板提供模拟体内环境下的弯曲疲劳性能评价方法。</w:t>
      </w:r>
    </w:p>
    <w:p w14:paraId="215FD316">
      <w:pPr>
        <w:pStyle w:val="24"/>
        <w:rPr>
          <w:rFonts w:ascii="Times New Roman" w:hAnsi="宋体"/>
        </w:rPr>
      </w:pPr>
      <w:r>
        <w:rPr>
          <w:rFonts w:hint="eastAsia" w:ascii="Times New Roman" w:hAnsi="宋体"/>
        </w:rPr>
        <w:t>本文件适用于采用可吸收聚酯及其复合材料制备的接骨板，适用于供骨科手术时作骨折断端连接用的接骨板。本标准并非适用于所有类型的接骨板，使用者应结合接骨板的具体型式与预期用途考察本标准的适用性，并规定相应产品的性能要求。本标准不适用于角度固定器、脊柱固定板等，也不包含对特殊设计接骨板的描述和要求。可吸收聚酯材料包括由丙交酯、乙交酯、三亚甲基碳酸酯、ε-己内酯、柠檬酸酯、羟基丁酸酯等形成的均聚物、共聚物或共混物制备。复合材料为聚酯或聚酯混合无机材料制备，无机材料包括羟基磷灰石、β-磷酸三钙、硫酸钙、生物活性玻璃及纤维。</w:t>
      </w:r>
    </w:p>
    <w:p w14:paraId="7431C64F">
      <w:pPr>
        <w:pStyle w:val="24"/>
        <w:rPr>
          <w:rFonts w:ascii="Times New Roman" w:hAnsi="宋体"/>
        </w:rPr>
      </w:pPr>
      <w:r>
        <w:rPr>
          <w:rFonts w:hint="eastAsia" w:ascii="Times New Roman" w:hAnsi="宋体"/>
        </w:rPr>
        <w:t>本文件不涉及接骨板附属组件（如接骨螺钉、钢丝钢缆等）的疲劳性能测试方法。</w:t>
      </w:r>
    </w:p>
    <w:p w14:paraId="0C072FB4">
      <w:pPr>
        <w:pStyle w:val="24"/>
        <w:rPr>
          <w:rFonts w:ascii="Times New Roman" w:hAnsi="宋体"/>
        </w:rPr>
      </w:pPr>
      <w:r>
        <w:rPr>
          <w:rFonts w:hint="eastAsia" w:ascii="Times New Roman" w:hAnsi="宋体"/>
        </w:rPr>
        <w:t>本文件适用于相关产品的研发设计、生产质量控制及检测评价环节，为生产企业、检测机构及监管部门提供统一的技术依据。</w:t>
      </w:r>
    </w:p>
    <w:p w14:paraId="0ABDC4D1">
      <w:pPr>
        <w:pStyle w:val="49"/>
        <w:spacing w:before="312" w:after="312"/>
        <w:ind w:left="0"/>
        <w:rPr>
          <w:rFonts w:ascii="Times New Roman"/>
        </w:rPr>
      </w:pPr>
      <w:bookmarkStart w:id="62" w:name="_Toc239967597"/>
      <w:r>
        <w:rPr>
          <w:rFonts w:ascii="Times New Roman"/>
        </w:rPr>
        <w:t>规范性引用文件</w:t>
      </w:r>
      <w:bookmarkEnd w:id="46"/>
      <w:bookmarkEnd w:id="47"/>
      <w:bookmarkEnd w:id="48"/>
      <w:bookmarkEnd w:id="49"/>
      <w:bookmarkEnd w:id="50"/>
      <w:bookmarkEnd w:id="51"/>
      <w:bookmarkEnd w:id="52"/>
      <w:bookmarkEnd w:id="62"/>
    </w:p>
    <w:p w14:paraId="5A492FDF">
      <w:pPr>
        <w:pStyle w:val="24"/>
        <w:rPr>
          <w:rFonts w:ascii="Times New Roman"/>
        </w:rPr>
      </w:pPr>
      <w:r>
        <w:rPr>
          <w:rFonts w:hint="eastAsia"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44BE5FCB">
      <w:pPr>
        <w:pStyle w:val="24"/>
        <w:rPr>
          <w:rFonts w:ascii="Times New Roman"/>
        </w:rPr>
      </w:pPr>
      <w:r>
        <w:rPr>
          <w:rFonts w:hint="eastAsia" w:ascii="Times New Roman"/>
        </w:rPr>
        <w:t>YY/T 0474-2025 外科植入物 聚丙交酯均聚物、共聚物和共混物 体外降解试验</w:t>
      </w:r>
    </w:p>
    <w:p w14:paraId="566DCA28">
      <w:pPr>
        <w:pStyle w:val="24"/>
        <w:rPr>
          <w:rFonts w:ascii="Times New Roman"/>
        </w:rPr>
      </w:pPr>
      <w:r>
        <w:rPr>
          <w:rFonts w:hint="eastAsia" w:ascii="Times New Roman"/>
        </w:rPr>
        <w:t>YY/T 1503-2016 外科植入物 金属接骨板弯曲疲劳性能试验方法</w:t>
      </w:r>
    </w:p>
    <w:p w14:paraId="4CF15173">
      <w:pPr>
        <w:pStyle w:val="24"/>
        <w:rPr>
          <w:rFonts w:ascii="Times New Roman"/>
        </w:rPr>
      </w:pPr>
      <w:r>
        <w:rPr>
          <w:rFonts w:hint="eastAsia" w:ascii="Times New Roman"/>
        </w:rPr>
        <w:t>YY/T 0509-2009 生物可吸收内固定板和螺钉的标准要求和测试方法</w:t>
      </w:r>
    </w:p>
    <w:p w14:paraId="60CE7859">
      <w:pPr>
        <w:pStyle w:val="24"/>
        <w:rPr>
          <w:rFonts w:ascii="Times New Roman"/>
        </w:rPr>
      </w:pPr>
      <w:r>
        <w:rPr>
          <w:rFonts w:hint="eastAsia" w:ascii="Times New Roman"/>
        </w:rPr>
        <w:t>YY/T 0342-2020 外科植入物 接骨板弯曲强度和刚度的测定</w:t>
      </w:r>
    </w:p>
    <w:p w14:paraId="6BEBEAC9">
      <w:pPr>
        <w:pStyle w:val="24"/>
        <w:rPr>
          <w:rFonts w:ascii="Times New Roman"/>
        </w:rPr>
      </w:pPr>
      <w:r>
        <w:rPr>
          <w:rFonts w:ascii="Times New Roman"/>
        </w:rPr>
        <w:t>ASTM F382-24 Standard Specification and Test Method for Metallic Bone Plates</w:t>
      </w:r>
    </w:p>
    <w:p w14:paraId="549B15E8">
      <w:pPr>
        <w:pStyle w:val="24"/>
        <w:rPr>
          <w:rFonts w:ascii="Times New Roman"/>
        </w:rPr>
      </w:pPr>
      <w:r>
        <w:rPr>
          <w:rFonts w:ascii="Times New Roman"/>
        </w:rPr>
        <w:t xml:space="preserve">ASTM F3437-23 Standard Test Methods for Metallic Bone Plates Used in Small Bone Fracture Fixation </w:t>
      </w:r>
    </w:p>
    <w:p w14:paraId="5CA44CE8">
      <w:pPr>
        <w:pStyle w:val="24"/>
        <w:rPr>
          <w:rFonts w:ascii="Times New Roman"/>
        </w:rPr>
      </w:pPr>
      <w:r>
        <w:rPr>
          <w:rFonts w:hint="eastAsia" w:ascii="Times New Roman"/>
        </w:rPr>
        <w:t>JJG 139 拉力、压力和万能试验机</w:t>
      </w:r>
    </w:p>
    <w:p w14:paraId="192EDD5B">
      <w:pPr>
        <w:pStyle w:val="24"/>
        <w:rPr>
          <w:rFonts w:ascii="Times New Roman"/>
        </w:rPr>
      </w:pPr>
      <w:r>
        <w:rPr>
          <w:rFonts w:hint="eastAsia" w:ascii="Times New Roman"/>
        </w:rPr>
        <w:t>可吸收骨内固定植入物注册审查指导原则</w:t>
      </w:r>
    </w:p>
    <w:p w14:paraId="35EEAF1F">
      <w:pPr>
        <w:pStyle w:val="49"/>
        <w:spacing w:before="312" w:after="312"/>
        <w:ind w:left="0"/>
        <w:rPr>
          <w:rFonts w:ascii="Times New Roman" w:eastAsia="宋体"/>
        </w:rPr>
      </w:pPr>
      <w:bookmarkStart w:id="63" w:name="_Toc354142630"/>
      <w:bookmarkStart w:id="64" w:name="_Toc428177674"/>
      <w:bookmarkStart w:id="65" w:name="_Toc374444823"/>
      <w:bookmarkStart w:id="66" w:name="_Toc398301040"/>
      <w:bookmarkStart w:id="67" w:name="_Toc358964230"/>
      <w:bookmarkStart w:id="68" w:name="_Toc354142465"/>
      <w:bookmarkStart w:id="69" w:name="_Toc354142270"/>
      <w:bookmarkStart w:id="70" w:name="_Toc239967598"/>
      <w:r>
        <w:rPr>
          <w:rFonts w:ascii="Times New Roman"/>
        </w:rPr>
        <w:t>术语</w:t>
      </w:r>
      <w:r>
        <w:rPr>
          <w:rFonts w:hint="eastAsia" w:ascii="Times New Roman"/>
        </w:rPr>
        <w:t>和</w:t>
      </w:r>
      <w:r>
        <w:rPr>
          <w:rFonts w:ascii="Times New Roman"/>
        </w:rPr>
        <w:t>定义</w:t>
      </w:r>
      <w:bookmarkEnd w:id="63"/>
      <w:bookmarkEnd w:id="64"/>
      <w:bookmarkEnd w:id="65"/>
      <w:bookmarkEnd w:id="66"/>
      <w:bookmarkEnd w:id="67"/>
      <w:bookmarkEnd w:id="68"/>
      <w:bookmarkEnd w:id="69"/>
      <w:bookmarkEnd w:id="70"/>
    </w:p>
    <w:p w14:paraId="20C1018B">
      <w:pPr>
        <w:pStyle w:val="24"/>
      </w:pPr>
      <w:r>
        <w:rPr>
          <w:rFonts w:ascii="Times New Roman"/>
        </w:rPr>
        <w:t>下列术语与定义适用于</w:t>
      </w:r>
      <w:r>
        <w:rPr>
          <w:rFonts w:hint="eastAsia" w:ascii="Times New Roman"/>
        </w:rPr>
        <w:t>本文件。</w:t>
      </w:r>
    </w:p>
    <w:p w14:paraId="2764FDB3">
      <w:pPr>
        <w:pStyle w:val="46"/>
        <w:numPr>
          <w:ilvl w:val="1"/>
          <w:numId w:val="0"/>
        </w:numPr>
        <w:spacing w:before="156" w:after="156" w:line="276" w:lineRule="auto"/>
        <w:outlineLvl w:val="9"/>
        <w:rPr>
          <w:rFonts w:hAnsi="黑体" w:cs="黑体"/>
        </w:rPr>
      </w:pPr>
      <w:bookmarkStart w:id="71" w:name="OLE_LINK4"/>
      <w:bookmarkStart w:id="72" w:name="OLE_LINK5"/>
      <w:r>
        <w:rPr>
          <w:rFonts w:hint="eastAsia" w:hAnsi="黑体" w:cs="黑体"/>
        </w:rPr>
        <w:t>3.1</w:t>
      </w:r>
    </w:p>
    <w:p w14:paraId="68658B73">
      <w:pPr>
        <w:pStyle w:val="46"/>
        <w:numPr>
          <w:ilvl w:val="1"/>
          <w:numId w:val="0"/>
        </w:numPr>
        <w:spacing w:before="156" w:after="156" w:line="276" w:lineRule="auto"/>
        <w:ind w:firstLine="420" w:firstLineChars="200"/>
        <w:outlineLvl w:val="9"/>
        <w:rPr>
          <w:rFonts w:hAnsi="黑体" w:cs="黑体"/>
        </w:rPr>
      </w:pPr>
      <w:r>
        <w:rPr>
          <w:rFonts w:hAnsi="黑体" w:cs="黑体"/>
        </w:rPr>
        <w:t>可吸收接骨板bioresorbable bone plate</w:t>
      </w:r>
    </w:p>
    <w:p w14:paraId="1AA3A94D">
      <w:pPr>
        <w:pStyle w:val="24"/>
        <w:rPr>
          <w:rFonts w:ascii="Times New Roman"/>
        </w:rPr>
      </w:pPr>
      <w:r>
        <w:rPr>
          <w:rFonts w:ascii="Times New Roman"/>
        </w:rPr>
        <w:t>在植入人体后通过降解而被机体逐渐吸收的骨折固定骨板。</w:t>
      </w:r>
    </w:p>
    <w:p w14:paraId="7E0C9E6F">
      <w:pPr>
        <w:pStyle w:val="46"/>
        <w:numPr>
          <w:ilvl w:val="1"/>
          <w:numId w:val="0"/>
        </w:numPr>
        <w:spacing w:before="156" w:after="156" w:line="276" w:lineRule="auto"/>
        <w:outlineLvl w:val="9"/>
        <w:rPr>
          <w:rFonts w:hAnsi="黑体" w:cs="黑体"/>
        </w:rPr>
      </w:pPr>
      <w:r>
        <w:rPr>
          <w:rFonts w:hint="eastAsia" w:hAnsi="黑体" w:cs="黑体"/>
        </w:rPr>
        <w:t>3.2</w:t>
      </w:r>
    </w:p>
    <w:p w14:paraId="45270A06">
      <w:pPr>
        <w:pStyle w:val="46"/>
        <w:numPr>
          <w:ilvl w:val="1"/>
          <w:numId w:val="0"/>
        </w:numPr>
        <w:spacing w:before="156" w:after="156" w:line="276" w:lineRule="auto"/>
        <w:ind w:firstLine="420" w:firstLineChars="200"/>
        <w:outlineLvl w:val="9"/>
        <w:rPr>
          <w:rFonts w:hAnsi="黑体" w:cs="黑体"/>
        </w:rPr>
      </w:pPr>
      <w:r>
        <w:rPr>
          <w:rFonts w:hAnsi="黑体" w:cs="黑体"/>
        </w:rPr>
        <w:t>生物吸收 biological resorption</w:t>
      </w:r>
    </w:p>
    <w:p w14:paraId="05B87235">
      <w:pPr>
        <w:pStyle w:val="24"/>
        <w:rPr>
          <w:rFonts w:ascii="Times New Roman"/>
        </w:rPr>
      </w:pPr>
      <w:r>
        <w:rPr>
          <w:rFonts w:ascii="Times New Roman"/>
        </w:rPr>
        <w:t>使可降解的生物材料（或降解产物）通过生理的新陈代谢作用被清除和（或）重组的过程。</w:t>
      </w:r>
    </w:p>
    <w:p w14:paraId="60A95BE8">
      <w:pPr>
        <w:pStyle w:val="46"/>
        <w:numPr>
          <w:ilvl w:val="1"/>
          <w:numId w:val="0"/>
        </w:numPr>
        <w:spacing w:before="156" w:after="156" w:line="276" w:lineRule="auto"/>
        <w:outlineLvl w:val="9"/>
        <w:rPr>
          <w:rFonts w:hAnsi="黑体" w:cs="黑体"/>
        </w:rPr>
      </w:pPr>
      <w:r>
        <w:rPr>
          <w:rFonts w:hint="eastAsia" w:hAnsi="黑体" w:cs="黑体"/>
        </w:rPr>
        <w:t>3.3</w:t>
      </w:r>
    </w:p>
    <w:p w14:paraId="5C37C8B1">
      <w:pPr>
        <w:pStyle w:val="46"/>
        <w:numPr>
          <w:ilvl w:val="1"/>
          <w:numId w:val="0"/>
        </w:numPr>
        <w:spacing w:before="156" w:after="156" w:line="276" w:lineRule="auto"/>
        <w:ind w:firstLine="420" w:firstLineChars="200"/>
        <w:outlineLvl w:val="9"/>
        <w:rPr>
          <w:rFonts w:hAnsi="黑体" w:cs="黑体"/>
        </w:rPr>
      </w:pPr>
      <w:r>
        <w:rPr>
          <w:rFonts w:hAnsi="黑体" w:cs="黑体"/>
        </w:rPr>
        <w:t>疲劳寿命 fatigue life</w:t>
      </w:r>
    </w:p>
    <w:p w14:paraId="631B2057">
      <w:pPr>
        <w:pStyle w:val="24"/>
        <w:rPr>
          <w:rFonts w:ascii="Times New Roman"/>
        </w:rPr>
      </w:pPr>
      <w:r>
        <w:rPr>
          <w:rFonts w:ascii="Times New Roman"/>
        </w:rPr>
        <w:t>给定样品在其规定的特性失效前所能经受的循环次数（n）。</w:t>
      </w:r>
    </w:p>
    <w:p w14:paraId="77063236">
      <w:pPr>
        <w:pStyle w:val="46"/>
        <w:numPr>
          <w:ilvl w:val="1"/>
          <w:numId w:val="0"/>
        </w:numPr>
        <w:spacing w:before="156" w:after="156" w:line="276" w:lineRule="auto"/>
        <w:outlineLvl w:val="9"/>
        <w:rPr>
          <w:rFonts w:hAnsi="黑体" w:cs="黑体"/>
        </w:rPr>
      </w:pPr>
      <w:r>
        <w:rPr>
          <w:rFonts w:hint="eastAsia" w:hAnsi="黑体" w:cs="黑体"/>
        </w:rPr>
        <w:t>3.4</w:t>
      </w:r>
    </w:p>
    <w:p w14:paraId="43C1299E">
      <w:pPr>
        <w:pStyle w:val="46"/>
        <w:numPr>
          <w:ilvl w:val="1"/>
          <w:numId w:val="0"/>
        </w:numPr>
        <w:spacing w:before="156" w:after="156" w:line="276" w:lineRule="auto"/>
        <w:ind w:firstLine="420" w:firstLineChars="200"/>
        <w:outlineLvl w:val="9"/>
        <w:rPr>
          <w:rFonts w:hAnsi="黑体" w:cs="黑体"/>
        </w:rPr>
      </w:pPr>
      <w:r>
        <w:rPr>
          <w:rFonts w:hAnsi="黑体" w:cs="黑体"/>
        </w:rPr>
        <w:t>载荷范围 load range</w:t>
      </w:r>
    </w:p>
    <w:p w14:paraId="646670BB">
      <w:pPr>
        <w:pStyle w:val="24"/>
        <w:rPr>
          <w:rFonts w:ascii="Times New Roman"/>
        </w:rPr>
      </w:pPr>
      <w:r>
        <w:rPr>
          <w:rFonts w:ascii="Times New Roman"/>
        </w:rPr>
        <w:t>载荷循环中所施加载荷范围。</w:t>
      </w:r>
    </w:p>
    <w:p w14:paraId="26B2CD59">
      <w:pPr>
        <w:pStyle w:val="46"/>
        <w:numPr>
          <w:ilvl w:val="1"/>
          <w:numId w:val="0"/>
        </w:numPr>
        <w:spacing w:before="156" w:after="156" w:line="276" w:lineRule="auto"/>
        <w:outlineLvl w:val="9"/>
        <w:rPr>
          <w:rFonts w:hAnsi="黑体" w:cs="黑体"/>
        </w:rPr>
      </w:pPr>
      <w:r>
        <w:rPr>
          <w:rFonts w:hint="eastAsia" w:hAnsi="黑体" w:cs="黑体"/>
        </w:rPr>
        <w:t>3.5</w:t>
      </w:r>
    </w:p>
    <w:p w14:paraId="347C8B0D">
      <w:pPr>
        <w:pStyle w:val="46"/>
        <w:numPr>
          <w:ilvl w:val="1"/>
          <w:numId w:val="0"/>
        </w:numPr>
        <w:spacing w:before="156" w:after="156" w:line="276" w:lineRule="auto"/>
        <w:ind w:firstLine="420" w:firstLineChars="200"/>
        <w:outlineLvl w:val="9"/>
        <w:rPr>
          <w:rFonts w:hAnsi="黑体" w:cs="黑体"/>
        </w:rPr>
      </w:pPr>
      <w:r>
        <w:rPr>
          <w:rFonts w:hAnsi="黑体" w:cs="黑体"/>
        </w:rPr>
        <w:t>最大载荷 maximum load</w:t>
      </w:r>
    </w:p>
    <w:p w14:paraId="28EF42A6">
      <w:pPr>
        <w:pStyle w:val="24"/>
        <w:rPr>
          <w:rFonts w:ascii="Times New Roman"/>
        </w:rPr>
      </w:pPr>
      <w:r>
        <w:rPr>
          <w:rFonts w:ascii="Times New Roman"/>
        </w:rPr>
        <w:t>载荷循环中所施加载荷的最大值。</w:t>
      </w:r>
    </w:p>
    <w:p w14:paraId="6AA1F35D">
      <w:pPr>
        <w:pStyle w:val="46"/>
        <w:numPr>
          <w:ilvl w:val="1"/>
          <w:numId w:val="0"/>
        </w:numPr>
        <w:spacing w:before="156" w:after="156" w:line="276" w:lineRule="auto"/>
        <w:outlineLvl w:val="9"/>
        <w:rPr>
          <w:rFonts w:hAnsi="黑体" w:cs="黑体"/>
        </w:rPr>
      </w:pPr>
      <w:r>
        <w:rPr>
          <w:rFonts w:hint="eastAsia" w:hAnsi="黑体" w:cs="黑体"/>
        </w:rPr>
        <w:t>3.6</w:t>
      </w:r>
    </w:p>
    <w:p w14:paraId="6202321E">
      <w:pPr>
        <w:pStyle w:val="46"/>
        <w:numPr>
          <w:ilvl w:val="1"/>
          <w:numId w:val="0"/>
        </w:numPr>
        <w:spacing w:before="156" w:after="156" w:line="276" w:lineRule="auto"/>
        <w:ind w:firstLine="420" w:firstLineChars="200"/>
        <w:outlineLvl w:val="9"/>
        <w:rPr>
          <w:rFonts w:hAnsi="黑体" w:cs="黑体"/>
        </w:rPr>
      </w:pPr>
      <w:r>
        <w:rPr>
          <w:rFonts w:hAnsi="黑体" w:cs="黑体"/>
        </w:rPr>
        <w:t>最小载荷 minimum load</w:t>
      </w:r>
    </w:p>
    <w:p w14:paraId="094981FE">
      <w:pPr>
        <w:pStyle w:val="24"/>
        <w:rPr>
          <w:rFonts w:ascii="Times New Roman"/>
        </w:rPr>
      </w:pPr>
      <w:r>
        <w:rPr>
          <w:rFonts w:ascii="Times New Roman"/>
        </w:rPr>
        <w:t>载荷循环中所施加载荷的最小值。</w:t>
      </w:r>
    </w:p>
    <w:p w14:paraId="039F232D">
      <w:pPr>
        <w:pStyle w:val="46"/>
        <w:numPr>
          <w:ilvl w:val="1"/>
          <w:numId w:val="0"/>
        </w:numPr>
        <w:spacing w:before="156" w:after="156" w:line="276" w:lineRule="auto"/>
        <w:outlineLvl w:val="9"/>
        <w:rPr>
          <w:rFonts w:hAnsi="黑体" w:cs="黑体"/>
        </w:rPr>
      </w:pPr>
      <w:r>
        <w:rPr>
          <w:rFonts w:hint="eastAsia" w:hAnsi="黑体" w:cs="黑体"/>
        </w:rPr>
        <w:t>3.7</w:t>
      </w:r>
    </w:p>
    <w:p w14:paraId="0B153976">
      <w:pPr>
        <w:pStyle w:val="46"/>
        <w:numPr>
          <w:ilvl w:val="1"/>
          <w:numId w:val="0"/>
        </w:numPr>
        <w:spacing w:before="156" w:after="156" w:line="276" w:lineRule="auto"/>
        <w:ind w:firstLine="420" w:firstLineChars="200"/>
        <w:outlineLvl w:val="9"/>
        <w:rPr>
          <w:rFonts w:hAnsi="黑体" w:cs="黑体"/>
        </w:rPr>
      </w:pPr>
      <w:r>
        <w:rPr>
          <w:rFonts w:hAnsi="黑体" w:cs="黑体"/>
        </w:rPr>
        <w:t>R比 R-ratio</w:t>
      </w:r>
    </w:p>
    <w:p w14:paraId="3C460013">
      <w:pPr>
        <w:pStyle w:val="24"/>
        <w:rPr>
          <w:rFonts w:ascii="Times New Roman"/>
        </w:rPr>
      </w:pPr>
      <w:r>
        <w:rPr>
          <w:rFonts w:hint="eastAsia" w:ascii="Times New Roman"/>
        </w:rPr>
        <w:t>疲劳循环中载荷参数最小值和最大值的代数比。</w:t>
      </w:r>
    </w:p>
    <w:p w14:paraId="484A1B9D">
      <w:pPr>
        <w:pStyle w:val="24"/>
        <w:rPr>
          <w:rFonts w:ascii="Times New Roman"/>
        </w:rPr>
      </w:pPr>
      <w:r>
        <w:rPr>
          <w:rFonts w:hint="eastAsia" w:ascii="Times New Roman"/>
        </w:rPr>
        <w:t>注：在本实验方法中R比定义为：</w:t>
      </w:r>
      <w:r>
        <w:rPr>
          <w:rFonts w:ascii="Times New Roman"/>
        </w:rPr>
        <w:t>R比=</w:t>
      </w:r>
      <m:oMath>
        <m:r>
          <m:rPr>
            <m:sty m:val="p"/>
          </m:rPr>
          <w:rPr>
            <w:rFonts w:ascii="Cambria Math" w:hAnsi="Cambria Math"/>
          </w:rPr>
          <m:t xml:space="preserve"> </m:t>
        </m:r>
        <m:f>
          <m:fPr>
            <m:ctrlPr>
              <w:rPr>
                <w:rFonts w:ascii="Cambria Math" w:hAnsi="Cambria Math"/>
              </w:rPr>
            </m:ctrlPr>
          </m:fPr>
          <m:num>
            <m:r>
              <m:rPr>
                <m:sty m:val="p"/>
              </m:rPr>
              <w:rPr>
                <w:rFonts w:ascii="Cambria Math" w:hAnsi="Cambria Math"/>
              </w:rPr>
              <m:t>最小载荷</m:t>
            </m:r>
            <m:ctrlPr>
              <w:rPr>
                <w:rFonts w:ascii="Cambria Math" w:hAnsi="Cambria Math"/>
              </w:rPr>
            </m:ctrlPr>
          </m:num>
          <m:den>
            <m:r>
              <m:rPr>
                <m:sty m:val="p"/>
              </m:rPr>
              <w:rPr>
                <w:rFonts w:ascii="Cambria Math" w:hAnsi="Cambria Math"/>
              </w:rPr>
              <m:t>最大载荷</m:t>
            </m:r>
            <m:ctrlPr>
              <w:rPr>
                <w:rFonts w:ascii="Cambria Math" w:hAnsi="Cambria Math"/>
              </w:rPr>
            </m:ctrlPr>
          </m:den>
        </m:f>
      </m:oMath>
      <w:r>
        <w:rPr>
          <w:rFonts w:ascii="Times New Roman"/>
        </w:rPr>
        <w:t>。</w:t>
      </w:r>
    </w:p>
    <w:p w14:paraId="6DF9378A">
      <w:pPr>
        <w:pStyle w:val="46"/>
        <w:numPr>
          <w:ilvl w:val="1"/>
          <w:numId w:val="0"/>
        </w:numPr>
        <w:spacing w:before="156" w:after="156" w:line="276" w:lineRule="auto"/>
        <w:outlineLvl w:val="9"/>
        <w:rPr>
          <w:rFonts w:hAnsi="黑体" w:cs="黑体"/>
        </w:rPr>
      </w:pPr>
      <w:r>
        <w:rPr>
          <w:rFonts w:hint="eastAsia" w:hAnsi="黑体" w:cs="黑体"/>
        </w:rPr>
        <w:t>3.8</w:t>
      </w:r>
    </w:p>
    <w:p w14:paraId="0CD48DB1">
      <w:pPr>
        <w:pStyle w:val="46"/>
        <w:numPr>
          <w:ilvl w:val="1"/>
          <w:numId w:val="0"/>
        </w:numPr>
        <w:spacing w:before="156" w:after="156" w:line="276" w:lineRule="auto"/>
        <w:ind w:firstLine="420" w:firstLineChars="200"/>
        <w:outlineLvl w:val="9"/>
        <w:rPr>
          <w:rFonts w:hAnsi="黑体" w:cs="黑体"/>
        </w:rPr>
      </w:pPr>
      <w:r>
        <w:rPr>
          <w:rFonts w:hAnsi="黑体" w:cs="黑体"/>
        </w:rPr>
        <w:t>终止次数run-out</w:t>
      </w:r>
    </w:p>
    <w:p w14:paraId="514C69C9">
      <w:pPr>
        <w:pStyle w:val="24"/>
        <w:rPr>
          <w:rFonts w:ascii="Times New Roman"/>
        </w:rPr>
      </w:pPr>
      <w:r>
        <w:rPr>
          <w:rFonts w:ascii="Times New Roman"/>
        </w:rPr>
        <w:t>针对样品预先设定的试验停止时的循环次数；达到该循环数时试样未发生失效的，标记为run-out，该样品不再做进一步的试验。</w:t>
      </w:r>
    </w:p>
    <w:p w14:paraId="5C00027C">
      <w:pPr>
        <w:pStyle w:val="46"/>
        <w:numPr>
          <w:ilvl w:val="1"/>
          <w:numId w:val="0"/>
        </w:numPr>
        <w:spacing w:before="156" w:after="156" w:line="276" w:lineRule="auto"/>
        <w:outlineLvl w:val="9"/>
        <w:rPr>
          <w:rFonts w:hAnsi="黑体" w:cs="黑体"/>
        </w:rPr>
      </w:pPr>
      <w:r>
        <w:rPr>
          <w:rFonts w:hint="eastAsia" w:hAnsi="黑体" w:cs="黑体"/>
        </w:rPr>
        <w:t>3.9</w:t>
      </w:r>
    </w:p>
    <w:p w14:paraId="076C4896">
      <w:pPr>
        <w:pStyle w:val="46"/>
        <w:numPr>
          <w:ilvl w:val="1"/>
          <w:numId w:val="0"/>
        </w:numPr>
        <w:spacing w:before="156" w:after="156" w:line="276" w:lineRule="auto"/>
        <w:ind w:firstLine="420" w:firstLineChars="200"/>
        <w:outlineLvl w:val="9"/>
        <w:rPr>
          <w:rFonts w:hAnsi="黑体" w:cs="黑体"/>
        </w:rPr>
      </w:pPr>
      <w:r>
        <w:rPr>
          <w:rFonts w:hAnsi="黑体" w:cs="黑体"/>
        </w:rPr>
        <w:t>失效 failure</w:t>
      </w:r>
    </w:p>
    <w:p w14:paraId="6029476E">
      <w:pPr>
        <w:pStyle w:val="24"/>
        <w:rPr>
          <w:rFonts w:ascii="Times New Roman"/>
        </w:rPr>
      </w:pPr>
      <w:r>
        <w:rPr>
          <w:rFonts w:ascii="Times New Roman"/>
        </w:rPr>
        <w:t>试样发生完全断裂，或出现预先规定的裂纹、永久变形、位移限值或刚度下降阈值等判定状态。</w:t>
      </w:r>
    </w:p>
    <w:bookmarkEnd w:id="71"/>
    <w:bookmarkEnd w:id="72"/>
    <w:p w14:paraId="13A29F61">
      <w:pPr>
        <w:pStyle w:val="49"/>
        <w:spacing w:before="312" w:after="312"/>
        <w:ind w:left="0"/>
      </w:pPr>
      <w:bookmarkStart w:id="73" w:name="_Toc399190723"/>
      <w:bookmarkEnd w:id="73"/>
      <w:bookmarkStart w:id="74" w:name="_Toc399190722"/>
      <w:bookmarkEnd w:id="74"/>
      <w:bookmarkStart w:id="75" w:name="_Toc399190720"/>
      <w:bookmarkEnd w:id="75"/>
      <w:bookmarkStart w:id="76" w:name="_Toc399190719"/>
      <w:bookmarkEnd w:id="76"/>
      <w:bookmarkStart w:id="77" w:name="_Toc399190713"/>
      <w:bookmarkEnd w:id="77"/>
      <w:bookmarkStart w:id="78" w:name="_Toc399190721"/>
      <w:bookmarkEnd w:id="78"/>
      <w:bookmarkStart w:id="79" w:name="_Toc399190699"/>
      <w:bookmarkEnd w:id="79"/>
      <w:bookmarkStart w:id="80" w:name="_Toc399190715"/>
      <w:bookmarkEnd w:id="80"/>
      <w:bookmarkStart w:id="81" w:name="_Toc399190725"/>
      <w:bookmarkEnd w:id="81"/>
      <w:bookmarkStart w:id="82" w:name="_Toc239967599"/>
      <w:r>
        <w:rPr>
          <w:rFonts w:ascii="Times New Roman"/>
        </w:rPr>
        <w:t>试验设计</w:t>
      </w:r>
      <w:bookmarkEnd w:id="82"/>
    </w:p>
    <w:p w14:paraId="60C90CC0">
      <w:pPr>
        <w:pStyle w:val="55"/>
        <w:numPr>
          <w:ilvl w:val="0"/>
          <w:numId w:val="0"/>
        </w:numPr>
        <w:spacing w:before="156" w:after="156"/>
        <w:rPr>
          <w:rFonts w:hAnsi="黑体"/>
        </w:rPr>
      </w:pPr>
      <w:r>
        <w:rPr>
          <w:rFonts w:hint="eastAsia" w:hAnsi="黑体"/>
        </w:rPr>
        <w:t xml:space="preserve">4.1  </w:t>
      </w:r>
      <w:r>
        <w:rPr>
          <w:rFonts w:hAnsi="黑体"/>
        </w:rPr>
        <w:t>试验概述</w:t>
      </w:r>
    </w:p>
    <w:p w14:paraId="32AA0147">
      <w:pPr>
        <w:pStyle w:val="24"/>
        <w:rPr>
          <w:rFonts w:ascii="Times New Roman"/>
        </w:rPr>
      </w:pPr>
      <w:r>
        <w:rPr>
          <w:rFonts w:hint="eastAsia" w:ascii="Times New Roman"/>
        </w:rPr>
        <w:t>4.1.1 本试验旨在评价可吸收聚酯及其复合材料接骨板的弯曲疲劳性能。</w:t>
      </w:r>
    </w:p>
    <w:p w14:paraId="3EFFBD8F">
      <w:pPr>
        <w:pStyle w:val="24"/>
        <w:rPr>
          <w:rFonts w:ascii="Times New Roman"/>
        </w:rPr>
      </w:pPr>
      <w:r>
        <w:rPr>
          <w:rFonts w:hint="eastAsia" w:ascii="Times New Roman"/>
        </w:rPr>
        <w:t xml:space="preserve">4.1.2 </w:t>
      </w:r>
      <w:r>
        <w:rPr>
          <w:rFonts w:hint="eastAsia" w:ascii="Times New Roman"/>
        </w:rPr>
        <w:tab/>
      </w:r>
      <w:r>
        <w:rPr>
          <w:rFonts w:hint="eastAsia" w:ascii="Times New Roman"/>
        </w:rPr>
        <w:t>试验前，将接骨板浸没于37±1 °C的磷酸盐缓冲液（PBS，pH 7.2~7.4）进行状态调节；状态调节时间在试验方案中规定，如无特殊规定宜不少于24 h。</w:t>
      </w:r>
    </w:p>
    <w:p w14:paraId="7417FCB3">
      <w:pPr>
        <w:pStyle w:val="24"/>
        <w:rPr>
          <w:rFonts w:ascii="Times New Roman"/>
        </w:rPr>
      </w:pPr>
      <w:r>
        <w:rPr>
          <w:rFonts w:hint="eastAsia" w:ascii="Times New Roman"/>
        </w:rPr>
        <w:t>4.1.3</w:t>
      </w:r>
      <w:r>
        <w:rPr>
          <w:rFonts w:hint="eastAsia" w:ascii="Times New Roman"/>
        </w:rPr>
        <w:tab/>
      </w:r>
      <w:r>
        <w:rPr>
          <w:rFonts w:hint="eastAsia" w:ascii="Times New Roman"/>
        </w:rPr>
        <w:t xml:space="preserve"> 将接骨板固定在弯曲测试夹具上，使通常连接骨折部位的部分承受规定的载荷，并将装置浸没于37±1 °C PBS溶液环境下加载。</w:t>
      </w:r>
    </w:p>
    <w:p w14:paraId="5746527E">
      <w:pPr>
        <w:pStyle w:val="24"/>
        <w:rPr>
          <w:rFonts w:ascii="Times New Roman"/>
        </w:rPr>
      </w:pPr>
      <w:r>
        <w:rPr>
          <w:rFonts w:hint="eastAsia" w:ascii="Times New Roman"/>
        </w:rPr>
        <w:t>4.1.4</w:t>
      </w:r>
      <w:r>
        <w:rPr>
          <w:rFonts w:hint="eastAsia" w:ascii="Times New Roman"/>
        </w:rPr>
        <w:tab/>
      </w:r>
      <w:r>
        <w:rPr>
          <w:rFonts w:hint="eastAsia" w:ascii="Times New Roman"/>
        </w:rPr>
        <w:t xml:space="preserve"> 对接骨板施加规定频率的循环弯曲载荷，直到试样失效或达到预先设定的截止循环数。弯曲方法的选择应遵循以下层级：优先采用四点弯曲；试样尺寸较小、不具备四点弯曲布置条件时采用三点弯曲；具有复杂解剖外形且不适用前述方法的接骨板，方可采用悬臂弯曲。同一比较组内的试验应采用相同的弯曲方法和试验几何。</w:t>
      </w:r>
    </w:p>
    <w:p w14:paraId="1BFB0AA7">
      <w:pPr>
        <w:pStyle w:val="24"/>
        <w:rPr>
          <w:rFonts w:ascii="Times New Roman"/>
        </w:rPr>
      </w:pPr>
      <w:r>
        <w:rPr>
          <w:rFonts w:hint="eastAsia" w:ascii="Times New Roman"/>
        </w:rPr>
        <w:t xml:space="preserve">4.1.5 </w:t>
      </w:r>
      <w:r>
        <w:rPr>
          <w:rFonts w:hint="eastAsia" w:ascii="Times New Roman"/>
        </w:rPr>
        <w:tab/>
      </w:r>
      <w:r>
        <w:rPr>
          <w:rFonts w:hint="eastAsia" w:ascii="Times New Roman"/>
        </w:rPr>
        <w:t>根据试验目的，对获得的数据进行归纳和整理，记录规定载荷水平下的疲劳性能，包括疲劳寿命、失效模式、失效位置等。</w:t>
      </w:r>
    </w:p>
    <w:p w14:paraId="5FF16A61">
      <w:pPr>
        <w:pStyle w:val="55"/>
        <w:numPr>
          <w:ilvl w:val="0"/>
          <w:numId w:val="0"/>
        </w:numPr>
        <w:spacing w:before="156" w:after="156"/>
        <w:rPr>
          <w:rFonts w:hAnsi="黑体"/>
        </w:rPr>
      </w:pPr>
      <w:r>
        <w:rPr>
          <w:rFonts w:hint="eastAsia" w:hAnsi="黑体"/>
        </w:rPr>
        <w:t xml:space="preserve">4.2  </w:t>
      </w:r>
      <w:r>
        <w:rPr>
          <w:rFonts w:hAnsi="黑体"/>
        </w:rPr>
        <w:t>试验仪器</w:t>
      </w:r>
    </w:p>
    <w:p w14:paraId="2450BF86">
      <w:pPr>
        <w:pStyle w:val="24"/>
        <w:rPr>
          <w:rFonts w:ascii="Times New Roman"/>
        </w:rPr>
      </w:pPr>
      <w:r>
        <w:rPr>
          <w:rFonts w:hint="eastAsia" w:ascii="Times New Roman"/>
        </w:rPr>
        <w:t>4.2.1 弯曲疲劳试验的试验机应符合JJG 139的要求：疲劳试验机应能按要求施加循环载荷，精度为0.01N，且可记录载荷循环次数；位移测量系统的量程和分辨力应满足试验要求。根据需要应配备能检测极限的传感器，当试验参数（如载荷、压头位移、系统误差）等达到极限值时，传感器发出信号或停止试验。</w:t>
      </w:r>
    </w:p>
    <w:p w14:paraId="48D040E2">
      <w:pPr>
        <w:pStyle w:val="24"/>
        <w:rPr>
          <w:rFonts w:ascii="Times New Roman"/>
        </w:rPr>
      </w:pPr>
      <w:r>
        <w:rPr>
          <w:rFonts w:hint="eastAsia" w:ascii="Times New Roman"/>
        </w:rPr>
        <w:t>4.2.2 试样的放置位置及加载方式按照YY/T 0342-2020或ASTM F3437-23 中的方法进行，加载辊轴应为圆柱形或具有与被测接骨板截面相适应的外形，直径6mm～13mm范围内，所选辊轴直径应不大于两相邻螺钉孔之间的距离。</w:t>
      </w:r>
    </w:p>
    <w:p w14:paraId="4B8AF855">
      <w:pPr>
        <w:pStyle w:val="24"/>
        <w:rPr>
          <w:rFonts w:ascii="Times New Roman"/>
        </w:rPr>
      </w:pPr>
      <w:r>
        <w:rPr>
          <w:rFonts w:hint="eastAsia" w:ascii="Times New Roman"/>
        </w:rPr>
        <w:t>4.2.3 试验夹具应能保证接骨板在疲劳试验过程中不脱出；除规定接触部位外，接骨板不应与夹具或容器发生干涉。</w:t>
      </w:r>
    </w:p>
    <w:p w14:paraId="2B08F295">
      <w:pPr>
        <w:pStyle w:val="55"/>
        <w:numPr>
          <w:ilvl w:val="0"/>
          <w:numId w:val="0"/>
        </w:numPr>
        <w:spacing w:before="156" w:after="156"/>
        <w:rPr>
          <w:rFonts w:hAnsi="黑体"/>
        </w:rPr>
      </w:pPr>
      <w:r>
        <w:rPr>
          <w:rFonts w:hint="eastAsia" w:hAnsi="黑体"/>
        </w:rPr>
        <w:t xml:space="preserve">4.3  </w:t>
      </w:r>
      <w:r>
        <w:rPr>
          <w:rFonts w:hAnsi="黑体"/>
        </w:rPr>
        <w:t>试验样品</w:t>
      </w:r>
    </w:p>
    <w:p w14:paraId="3199DE9A">
      <w:pPr>
        <w:pStyle w:val="24"/>
        <w:rPr>
          <w:rFonts w:ascii="Times New Roman"/>
        </w:rPr>
      </w:pPr>
      <w:r>
        <w:rPr>
          <w:rFonts w:hint="eastAsia" w:ascii="Times New Roman"/>
        </w:rPr>
        <w:t>4.3.1 根据植入物的材料、横截面、标记、生产过程等选取具有代表性的成</w:t>
      </w:r>
    </w:p>
    <w:p w14:paraId="76FD89E4">
      <w:pPr>
        <w:pStyle w:val="24"/>
        <w:rPr>
          <w:rFonts w:ascii="Times New Roman"/>
        </w:rPr>
      </w:pPr>
      <w:r>
        <w:rPr>
          <w:rFonts w:hint="eastAsia" w:ascii="Times New Roman"/>
        </w:rPr>
        <w:t>品作为试验样品。报告中应注明所有与成品的偏离，以便评估试验样品测试中的误差。</w:t>
      </w:r>
    </w:p>
    <w:p w14:paraId="114F18B8">
      <w:pPr>
        <w:pStyle w:val="24"/>
        <w:rPr>
          <w:rFonts w:ascii="Times New Roman"/>
        </w:rPr>
      </w:pPr>
      <w:r>
        <w:rPr>
          <w:rFonts w:hint="eastAsia" w:ascii="Times New Roman"/>
        </w:rPr>
        <w:t>4.3.2 用于单一规定载荷和截止循环数条件下的符合性或比较性试验时，每一试验组的有效试样不应少于6件。用于建立载荷—寿命关系或估算规定循环次数下的疲劳强度时，应设置多个载荷水平，并预先规定各载荷水平样本量、统计模型、置信水平以及run-out数据的处理方法。</w:t>
      </w:r>
    </w:p>
    <w:p w14:paraId="47D5C328">
      <w:pPr>
        <w:pStyle w:val="49"/>
        <w:spacing w:before="312" w:after="312"/>
        <w:ind w:left="0"/>
      </w:pPr>
      <w:bookmarkStart w:id="83" w:name="_Toc239967600"/>
      <w:r>
        <w:rPr>
          <w:rFonts w:ascii="Times New Roman"/>
        </w:rPr>
        <w:t>意义和应用</w:t>
      </w:r>
      <w:bookmarkEnd w:id="83"/>
    </w:p>
    <w:p w14:paraId="6EACB5A9">
      <w:pPr>
        <w:pStyle w:val="55"/>
        <w:numPr>
          <w:ilvl w:val="0"/>
          <w:numId w:val="0"/>
        </w:numPr>
        <w:spacing w:before="156" w:after="156"/>
        <w:rPr>
          <w:rFonts w:ascii="Times New Roman"/>
        </w:rPr>
      </w:pPr>
      <w:r>
        <w:rPr>
          <w:rFonts w:hint="eastAsia" w:hAnsi="黑体"/>
        </w:rPr>
        <w:t>5.1  意义</w:t>
      </w:r>
    </w:p>
    <w:p w14:paraId="72C21651">
      <w:pPr>
        <w:pStyle w:val="24"/>
        <w:rPr>
          <w:rFonts w:ascii="Times New Roman"/>
        </w:rPr>
      </w:pPr>
      <w:r>
        <w:rPr>
          <w:rFonts w:ascii="Times New Roman"/>
        </w:rPr>
        <w:t>本试验方法建立了一个统一的可吸收接骨板弯曲疲劳试验方法，用以表征和比较不同设计、不同材料组成接骨板的疲劳性能。本试验方法可用于确定接骨板在规定的或一系列最大载荷加载条件下的疲劳寿命。此外，本试验方法还可用于估算在规定的疲劳循环次数下接骨板的疲劳强度</w:t>
      </w:r>
      <w:r>
        <w:rPr>
          <w:rFonts w:hint="eastAsia" w:ascii="Times New Roman"/>
        </w:rPr>
        <w:t>。</w:t>
      </w:r>
    </w:p>
    <w:p w14:paraId="4A2ACE9D">
      <w:pPr>
        <w:pStyle w:val="55"/>
        <w:numPr>
          <w:ilvl w:val="0"/>
          <w:numId w:val="0"/>
        </w:numPr>
        <w:spacing w:before="156" w:after="156"/>
        <w:rPr>
          <w:rFonts w:ascii="Times New Roman"/>
        </w:rPr>
      </w:pPr>
      <w:r>
        <w:rPr>
          <w:rFonts w:hint="eastAsia" w:hAnsi="黑体"/>
        </w:rPr>
        <w:t>5.2  应用</w:t>
      </w:r>
    </w:p>
    <w:p w14:paraId="67452D95">
      <w:pPr>
        <w:pStyle w:val="24"/>
        <w:rPr>
          <w:rFonts w:ascii="Times New Roman"/>
        </w:rPr>
      </w:pPr>
      <w:r>
        <w:rPr>
          <w:rFonts w:ascii="Times New Roman"/>
        </w:rPr>
        <w:t>本试验方法采用了一种接骨板简化加载模式，该模式并不能精确地代表在原位的加载结构。使用者需要注意本试验方法得到的结果不能直接预测接骨板在体内的性能。本试验方法得到的数据可用于不同接骨板设计、材料组成的比较试验。</w:t>
      </w:r>
    </w:p>
    <w:p w14:paraId="279C51AF">
      <w:pPr>
        <w:pStyle w:val="24"/>
        <w:rPr>
          <w:rFonts w:ascii="Times New Roman"/>
        </w:rPr>
      </w:pPr>
      <w:r>
        <w:rPr>
          <w:rFonts w:ascii="Times New Roman"/>
        </w:rPr>
        <w:t>本试验方法采用PBS溶液（pH 7.2~7.4）作为标准浸泡介质。使用者应注意，不同介质（如生理盐水、Hank’s溶液等）可能对可吸收材料的降解速率和降解模式产生显著影响。当试验目的为特定临床应用场景的评价时，可根据需要选用其他模拟体液，但应在报告中明确注明介质成分、浓度及更换频率等参数，并在结果分析中充分考虑介质差异带来的影响。</w:t>
      </w:r>
    </w:p>
    <w:p w14:paraId="1F3DA0CC">
      <w:pPr>
        <w:pStyle w:val="49"/>
        <w:spacing w:before="312" w:after="312"/>
        <w:ind w:left="0"/>
      </w:pPr>
      <w:bookmarkStart w:id="84" w:name="_Toc239967601"/>
      <w:r>
        <w:rPr>
          <w:rFonts w:ascii="Times New Roman"/>
        </w:rPr>
        <w:t>试验方法</w:t>
      </w:r>
      <w:bookmarkEnd w:id="84"/>
    </w:p>
    <w:p w14:paraId="119392E4">
      <w:pPr>
        <w:pStyle w:val="24"/>
        <w:rPr>
          <w:rFonts w:ascii="Times New Roman"/>
        </w:rPr>
      </w:pPr>
      <w:r>
        <w:rPr>
          <w:rFonts w:hint="eastAsia" w:ascii="Times New Roman"/>
        </w:rPr>
        <w:t>将接骨板浸没于37±1 °C PBS缓冲液中进行预处理，预处理时间按试验方案规定（如无特殊规定宜不少于24 h），取出后进行试验，并在报告中注明预处理时间及条件。</w:t>
      </w:r>
    </w:p>
    <w:p w14:paraId="6576E109">
      <w:pPr>
        <w:pStyle w:val="24"/>
        <w:rPr>
          <w:rFonts w:ascii="Times New Roman"/>
        </w:rPr>
      </w:pPr>
      <w:r>
        <w:rPr>
          <w:rFonts w:hint="eastAsia" w:ascii="Times New Roman"/>
        </w:rPr>
        <w:t>将预处理后的试验装置整体浸没于37±1 ℃ PBS溶液环境下进行加载。试验期间应监测并记录温度和pH；当pH超出7.2~7.4范围时应更换浸泡液，或按规定的周期换液，并记录换液时间和频次；应采取蒸发补偿措施。</w:t>
      </w:r>
    </w:p>
    <w:p w14:paraId="1CA3F68E">
      <w:pPr>
        <w:pStyle w:val="24"/>
        <w:rPr>
          <w:rFonts w:ascii="Times New Roman"/>
        </w:rPr>
      </w:pPr>
      <w:r>
        <w:rPr>
          <w:rFonts w:hint="eastAsia" w:ascii="Times New Roman"/>
        </w:rPr>
        <w:t>根据接骨板连接骨折部位的设计特征和受力需求确定试验方式（悬臂弯曲、三点弯曲或四点弯曲）和载荷加载量级。载荷水平应在与疲劳试验相同的温度、介质状态和夹具几何条件下，通过静态预试验或经验证的既有数据确定；最大载荷或最大弯矩应根据产品预期用途、风险分析和试验目的确定，并处于所选试验方法的有效工作区间。截止循环数结合预期活动载荷谱、临床使用场景和风险分析确定，确定依据应在试验报告中说明。如无其他规定，可采用经临床使用场景/风险分析论证的推荐截止循环数，即150 000次。</w:t>
      </w:r>
    </w:p>
    <w:p w14:paraId="593668B8">
      <w:pPr>
        <w:pStyle w:val="24"/>
        <w:rPr>
          <w:rFonts w:ascii="Times New Roman"/>
        </w:rPr>
      </w:pPr>
      <w:r>
        <w:rPr>
          <w:rFonts w:hint="eastAsia" w:ascii="Times New Roman"/>
        </w:rPr>
        <w:t>设置加载频率，建议范围为1～5Hz，如果更高加载频率，频率需经验证不引起温升、动态软化或失效模式改变，同时记录总历时，建议R比为0.1。</w:t>
      </w:r>
    </w:p>
    <w:p w14:paraId="4FC698B2">
      <w:pPr>
        <w:pStyle w:val="24"/>
        <w:rPr>
          <w:rFonts w:ascii="Times New Roman"/>
        </w:rPr>
      </w:pPr>
      <w:r>
        <w:rPr>
          <w:rFonts w:hint="eastAsia" w:ascii="Times New Roman"/>
        </w:rPr>
        <w:t>试验持续至试样达到预先规定的失效判据或达到截止循环数时结束。失效判据应至少包括断裂；根据产品特性，还可包括规定的裂纹、永久变形、位移限值或刚度下降阈值。因夹具、螺钉或压板松动造成的固定失效应记录为无效试验，不应计为接骨板疲劳失效。达到截止循环数而未失效的试样应标记为run-out。</w:t>
      </w:r>
    </w:p>
    <w:p w14:paraId="7976CAA5">
      <w:pPr>
        <w:pStyle w:val="49"/>
        <w:spacing w:before="312" w:after="312"/>
        <w:ind w:left="0"/>
      </w:pPr>
      <w:bookmarkStart w:id="85" w:name="_Toc239967602"/>
      <w:r>
        <w:rPr>
          <w:rFonts w:ascii="Times New Roman"/>
        </w:rPr>
        <w:t>结果处理</w:t>
      </w:r>
      <w:bookmarkEnd w:id="85"/>
    </w:p>
    <w:p w14:paraId="0E9EDE24">
      <w:pPr>
        <w:pStyle w:val="24"/>
        <w:rPr>
          <w:rFonts w:ascii="Times New Roman"/>
        </w:rPr>
      </w:pPr>
      <w:r>
        <w:rPr>
          <w:rFonts w:ascii="Times New Roman"/>
        </w:rPr>
        <w:t>试验报告的结果包括最大载荷、最小载荷、载荷比、试验结束时的循环次数及破坏位置和失效模式。四点弯曲和三点弯曲试验应同时报告试验几何参数（跨距、加载轴距或辊轴位置）及最大弯矩；悬臂弯曲试验应报告力臂长度及根部弯矩。疲劳寿命数据宜报告每个试样的结果及中位数和范围（或经论证的统计量）；run-out试样应单独标识，不应简单等同于截止循环数的失效值参与平均</w:t>
      </w:r>
      <w:r>
        <w:rPr>
          <w:rFonts w:hint="eastAsia" w:ascii="Times New Roman"/>
        </w:rPr>
        <w:t>。</w:t>
      </w:r>
    </w:p>
    <w:p w14:paraId="4AA3B40B">
      <w:pPr>
        <w:pStyle w:val="49"/>
        <w:spacing w:before="312" w:after="312"/>
        <w:ind w:left="0"/>
      </w:pPr>
      <w:bookmarkStart w:id="86" w:name="_Toc239967603"/>
      <w:r>
        <w:rPr>
          <w:rFonts w:ascii="Times New Roman"/>
        </w:rPr>
        <w:t>试验报告</w:t>
      </w:r>
      <w:bookmarkEnd w:id="86"/>
    </w:p>
    <w:p w14:paraId="0C38F61B">
      <w:pPr>
        <w:pStyle w:val="24"/>
        <w:rPr>
          <w:rFonts w:ascii="Times New Roman"/>
        </w:rPr>
      </w:pPr>
      <w:r>
        <w:rPr>
          <w:rFonts w:hint="eastAsia" w:ascii="Times New Roman"/>
        </w:rPr>
        <w:t>试验报告应包括详细的数据资料，并对结果做出独立评价。试验报告应注明检测机构和检测日期，且应报告下列项目：</w:t>
      </w:r>
    </w:p>
    <w:p w14:paraId="0046138C">
      <w:pPr>
        <w:pStyle w:val="24"/>
        <w:rPr>
          <w:rFonts w:ascii="Times New Roman"/>
        </w:rPr>
      </w:pPr>
      <w:r>
        <w:rPr>
          <w:rFonts w:hint="eastAsia" w:ascii="Times New Roman"/>
        </w:rPr>
        <w:t>1）分别描述样品的厂商、规格、型号、数量、灭菌状态、批号及材料组成；</w:t>
      </w:r>
    </w:p>
    <w:p w14:paraId="1B689C02">
      <w:pPr>
        <w:pStyle w:val="24"/>
        <w:rPr>
          <w:rFonts w:ascii="Times New Roman"/>
        </w:rPr>
      </w:pPr>
      <w:r>
        <w:rPr>
          <w:rFonts w:hint="eastAsia" w:ascii="Times New Roman"/>
        </w:rPr>
        <w:t>2）应对试验结构布局进行描述或加入结构布局照片，或者同时包含两者；</w:t>
      </w:r>
    </w:p>
    <w:p w14:paraId="1735AA69">
      <w:pPr>
        <w:pStyle w:val="24"/>
        <w:rPr>
          <w:rFonts w:ascii="Times New Roman"/>
        </w:rPr>
      </w:pPr>
      <w:r>
        <w:rPr>
          <w:rFonts w:hint="eastAsia" w:ascii="Times New Roman"/>
        </w:rPr>
        <w:t>3）试验条件，包括弯曲方法、辊轴直径、加载跨距及轴距或力臂、Fmax、Fmin、载荷比R、载荷波形、控制模式、试验载荷、加载频率、总试验历时及截止循环数；</w:t>
      </w:r>
    </w:p>
    <w:p w14:paraId="00D72A0F">
      <w:pPr>
        <w:pStyle w:val="24"/>
        <w:rPr>
          <w:rFonts w:ascii="Times New Roman"/>
        </w:rPr>
      </w:pPr>
      <w:r>
        <w:rPr>
          <w:rFonts w:hint="eastAsia" w:ascii="Times New Roman"/>
        </w:rPr>
        <w:t>4）试验溶液及其浓度、pH值、温度及更换频率（如适用），以及试验期间温度、pH的过程记录；</w:t>
      </w:r>
    </w:p>
    <w:p w14:paraId="59751F7F">
      <w:pPr>
        <w:pStyle w:val="24"/>
        <w:rPr>
          <w:rFonts w:ascii="Times New Roman"/>
        </w:rPr>
      </w:pPr>
      <w:r>
        <w:rPr>
          <w:rFonts w:hint="eastAsia" w:ascii="Times New Roman"/>
        </w:rPr>
        <w:t>5）每组试样的疲劳平均值和标准偏差，包括疲劳强度等，并注明各试样失效时的循环次数及其离散程度（如变异系数）；</w:t>
      </w:r>
    </w:p>
    <w:p w14:paraId="053EEE7B">
      <w:pPr>
        <w:pStyle w:val="24"/>
        <w:rPr>
          <w:rFonts w:ascii="Times New Roman"/>
        </w:rPr>
      </w:pPr>
      <w:r>
        <w:rPr>
          <w:rFonts w:hint="eastAsia" w:ascii="Times New Roman"/>
        </w:rPr>
        <w:t>6） 每组试样的失效模式（如疲劳断裂、塑性变形、屈曲等）及失效位置（如孔边缘、板体中部、板体与头部过渡区等）。建议附失效试样的宏观照片或显微图像，以支持失效模式的判定。</w:t>
      </w:r>
    </w:p>
    <w:p w14:paraId="2B190688">
      <w:pPr>
        <w:pStyle w:val="24"/>
        <w:rPr>
          <w:rFonts w:ascii="Times New Roman"/>
        </w:rPr>
      </w:pPr>
    </w:p>
    <w:p w14:paraId="08D46789">
      <w:pPr>
        <w:pStyle w:val="54"/>
        <w:spacing w:after="0" w:line="240" w:lineRule="auto"/>
        <w:rPr>
          <w:sz w:val="21"/>
        </w:rPr>
      </w:pPr>
      <w:bookmarkStart w:id="87" w:name="_Toc399706888"/>
      <w:bookmarkStart w:id="88" w:name="_Toc493003014"/>
      <w:bookmarkStart w:id="89" w:name="_Toc493081248"/>
      <w:bookmarkStart w:id="90" w:name="BKCKWX"/>
      <w:bookmarkStart w:id="91" w:name="_Toc459974471"/>
      <w:bookmarkStart w:id="92" w:name="_Toc14816825"/>
      <w:r>
        <w:rPr>
          <w:rFonts w:hint="eastAsia"/>
          <w:sz w:val="21"/>
        </w:rPr>
        <w:t>附 录A</w:t>
      </w:r>
    </w:p>
    <w:p w14:paraId="5794B574">
      <w:pPr>
        <w:pStyle w:val="24"/>
        <w:ind w:firstLine="0" w:firstLineChars="0"/>
        <w:jc w:val="center"/>
        <w:rPr>
          <w:rFonts w:ascii="黑体" w:hAnsi="黑体" w:eastAsia="黑体"/>
        </w:rPr>
      </w:pPr>
      <w:r>
        <w:rPr>
          <w:rFonts w:hint="eastAsia" w:ascii="黑体" w:hAnsi="黑体" w:eastAsia="黑体"/>
        </w:rPr>
        <w:t>（规范性）</w:t>
      </w:r>
    </w:p>
    <w:p w14:paraId="7F02164D">
      <w:pPr>
        <w:pStyle w:val="24"/>
        <w:ind w:firstLine="0" w:firstLineChars="0"/>
        <w:jc w:val="center"/>
        <w:rPr>
          <w:rFonts w:ascii="黑体" w:hAnsi="黑体" w:eastAsia="黑体"/>
        </w:rPr>
      </w:pPr>
      <w:r>
        <w:rPr>
          <w:rFonts w:ascii="黑体" w:hAnsi="黑体" w:eastAsia="黑体"/>
        </w:rPr>
        <w:t>试验方法</w:t>
      </w:r>
    </w:p>
    <w:p w14:paraId="0E1E8F26">
      <w:pPr>
        <w:pStyle w:val="24"/>
        <w:jc w:val="center"/>
      </w:pPr>
    </w:p>
    <w:p w14:paraId="45664BFE">
      <w:pPr>
        <w:pStyle w:val="24"/>
        <w:jc w:val="left"/>
      </w:pPr>
      <w:r>
        <w:rPr>
          <w:rFonts w:ascii="黑体" w:hAnsi="黑体" w:eastAsia="黑体" w:cs="黑体"/>
        </w:rPr>
        <w:t>A.1</w:t>
      </w:r>
      <w:r>
        <w:rPr>
          <w:rFonts w:hint="eastAsia"/>
        </w:rPr>
        <w:t xml:space="preserve"> </w:t>
      </w:r>
      <w:r>
        <w:t>接骨板四点弯曲试验方法</w:t>
      </w:r>
    </w:p>
    <w:p w14:paraId="007E290B">
      <w:pPr>
        <w:pStyle w:val="24"/>
        <w:jc w:val="left"/>
      </w:pPr>
      <w:r>
        <w:rPr>
          <w:rFonts w:ascii="黑体" w:hAnsi="黑体" w:eastAsia="黑体" w:cs="黑体"/>
          <w:szCs w:val="22"/>
        </w:rPr>
        <w:t>A.1.1</w:t>
      </w:r>
      <w:r>
        <w:rPr>
          <w:rFonts w:hint="eastAsia"/>
        </w:rPr>
        <w:t xml:space="preserve"> </w:t>
      </w:r>
      <w:r>
        <w:t>范围</w:t>
      </w:r>
    </w:p>
    <w:p w14:paraId="38B5F796">
      <w:pPr>
        <w:pStyle w:val="24"/>
        <w:ind w:firstLine="1050" w:firstLineChars="500"/>
        <w:jc w:val="left"/>
      </w:pPr>
      <w:r>
        <w:t>本附录描述适用四点弯曲试验的接骨板弯曲疲劳测试方法，试验结果可以反映接骨板的疲劳性能。</w:t>
      </w:r>
    </w:p>
    <w:p w14:paraId="57B12E70">
      <w:pPr>
        <w:pStyle w:val="24"/>
        <w:jc w:val="left"/>
      </w:pPr>
      <w:r>
        <w:rPr>
          <w:rFonts w:ascii="黑体" w:hAnsi="黑体" w:eastAsia="黑体" w:cs="黑体"/>
          <w:szCs w:val="22"/>
        </w:rPr>
        <w:t>A.1.</w:t>
      </w:r>
      <w:r>
        <w:rPr>
          <w:rFonts w:hint="eastAsia" w:ascii="黑体" w:hAnsi="黑体" w:eastAsia="黑体" w:cs="黑体"/>
          <w:szCs w:val="22"/>
        </w:rPr>
        <w:t>2</w:t>
      </w:r>
      <w:r>
        <w:rPr>
          <w:rFonts w:hint="eastAsia"/>
        </w:rPr>
        <w:t xml:space="preserve"> </w:t>
      </w:r>
      <w:r>
        <w:t>试验仪器</w:t>
      </w:r>
    </w:p>
    <w:p w14:paraId="434F717A">
      <w:pPr>
        <w:pStyle w:val="24"/>
        <w:ind w:firstLine="1050" w:firstLineChars="500"/>
        <w:jc w:val="left"/>
      </w:pPr>
      <w:r>
        <w:t>本附录描述适用四点弯曲试验的接骨板弯曲疲劳测试方法，试验结果可以反映接骨板的疲劳性能。</w:t>
      </w:r>
    </w:p>
    <w:p w14:paraId="1C374B4E">
      <w:pPr>
        <w:pStyle w:val="24"/>
        <w:tabs>
          <w:tab w:val="right" w:leader="dot" w:pos="9214"/>
          <w:tab w:val="clear" w:pos="9298"/>
        </w:tabs>
        <w:jc w:val="left"/>
        <w:rPr>
          <w:rFonts w:ascii="Times New Roman"/>
          <w:szCs w:val="21"/>
        </w:rPr>
      </w:pPr>
      <w:r>
        <w:rPr>
          <w:rFonts w:ascii="黑体" w:hAnsi="黑体" w:eastAsia="黑体" w:cs="黑体"/>
          <w:szCs w:val="22"/>
        </w:rPr>
        <w:t>A.1.</w:t>
      </w:r>
      <w:r>
        <w:rPr>
          <w:rFonts w:hint="eastAsia" w:ascii="黑体" w:hAnsi="黑体" w:eastAsia="黑体" w:cs="黑体"/>
          <w:szCs w:val="22"/>
        </w:rPr>
        <w:t>2</w:t>
      </w:r>
      <w:r>
        <w:rPr>
          <w:rFonts w:ascii="黑体" w:hAnsi="黑体" w:eastAsia="黑体" w:cs="黑体"/>
          <w:szCs w:val="22"/>
        </w:rPr>
        <w:t xml:space="preserve">.1 </w:t>
      </w:r>
      <w:r>
        <w:t>图A.1.1 显示了试验布局结构示意图</w:t>
      </w:r>
      <w:r>
        <w:rPr>
          <w:rFonts w:hint="eastAsia"/>
        </w:rPr>
        <w:t>。</w:t>
      </w:r>
    </w:p>
    <w:p w14:paraId="615F8010">
      <w:pPr>
        <w:pStyle w:val="24"/>
        <w:tabs>
          <w:tab w:val="right" w:leader="dot" w:pos="9214"/>
          <w:tab w:val="clear" w:pos="9298"/>
        </w:tabs>
        <w:jc w:val="left"/>
        <w:rPr>
          <w:rFonts w:ascii="Times New Roman"/>
          <w:szCs w:val="21"/>
        </w:rPr>
      </w:pPr>
      <w:r>
        <w:rPr>
          <w:rFonts w:ascii="黑体" w:hAnsi="黑体" w:eastAsia="黑体" w:cs="黑体"/>
          <w:szCs w:val="22"/>
        </w:rPr>
        <w:t>A.1.</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 xml:space="preserve"> </w:t>
      </w:r>
      <w:r>
        <w:t>所有的试验载荷要通过具有相同直径的加载辊轴施加（加载辊轴直径取决于骨板尺寸）。选用的加载辊轴直径不应大于试验骨板两邻近螺孔的间距</w:t>
      </w:r>
      <w:r>
        <w:rPr>
          <w:rFonts w:hint="eastAsia"/>
        </w:rPr>
        <w:t>。</w:t>
      </w:r>
    </w:p>
    <w:p w14:paraId="3E3E25E9">
      <w:pPr>
        <w:pStyle w:val="24"/>
        <w:tabs>
          <w:tab w:val="right" w:leader="dot" w:pos="9214"/>
          <w:tab w:val="clear" w:pos="9298"/>
        </w:tabs>
        <w:jc w:val="left"/>
        <w:rPr>
          <w:rFonts w:ascii="Times New Roman"/>
          <w:szCs w:val="21"/>
        </w:rPr>
      </w:pPr>
      <w:r>
        <w:rPr>
          <w:rFonts w:ascii="黑体" w:hAnsi="黑体" w:eastAsia="黑体" w:cs="黑体"/>
          <w:szCs w:val="22"/>
        </w:rPr>
        <w:t>A.1.</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 xml:space="preserve"> </w:t>
      </w:r>
      <w:r>
        <w:t>用圆柱形加载辊轴测试平面骨板和横截面弯曲骨板，其中横截面弯曲骨板距中心平面的偏移量不得超过骨板宽度的1/6。用外形适当的加载辊轴对其他骨板进行测试。</w:t>
      </w:r>
    </w:p>
    <w:p w14:paraId="359AE770">
      <w:pPr>
        <w:pStyle w:val="24"/>
        <w:tabs>
          <w:tab w:val="right" w:leader="dot" w:pos="9214"/>
          <w:tab w:val="clear" w:pos="9298"/>
        </w:tabs>
        <w:jc w:val="left"/>
      </w:pPr>
      <w:r>
        <w:rPr>
          <w:rFonts w:ascii="黑体" w:hAnsi="黑体" w:eastAsia="黑体" w:cs="黑体"/>
          <w:szCs w:val="22"/>
        </w:rPr>
        <w:t>A.1.</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4</w:t>
      </w:r>
      <w:r>
        <w:rPr>
          <w:rFonts w:ascii="黑体" w:hAnsi="黑体" w:eastAsia="黑体" w:cs="黑体"/>
          <w:szCs w:val="22"/>
        </w:rPr>
        <w:t xml:space="preserve"> </w:t>
      </w:r>
      <w:r>
        <w:t>加载辊轴和支撑辊轴放置规则如下：</w:t>
      </w:r>
    </w:p>
    <w:p w14:paraId="4682E5F3">
      <w:pPr>
        <w:pStyle w:val="24"/>
        <w:tabs>
          <w:tab w:val="right" w:leader="dot" w:pos="9214"/>
        </w:tabs>
        <w:jc w:val="left"/>
      </w:pPr>
      <w:r>
        <w:rPr>
          <w:rFonts w:hint="eastAsia"/>
        </w:rPr>
        <w:t>（1）放置加载辊轴时应使两加载辊轴间有两个螺孔。记录中心跨距距离。</w:t>
      </w:r>
    </w:p>
    <w:p w14:paraId="26BC7F4F">
      <w:pPr>
        <w:pStyle w:val="24"/>
        <w:tabs>
          <w:tab w:val="right" w:leader="dot" w:pos="9214"/>
        </w:tabs>
        <w:jc w:val="left"/>
      </w:pPr>
      <w:r>
        <w:rPr>
          <w:rFonts w:hint="eastAsia"/>
        </w:rPr>
        <w:t>（2）两支撑辊轴与最邻近加载辊轴的距离应相同且支撑辊轴与相邻加载辊轴之间应有两个螺孔。记录支撑辊轴至最近加载辊轴间的距离。</w:t>
      </w:r>
    </w:p>
    <w:p w14:paraId="286CBFFC">
      <w:pPr>
        <w:pStyle w:val="24"/>
        <w:tabs>
          <w:tab w:val="right" w:leader="dot" w:pos="9214"/>
        </w:tabs>
        <w:jc w:val="left"/>
      </w:pPr>
      <w:r>
        <w:rPr>
          <w:rFonts w:hint="eastAsia"/>
        </w:rPr>
        <w:t>（3）推荐将加载辊轴放置在两支撑辊轴距离的三分之一处。</w:t>
      </w:r>
    </w:p>
    <w:p w14:paraId="6FF2A3AF">
      <w:pPr>
        <w:pStyle w:val="24"/>
        <w:tabs>
          <w:tab w:val="right" w:leader="dot" w:pos="9214"/>
          <w:tab w:val="clear" w:pos="9298"/>
        </w:tabs>
        <w:jc w:val="left"/>
        <w:rPr>
          <w:rFonts w:ascii="Times New Roman"/>
          <w:szCs w:val="21"/>
        </w:rPr>
      </w:pPr>
      <w:r>
        <w:rPr>
          <w:rFonts w:hint="eastAsia"/>
        </w:rPr>
        <w:t>（4）施加的载荷应能平均地分配在各加载辊轴上。</w:t>
      </w:r>
    </w:p>
    <w:p w14:paraId="59391020">
      <w:pPr>
        <w:pStyle w:val="24"/>
        <w:tabs>
          <w:tab w:val="right" w:leader="dot" w:pos="9214"/>
          <w:tab w:val="clear" w:pos="9298"/>
        </w:tabs>
        <w:jc w:val="left"/>
        <w:rPr>
          <w:rFonts w:ascii="Times New Roman"/>
          <w:szCs w:val="21"/>
        </w:rPr>
      </w:pPr>
      <w:r>
        <w:rPr>
          <w:rFonts w:ascii="Times New Roman"/>
        </w:rPr>
        <w:drawing>
          <wp:anchor distT="0" distB="0" distL="114300" distR="114300" simplePos="0" relativeHeight="251660288" behindDoc="0" locked="0" layoutInCell="1" allowOverlap="1">
            <wp:simplePos x="0" y="0"/>
            <wp:positionH relativeFrom="column">
              <wp:posOffset>1656715</wp:posOffset>
            </wp:positionH>
            <wp:positionV relativeFrom="paragraph">
              <wp:posOffset>241300</wp:posOffset>
            </wp:positionV>
            <wp:extent cx="3072765" cy="2159635"/>
            <wp:effectExtent l="0" t="0" r="0" b="0"/>
            <wp:wrapTopAndBottom/>
            <wp:docPr id="17307052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05272" name="图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072765" cy="2159635"/>
                    </a:xfrm>
                    <a:prstGeom prst="rect">
                      <a:avLst/>
                    </a:prstGeom>
                  </pic:spPr>
                </pic:pic>
              </a:graphicData>
            </a:graphic>
          </wp:anchor>
        </w:drawing>
      </w:r>
      <w:r>
        <w:rPr>
          <w:rFonts w:ascii="黑体" w:hAnsi="黑体" w:eastAsia="黑体" w:cs="黑体"/>
          <w:szCs w:val="22"/>
        </w:rPr>
        <w:t>A.1.</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5</w:t>
      </w:r>
      <w:r>
        <w:rPr>
          <w:rFonts w:ascii="黑体" w:hAnsi="黑体" w:eastAsia="黑体" w:cs="黑体"/>
          <w:szCs w:val="22"/>
        </w:rPr>
        <w:t xml:space="preserve"> </w:t>
      </w:r>
      <w:r>
        <w:t>如果弯曲疲劳试验中更换了试验布局结构，应在试验报告中进行描述。</w:t>
      </w:r>
    </w:p>
    <w:p w14:paraId="1230080A">
      <w:pPr>
        <w:pStyle w:val="24"/>
        <w:ind w:firstLine="1050" w:firstLineChars="500"/>
        <w:jc w:val="center"/>
      </w:pPr>
      <w:r>
        <w:rPr>
          <w:rFonts w:ascii="黑体" w:hAnsi="黑体" w:eastAsia="黑体" w:cs="黑体"/>
          <w:szCs w:val="22"/>
        </w:rPr>
        <w:t xml:space="preserve">图A.1.1 </w:t>
      </w:r>
      <w:r>
        <w:t>四点弯曲试验布局结构</w:t>
      </w:r>
    </w:p>
    <w:p w14:paraId="7756EC8A">
      <w:pPr>
        <w:pStyle w:val="24"/>
        <w:jc w:val="left"/>
      </w:pPr>
      <w:r>
        <w:rPr>
          <w:rFonts w:ascii="黑体" w:hAnsi="黑体" w:eastAsia="黑体" w:cs="黑体"/>
          <w:szCs w:val="22"/>
        </w:rPr>
        <w:t>A.1.</w:t>
      </w:r>
      <w:r>
        <w:rPr>
          <w:rFonts w:hint="eastAsia" w:ascii="黑体" w:hAnsi="黑体" w:eastAsia="黑体" w:cs="黑体"/>
          <w:szCs w:val="22"/>
        </w:rPr>
        <w:t>3</w:t>
      </w:r>
      <w:r>
        <w:rPr>
          <w:rFonts w:hint="eastAsia"/>
        </w:rPr>
        <w:t xml:space="preserve"> </w:t>
      </w:r>
      <w:r>
        <w:t>试验方法</w:t>
      </w:r>
    </w:p>
    <w:p w14:paraId="6618DFDB">
      <w:pPr>
        <w:pStyle w:val="24"/>
        <w:tabs>
          <w:tab w:val="right" w:leader="dot" w:pos="9214"/>
          <w:tab w:val="clear" w:pos="9298"/>
        </w:tabs>
        <w:jc w:val="left"/>
        <w:rPr>
          <w:rFonts w:ascii="Times New Roman"/>
          <w:szCs w:val="21"/>
        </w:rPr>
      </w:pPr>
      <w:r>
        <w:rPr>
          <w:rFonts w:ascii="黑体" w:hAnsi="黑体" w:eastAsia="黑体" w:cs="黑体"/>
          <w:szCs w:val="22"/>
        </w:rPr>
        <w:t>A.1.</w:t>
      </w:r>
      <w:r>
        <w:rPr>
          <w:rFonts w:hint="eastAsia" w:ascii="黑体" w:hAnsi="黑体" w:eastAsia="黑体" w:cs="黑体"/>
          <w:szCs w:val="22"/>
        </w:rPr>
        <w:t>3</w:t>
      </w:r>
      <w:r>
        <w:rPr>
          <w:rFonts w:ascii="黑体" w:hAnsi="黑体" w:eastAsia="黑体" w:cs="黑体"/>
          <w:szCs w:val="22"/>
        </w:rPr>
        <w:t xml:space="preserve">.1 </w:t>
      </w:r>
      <w:r>
        <w:t>将骨板放置在试验夹具中，并根据以下方法定位</w:t>
      </w:r>
      <w:r>
        <w:rPr>
          <w:rFonts w:hint="eastAsia"/>
        </w:rPr>
        <w:t>。</w:t>
      </w:r>
    </w:p>
    <w:p w14:paraId="6350B2D1">
      <w:pPr>
        <w:pStyle w:val="24"/>
        <w:tabs>
          <w:tab w:val="right" w:leader="dot" w:pos="9214"/>
          <w:tab w:val="clear" w:pos="9298"/>
        </w:tabs>
        <w:jc w:val="left"/>
      </w:pPr>
      <w:r>
        <w:rPr>
          <w:rFonts w:ascii="黑体" w:hAnsi="黑体" w:eastAsia="黑体" w:cs="黑体"/>
          <w:szCs w:val="22"/>
        </w:rPr>
        <w:t>A.1.</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1.1</w:t>
      </w:r>
      <w:r>
        <w:rPr>
          <w:rFonts w:ascii="黑体" w:hAnsi="黑体" w:eastAsia="黑体" w:cs="黑体"/>
          <w:szCs w:val="22"/>
        </w:rPr>
        <w:t xml:space="preserve"> </w:t>
      </w:r>
      <w:r>
        <w:t>放置骨板要使加载辊轴与同骨骼相接触的骨板表面相接触</w:t>
      </w:r>
      <w:r>
        <w:rPr>
          <w:rFonts w:hint="eastAsia"/>
        </w:rPr>
        <w:t>。</w:t>
      </w:r>
    </w:p>
    <w:p w14:paraId="7254CC6F">
      <w:pPr>
        <w:pStyle w:val="24"/>
        <w:tabs>
          <w:tab w:val="right" w:leader="dot" w:pos="9214"/>
          <w:tab w:val="clear" w:pos="9298"/>
        </w:tabs>
        <w:jc w:val="left"/>
      </w:pPr>
      <w:r>
        <w:rPr>
          <w:rFonts w:ascii="黑体" w:hAnsi="黑体" w:eastAsia="黑体" w:cs="黑体"/>
          <w:szCs w:val="22"/>
        </w:rPr>
        <w:t>A.1.</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1.2</w:t>
      </w:r>
      <w:r>
        <w:rPr>
          <w:rFonts w:ascii="黑体" w:hAnsi="黑体" w:eastAsia="黑体" w:cs="黑体"/>
          <w:szCs w:val="22"/>
        </w:rPr>
        <w:t xml:space="preserve"> </w:t>
      </w:r>
      <w:r>
        <w:t>应确保两个加载辊轴不与骨板有螺孔的部分相接触。只要可能，两个支撑辊轴也不应与骨板有螺孔的部分相接触</w:t>
      </w:r>
      <w:r>
        <w:rPr>
          <w:rFonts w:hint="eastAsia"/>
        </w:rPr>
        <w:t>。</w:t>
      </w:r>
    </w:p>
    <w:p w14:paraId="1321DD98">
      <w:pPr>
        <w:pStyle w:val="24"/>
        <w:tabs>
          <w:tab w:val="right" w:leader="dot" w:pos="9214"/>
          <w:tab w:val="clear" w:pos="9298"/>
        </w:tabs>
        <w:jc w:val="left"/>
        <w:rPr>
          <w:rFonts w:ascii="Times New Roman"/>
          <w:szCs w:val="21"/>
        </w:rPr>
      </w:pPr>
      <w:r>
        <w:rPr>
          <w:rFonts w:ascii="黑体" w:hAnsi="黑体" w:eastAsia="黑体" w:cs="黑体"/>
          <w:szCs w:val="22"/>
        </w:rPr>
        <w:t>A.1.</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 xml:space="preserve"> </w:t>
      </w:r>
      <w:r>
        <w:t>将安装好的试验装置整体浸没于37±1℃的PBS溶液环境下进行加载</w:t>
      </w:r>
      <w:r>
        <w:rPr>
          <w:rFonts w:hint="eastAsia"/>
        </w:rPr>
        <w:t>。</w:t>
      </w:r>
    </w:p>
    <w:p w14:paraId="29E8E919">
      <w:pPr>
        <w:pStyle w:val="24"/>
        <w:tabs>
          <w:tab w:val="right" w:leader="dot" w:pos="9214"/>
          <w:tab w:val="clear" w:pos="9298"/>
        </w:tabs>
        <w:jc w:val="left"/>
        <w:rPr>
          <w:rFonts w:ascii="Times New Roman"/>
          <w:szCs w:val="21"/>
        </w:rPr>
      </w:pPr>
      <w:r>
        <w:rPr>
          <w:rFonts w:ascii="黑体" w:hAnsi="黑体" w:eastAsia="黑体" w:cs="黑体"/>
          <w:szCs w:val="22"/>
        </w:rPr>
        <w:t>A.1.</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 xml:space="preserve"> </w:t>
      </w:r>
      <w:r>
        <w:t>通过试验机施加正弦循环载荷，选择合适的加载频率，避免试验溶液溢出，建议加载频率1～</w:t>
      </w:r>
      <w:r>
        <w:rPr>
          <w:rFonts w:hint="eastAsia"/>
        </w:rPr>
        <w:t>5</w:t>
      </w:r>
      <w:r>
        <w:t>Hz。</w:t>
      </w:r>
    </w:p>
    <w:p w14:paraId="0AA6523F">
      <w:pPr>
        <w:pStyle w:val="24"/>
        <w:tabs>
          <w:tab w:val="right" w:leader="dot" w:pos="9214"/>
          <w:tab w:val="clear" w:pos="9298"/>
        </w:tabs>
        <w:jc w:val="left"/>
        <w:rPr>
          <w:rFonts w:ascii="Times New Roman"/>
          <w:szCs w:val="21"/>
        </w:rPr>
      </w:pPr>
      <w:r>
        <w:rPr>
          <w:rFonts w:ascii="黑体" w:hAnsi="黑体" w:eastAsia="黑体" w:cs="黑体"/>
          <w:szCs w:val="22"/>
        </w:rPr>
        <w:t>A.1.</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4</w:t>
      </w:r>
      <w:r>
        <w:rPr>
          <w:rFonts w:ascii="黑体" w:hAnsi="黑体" w:eastAsia="黑体" w:cs="黑体"/>
          <w:szCs w:val="22"/>
        </w:rPr>
        <w:t xml:space="preserve"> </w:t>
      </w:r>
      <w:r>
        <w:t>试验续到以下情况之一时结束：试样失效或达到截止循环数。因螺钉松动或压板松动等固定失效导致的停机应判为无效试验。</w:t>
      </w:r>
    </w:p>
    <w:p w14:paraId="02F92F57">
      <w:pPr>
        <w:pStyle w:val="24"/>
        <w:tabs>
          <w:tab w:val="right" w:leader="dot" w:pos="9214"/>
          <w:tab w:val="clear" w:pos="9298"/>
        </w:tabs>
        <w:jc w:val="left"/>
        <w:rPr>
          <w:rFonts w:ascii="Times New Roman"/>
          <w:szCs w:val="21"/>
        </w:rPr>
      </w:pPr>
    </w:p>
    <w:p w14:paraId="482E3D69">
      <w:pPr>
        <w:pStyle w:val="24"/>
        <w:jc w:val="left"/>
      </w:pPr>
      <w:r>
        <w:rPr>
          <w:rFonts w:ascii="黑体" w:hAnsi="黑体" w:eastAsia="黑体" w:cs="黑体"/>
        </w:rPr>
        <w:t>A.</w:t>
      </w:r>
      <w:r>
        <w:rPr>
          <w:rFonts w:hint="eastAsia" w:ascii="黑体" w:hAnsi="黑体" w:eastAsia="黑体" w:cs="黑体"/>
        </w:rPr>
        <w:t>2</w:t>
      </w:r>
      <w:r>
        <w:rPr>
          <w:rFonts w:hint="eastAsia"/>
        </w:rPr>
        <w:t xml:space="preserve"> </w:t>
      </w:r>
      <w:r>
        <w:t>接骨板三点弯曲试验方法</w:t>
      </w:r>
    </w:p>
    <w:p w14:paraId="30F6C308">
      <w:pPr>
        <w:pStyle w:val="24"/>
        <w:jc w:val="left"/>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.1</w:t>
      </w:r>
      <w:r>
        <w:rPr>
          <w:rFonts w:hint="eastAsia"/>
        </w:rPr>
        <w:t xml:space="preserve"> </w:t>
      </w:r>
      <w:r>
        <w:t>范围</w:t>
      </w:r>
    </w:p>
    <w:p w14:paraId="05A4D43D">
      <w:pPr>
        <w:pStyle w:val="24"/>
        <w:ind w:firstLine="1050" w:firstLineChars="500"/>
        <w:jc w:val="left"/>
      </w:pPr>
      <w:r>
        <w:t>本附录描述适用三点弯曲试验的接骨板弯曲疲劳测试方法，针对尺寸较小，长度较短，不适用四点弯曲试验的接骨板弯曲疲劳测试方法，试验结果可以反映接骨板的疲劳性能。</w:t>
      </w:r>
    </w:p>
    <w:p w14:paraId="1F6EE2D5">
      <w:pPr>
        <w:pStyle w:val="24"/>
        <w:jc w:val="left"/>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hint="eastAsia"/>
        </w:rPr>
        <w:t xml:space="preserve"> </w:t>
      </w:r>
      <w:r>
        <w:t>试验仪器</w:t>
      </w:r>
    </w:p>
    <w:p w14:paraId="7C00C178">
      <w:pPr>
        <w:pStyle w:val="24"/>
        <w:ind w:firstLine="1050" w:firstLineChars="500"/>
        <w:jc w:val="left"/>
      </w:pPr>
      <w:r>
        <w:t>本附录描述适用四点弯曲试验的接骨板弯曲疲劳测试方法，试验结果可以反映接骨板的疲劳性能。</w:t>
      </w:r>
    </w:p>
    <w:p w14:paraId="440B0C5C">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 xml:space="preserve">.1 </w:t>
      </w:r>
      <w:r>
        <w:t>图A.2.1 显示了试验布局结构示意图</w:t>
      </w:r>
      <w:r>
        <w:rPr>
          <w:rFonts w:hint="eastAsia"/>
        </w:rPr>
        <w:t>。</w:t>
      </w:r>
    </w:p>
    <w:p w14:paraId="76E5F152">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 xml:space="preserve"> </w:t>
      </w:r>
      <w:r>
        <w:t>所有的试验载荷要通过具有相同直径的加载辊轴施加（加载辊轴直径取决于骨板尺寸）。选用的加载辊轴直径不应大于试验骨板两邻近螺孔的间距</w:t>
      </w:r>
      <w:r>
        <w:rPr>
          <w:rFonts w:hint="eastAsia"/>
        </w:rPr>
        <w:t>。</w:t>
      </w:r>
    </w:p>
    <w:p w14:paraId="6E67D710">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 xml:space="preserve"> </w:t>
      </w:r>
      <w:r>
        <w:t>用圆柱形加载辊轴测试平面骨板和横截面弯曲骨板，其中横截面弯曲骨板距中心平面的偏移量不得超过骨板宽度的1/6。用外形适当的加载辊轴对其他骨板进行测试。</w:t>
      </w:r>
    </w:p>
    <w:p w14:paraId="20B27FD1">
      <w:pPr>
        <w:pStyle w:val="24"/>
        <w:tabs>
          <w:tab w:val="right" w:leader="dot" w:pos="9214"/>
          <w:tab w:val="clear" w:pos="9298"/>
        </w:tabs>
        <w:jc w:val="left"/>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4</w:t>
      </w:r>
      <w:r>
        <w:rPr>
          <w:rFonts w:ascii="黑体" w:hAnsi="黑体" w:eastAsia="黑体" w:cs="黑体"/>
          <w:szCs w:val="22"/>
        </w:rPr>
        <w:t xml:space="preserve"> </w:t>
      </w:r>
      <w:r>
        <w:t>加载辊轴和支撑辊轴放置规则如下：</w:t>
      </w:r>
    </w:p>
    <w:p w14:paraId="7ADE4A44">
      <w:pPr>
        <w:pStyle w:val="24"/>
        <w:tabs>
          <w:tab w:val="right" w:leader="dot" w:pos="9214"/>
        </w:tabs>
        <w:jc w:val="left"/>
      </w:pPr>
      <w:r>
        <w:rPr>
          <w:rFonts w:hint="eastAsia"/>
        </w:rPr>
        <w:t>（1）</w:t>
      </w:r>
      <w:r>
        <w:t>放置支撑辊轴时应使两支撑辊轴间有两个螺孔，放置在相邻螺孔的中心，支撑辊轴推荐放置在骨板下方。记录中心跨距距离</w:t>
      </w:r>
      <w:r>
        <w:rPr>
          <w:rFonts w:hint="eastAsia"/>
        </w:rPr>
        <w:t>。</w:t>
      </w:r>
    </w:p>
    <w:p w14:paraId="3CD40EA3">
      <w:pPr>
        <w:pStyle w:val="24"/>
        <w:tabs>
          <w:tab w:val="right" w:leader="dot" w:pos="9214"/>
        </w:tabs>
        <w:jc w:val="left"/>
      </w:pPr>
      <w:r>
        <w:rPr>
          <w:rFonts w:hint="eastAsia"/>
        </w:rPr>
        <w:t>（2）</w:t>
      </w:r>
      <w:r>
        <w:t>加载辊轴应位于支撑辊轴的中心位置，放置在骨板上方</w:t>
      </w:r>
      <w:r>
        <w:rPr>
          <w:rFonts w:hint="eastAsia"/>
        </w:rPr>
        <w:t>。</w:t>
      </w:r>
    </w:p>
    <w:p w14:paraId="2C99D3C1">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5</w:t>
      </w:r>
      <w:r>
        <w:rPr>
          <w:rFonts w:ascii="黑体" w:hAnsi="黑体" w:eastAsia="黑体" w:cs="黑体"/>
          <w:szCs w:val="22"/>
        </w:rPr>
        <w:t xml:space="preserve"> </w:t>
      </w:r>
      <w:r>
        <w:t>如果弯曲疲劳试验中更换了试验布局结构，应在试验报告中进行描述</w:t>
      </w:r>
      <w:r>
        <w:rPr>
          <w:rFonts w:hint="eastAsia"/>
        </w:rPr>
        <w:t>。</w:t>
      </w:r>
    </w:p>
    <w:p w14:paraId="245D6C77">
      <w:pPr>
        <w:pStyle w:val="24"/>
        <w:tabs>
          <w:tab w:val="right" w:leader="dot" w:pos="9214"/>
          <w:tab w:val="clear" w:pos="9298"/>
        </w:tabs>
        <w:jc w:val="center"/>
        <w:rPr>
          <w:rFonts w:ascii="Times New Roman"/>
          <w:szCs w:val="21"/>
        </w:rPr>
      </w:pPr>
      <w:r>
        <w:rPr>
          <w:rFonts w:ascii="Times New Roman"/>
        </w:rPr>
        <w:drawing>
          <wp:inline distT="0" distB="0" distL="0" distR="0">
            <wp:extent cx="5274310" cy="2967355"/>
            <wp:effectExtent l="0" t="0" r="2540" b="4445"/>
            <wp:docPr id="194920400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204002"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2967355"/>
                    </a:xfrm>
                    <a:prstGeom prst="rect">
                      <a:avLst/>
                    </a:prstGeom>
                    <a:noFill/>
                    <a:ln>
                      <a:noFill/>
                    </a:ln>
                  </pic:spPr>
                </pic:pic>
              </a:graphicData>
            </a:graphic>
          </wp:inline>
        </w:drawing>
      </w:r>
    </w:p>
    <w:p w14:paraId="1D720A82">
      <w:pPr>
        <w:spacing w:line="360" w:lineRule="auto"/>
        <w:jc w:val="center"/>
      </w:pPr>
      <w:r>
        <w:rPr>
          <w:rFonts w:hint="eastAsia" w:ascii="黑体" w:hAnsi="黑体" w:eastAsia="黑体" w:cs="黑体"/>
          <w:kern w:val="0"/>
          <w:szCs w:val="22"/>
        </w:rPr>
        <w:t>图A.2.1</w:t>
      </w:r>
      <w:r>
        <w:rPr>
          <w:rFonts w:hint="eastAsia"/>
        </w:rPr>
        <w:t xml:space="preserve"> 四点弯曲试验布局结构</w:t>
      </w:r>
    </w:p>
    <w:p w14:paraId="0897C440">
      <w:pPr>
        <w:pStyle w:val="24"/>
        <w:jc w:val="left"/>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hint="eastAsia"/>
        </w:rPr>
        <w:t xml:space="preserve"> </w:t>
      </w:r>
      <w:r>
        <w:t>试验方法</w:t>
      </w:r>
    </w:p>
    <w:p w14:paraId="41506F71">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 xml:space="preserve">.1 </w:t>
      </w:r>
      <w:r>
        <w:t>将骨板放置在试验夹具中，并根据以下方法定位</w:t>
      </w:r>
      <w:r>
        <w:rPr>
          <w:rFonts w:hint="eastAsia"/>
        </w:rPr>
        <w:t>。</w:t>
      </w:r>
    </w:p>
    <w:p w14:paraId="45D011A0">
      <w:pPr>
        <w:pStyle w:val="24"/>
        <w:tabs>
          <w:tab w:val="right" w:leader="dot" w:pos="9214"/>
          <w:tab w:val="clear" w:pos="9298"/>
        </w:tabs>
        <w:jc w:val="left"/>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1.1</w:t>
      </w:r>
      <w:r>
        <w:rPr>
          <w:rFonts w:ascii="黑体" w:hAnsi="黑体" w:eastAsia="黑体" w:cs="黑体"/>
          <w:szCs w:val="22"/>
        </w:rPr>
        <w:t xml:space="preserve"> </w:t>
      </w:r>
      <w:r>
        <w:t>放置骨板要使加载辊轴与同骨骼相接触的骨板表面相接触</w:t>
      </w:r>
      <w:r>
        <w:rPr>
          <w:rFonts w:hint="eastAsia"/>
        </w:rPr>
        <w:t>。</w:t>
      </w:r>
    </w:p>
    <w:p w14:paraId="5A40FD37">
      <w:pPr>
        <w:pStyle w:val="24"/>
        <w:tabs>
          <w:tab w:val="right" w:leader="dot" w:pos="9214"/>
          <w:tab w:val="clear" w:pos="9298"/>
        </w:tabs>
        <w:jc w:val="left"/>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1.2</w:t>
      </w:r>
      <w:r>
        <w:rPr>
          <w:rFonts w:ascii="黑体" w:hAnsi="黑体" w:eastAsia="黑体" w:cs="黑体"/>
          <w:szCs w:val="22"/>
        </w:rPr>
        <w:t xml:space="preserve"> </w:t>
      </w:r>
      <w:r>
        <w:t>应确保加载辊轴不与骨板有螺孔的部分相接触。只要可能，两个支撑辊轴也不应与骨板有螺孔的部分相接触</w:t>
      </w:r>
      <w:r>
        <w:rPr>
          <w:rFonts w:hint="eastAsia"/>
        </w:rPr>
        <w:t>。</w:t>
      </w:r>
    </w:p>
    <w:p w14:paraId="0A3F1BDF">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 xml:space="preserve"> </w:t>
      </w:r>
      <w:r>
        <w:t>将安装好的试验装置整体浸没于37±1℃的PBS溶液环境下进行加载</w:t>
      </w:r>
      <w:r>
        <w:rPr>
          <w:rFonts w:hint="eastAsia"/>
        </w:rPr>
        <w:t>。</w:t>
      </w:r>
    </w:p>
    <w:p w14:paraId="321CFB47">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 xml:space="preserve"> </w:t>
      </w:r>
      <w:r>
        <w:t>通过试验机施加正弦循环载荷，选择合适的加载频率，避免试验溶液溢出，建议加载频率1～</w:t>
      </w:r>
      <w:r>
        <w:rPr>
          <w:rFonts w:hint="eastAsia"/>
        </w:rPr>
        <w:t>5</w:t>
      </w:r>
      <w:r>
        <w:t>Hz。</w:t>
      </w:r>
    </w:p>
    <w:p w14:paraId="1CE08E4A">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4</w:t>
      </w:r>
      <w:r>
        <w:rPr>
          <w:rFonts w:ascii="黑体" w:hAnsi="黑体" w:eastAsia="黑体" w:cs="黑体"/>
          <w:szCs w:val="22"/>
        </w:rPr>
        <w:t xml:space="preserve"> </w:t>
      </w:r>
      <w:r>
        <w:t>试验续到以下情况之一时结束：试样失效或达到截止循环数。因螺钉松动或压板松动等固定失效导致的停机应判为无效试验。</w:t>
      </w:r>
    </w:p>
    <w:p w14:paraId="2CF9E0DF">
      <w:pPr>
        <w:pStyle w:val="24"/>
        <w:jc w:val="left"/>
        <w:rPr>
          <w:rFonts w:ascii="黑体" w:hAnsi="黑体" w:eastAsia="黑体" w:cs="黑体"/>
        </w:rPr>
      </w:pPr>
    </w:p>
    <w:p w14:paraId="218AA36F">
      <w:pPr>
        <w:pStyle w:val="24"/>
        <w:jc w:val="left"/>
      </w:pPr>
      <w:r>
        <w:rPr>
          <w:rFonts w:ascii="黑体" w:hAnsi="黑体" w:eastAsia="黑体" w:cs="黑体"/>
        </w:rPr>
        <w:t>A.</w:t>
      </w:r>
      <w:r>
        <w:rPr>
          <w:rFonts w:hint="eastAsia" w:ascii="黑体" w:hAnsi="黑体" w:eastAsia="黑体" w:cs="黑体"/>
        </w:rPr>
        <w:t>3</w:t>
      </w:r>
      <w:r>
        <w:rPr>
          <w:rFonts w:hint="eastAsia"/>
        </w:rPr>
        <w:t xml:space="preserve"> </w:t>
      </w:r>
      <w:r>
        <w:t>接骨板悬臂弯曲试验方法</w:t>
      </w:r>
    </w:p>
    <w:p w14:paraId="5EAC9BC9">
      <w:pPr>
        <w:pStyle w:val="24"/>
        <w:jc w:val="left"/>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.1</w:t>
      </w:r>
      <w:r>
        <w:rPr>
          <w:rFonts w:hint="eastAsia"/>
        </w:rPr>
        <w:t xml:space="preserve"> </w:t>
      </w:r>
      <w:r>
        <w:t>范围</w:t>
      </w:r>
    </w:p>
    <w:p w14:paraId="1EE14C48">
      <w:pPr>
        <w:pStyle w:val="24"/>
        <w:ind w:firstLine="1050" w:firstLineChars="500"/>
        <w:jc w:val="left"/>
      </w:pPr>
      <w:r>
        <w:t>本附录描述适用悬臂弯曲试验的接骨板弯曲疲劳测试方法，针对由接骨板具有适应特定解剖结构特征的接骨板，例如髁状突、复杂的（如楔形）、预塑形等设计特征与传统直型接骨板不同，不适用三点弯曲、四点弯曲试验的接骨板弯曲疲劳测试方法，试验结果可以反映接骨板的疲劳性能。</w:t>
      </w:r>
    </w:p>
    <w:p w14:paraId="44382CF7">
      <w:pPr>
        <w:pStyle w:val="24"/>
        <w:jc w:val="left"/>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2</w:t>
      </w:r>
      <w:r>
        <w:rPr>
          <w:rFonts w:hint="eastAsia"/>
        </w:rPr>
        <w:t xml:space="preserve"> </w:t>
      </w:r>
      <w:r>
        <w:t>试验仪器</w:t>
      </w:r>
    </w:p>
    <w:p w14:paraId="3DA1FEDC">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 xml:space="preserve">.1 </w:t>
      </w:r>
      <w:r>
        <w:t>图A.3.1 显示了试验布局结构示意图</w:t>
      </w:r>
      <w:r>
        <w:rPr>
          <w:rFonts w:hint="eastAsia"/>
        </w:rPr>
        <w:t>。</w:t>
      </w:r>
    </w:p>
    <w:p w14:paraId="0ABB2015">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 xml:space="preserve"> </w:t>
      </w:r>
      <w:r>
        <w:t>应将骨板的加载区域和固定区域分别使用螺钉安装在试验块上，并且保证测试过程中螺钉固定不得出现松动。或者采用合适的压板固定，同样需要保证测试过程中压板固定不得出现松动</w:t>
      </w:r>
      <w:r>
        <w:rPr>
          <w:rFonts w:hint="eastAsia"/>
        </w:rPr>
        <w:t>。</w:t>
      </w:r>
    </w:p>
    <w:p w14:paraId="47CA7728">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 xml:space="preserve"> </w:t>
      </w:r>
      <w:r>
        <w:t>悬臂弯曲的力臂定义为加载轴线到夹具边缘的距离，测量并记录该距离。选择合适力臂，保证测试过程中用于加载和固定的试验块不发生接触。</w:t>
      </w:r>
    </w:p>
    <w:p w14:paraId="3FE52B26">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w:t>
      </w:r>
      <w:r>
        <w:rPr>
          <w:rFonts w:hint="eastAsia" w:ascii="黑体" w:hAnsi="黑体" w:eastAsia="黑体" w:cs="黑体"/>
          <w:szCs w:val="22"/>
        </w:rPr>
        <w:t>4</w:t>
      </w:r>
      <w:r>
        <w:rPr>
          <w:rFonts w:ascii="黑体" w:hAnsi="黑体" w:eastAsia="黑体" w:cs="黑体"/>
          <w:szCs w:val="22"/>
        </w:rPr>
        <w:t xml:space="preserve"> </w:t>
      </w:r>
      <w:r>
        <w:t>如果弯曲疲劳试验中更换了试验布局结构，应在试验报告中进行描述</w:t>
      </w:r>
      <w:r>
        <w:rPr>
          <w:rFonts w:hint="eastAsia"/>
        </w:rPr>
        <w:t>。</w:t>
      </w:r>
    </w:p>
    <w:p w14:paraId="55B51B6F">
      <w:pPr>
        <w:pStyle w:val="24"/>
        <w:tabs>
          <w:tab w:val="right" w:leader="dot" w:pos="9214"/>
          <w:tab w:val="clear" w:pos="9298"/>
        </w:tabs>
        <w:jc w:val="center"/>
        <w:rPr>
          <w:rFonts w:ascii="Times New Roman"/>
          <w:szCs w:val="21"/>
        </w:rPr>
      </w:pPr>
      <w:r>
        <w:rPr>
          <w:rFonts w:ascii="Times New Roman"/>
        </w:rPr>
        <w:drawing>
          <wp:inline distT="0" distB="0" distL="0" distR="0">
            <wp:extent cx="5274310" cy="2967355"/>
            <wp:effectExtent l="0" t="0" r="2540" b="4445"/>
            <wp:docPr id="75006546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65469"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2967355"/>
                    </a:xfrm>
                    <a:prstGeom prst="rect">
                      <a:avLst/>
                    </a:prstGeom>
                    <a:noFill/>
                    <a:ln>
                      <a:noFill/>
                    </a:ln>
                  </pic:spPr>
                </pic:pic>
              </a:graphicData>
            </a:graphic>
          </wp:inline>
        </w:drawing>
      </w:r>
    </w:p>
    <w:p w14:paraId="1FEA47DE">
      <w:pPr>
        <w:spacing w:line="360" w:lineRule="auto"/>
        <w:jc w:val="center"/>
      </w:pPr>
      <w:r>
        <w:rPr>
          <w:rFonts w:hint="eastAsia" w:ascii="黑体" w:hAnsi="黑体" w:eastAsia="黑体" w:cs="黑体"/>
          <w:kern w:val="0"/>
          <w:szCs w:val="22"/>
        </w:rPr>
        <w:t>图A.3.1</w:t>
      </w:r>
      <w:r>
        <w:rPr>
          <w:rFonts w:hint="eastAsia"/>
        </w:rPr>
        <w:t xml:space="preserve"> </w:t>
      </w:r>
      <w:r>
        <w:t>悬臂弯曲试验布局结构</w:t>
      </w:r>
    </w:p>
    <w:p w14:paraId="79D3E19E">
      <w:pPr>
        <w:pStyle w:val="24"/>
        <w:jc w:val="left"/>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hint="eastAsia"/>
        </w:rPr>
        <w:t xml:space="preserve"> </w:t>
      </w:r>
      <w:r>
        <w:t>试验方法</w:t>
      </w:r>
    </w:p>
    <w:p w14:paraId="50835FA9">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 xml:space="preserve">.1 </w:t>
      </w:r>
      <w:r>
        <w:t>将骨板固定在试验块上，并根据以下方法定位</w:t>
      </w:r>
      <w:r>
        <w:rPr>
          <w:rFonts w:hint="eastAsia"/>
        </w:rPr>
        <w:t>。</w:t>
      </w:r>
    </w:p>
    <w:p w14:paraId="5AF9BA93">
      <w:pPr>
        <w:pStyle w:val="24"/>
        <w:tabs>
          <w:tab w:val="right" w:leader="dot" w:pos="9214"/>
          <w:tab w:val="clear" w:pos="9298"/>
        </w:tabs>
        <w:jc w:val="left"/>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1.1</w:t>
      </w:r>
      <w:r>
        <w:rPr>
          <w:rFonts w:ascii="黑体" w:hAnsi="黑体" w:eastAsia="黑体" w:cs="黑体"/>
          <w:szCs w:val="22"/>
        </w:rPr>
        <w:t xml:space="preserve"> </w:t>
      </w:r>
      <w:r>
        <w:t>放置骨板要使试验块表面与将同骨骼相接触的骨板表面相接触</w:t>
      </w:r>
      <w:r>
        <w:rPr>
          <w:rFonts w:hint="eastAsia"/>
        </w:rPr>
        <w:t>。</w:t>
      </w:r>
    </w:p>
    <w:p w14:paraId="39776D9F">
      <w:pPr>
        <w:pStyle w:val="24"/>
        <w:tabs>
          <w:tab w:val="right" w:leader="dot" w:pos="9214"/>
          <w:tab w:val="clear" w:pos="9298"/>
        </w:tabs>
        <w:jc w:val="left"/>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1.2</w:t>
      </w:r>
      <w:r>
        <w:rPr>
          <w:rFonts w:ascii="黑体" w:hAnsi="黑体" w:eastAsia="黑体" w:cs="黑体"/>
          <w:szCs w:val="22"/>
        </w:rPr>
        <w:t xml:space="preserve"> </w:t>
      </w:r>
      <w:r>
        <w:t>接骨板固定区域应平放，同时保证加载轴线与固定区域骨板长轴垂直</w:t>
      </w:r>
      <w:r>
        <w:rPr>
          <w:rFonts w:hint="eastAsia"/>
        </w:rPr>
        <w:t>。</w:t>
      </w:r>
    </w:p>
    <w:p w14:paraId="35B54CE5">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2</w:t>
      </w:r>
      <w:r>
        <w:rPr>
          <w:rFonts w:ascii="黑体" w:hAnsi="黑体" w:eastAsia="黑体" w:cs="黑体"/>
          <w:szCs w:val="22"/>
        </w:rPr>
        <w:t xml:space="preserve"> </w:t>
      </w:r>
      <w:r>
        <w:t>将安装好的试验装置整体浸没于37±1℃的PBS溶液环境下进行加载</w:t>
      </w:r>
      <w:r>
        <w:rPr>
          <w:rFonts w:hint="eastAsia"/>
        </w:rPr>
        <w:t>。</w:t>
      </w:r>
    </w:p>
    <w:p w14:paraId="0753C8C2">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 xml:space="preserve"> </w:t>
      </w:r>
      <w:r>
        <w:t>通过试验机施加正弦循环载荷，选择合适的加载频率，避免试验溶液溢出，建议加载频率1～</w:t>
      </w:r>
      <w:r>
        <w:rPr>
          <w:rFonts w:hint="eastAsia"/>
        </w:rPr>
        <w:t>5</w:t>
      </w:r>
      <w:r>
        <w:t>Hz。</w:t>
      </w:r>
    </w:p>
    <w:p w14:paraId="394A0C1F">
      <w:pPr>
        <w:pStyle w:val="24"/>
        <w:tabs>
          <w:tab w:val="right" w:leader="dot" w:pos="9214"/>
          <w:tab w:val="clear" w:pos="9298"/>
        </w:tabs>
        <w:jc w:val="left"/>
        <w:rPr>
          <w:rFonts w:ascii="Times New Roman"/>
          <w:szCs w:val="21"/>
        </w:rPr>
      </w:pPr>
      <w:r>
        <w:rPr>
          <w:rFonts w:ascii="黑体" w:hAnsi="黑体" w:eastAsia="黑体" w:cs="黑体"/>
          <w:szCs w:val="22"/>
        </w:rPr>
        <w:t>A.</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3</w:t>
      </w:r>
      <w:r>
        <w:rPr>
          <w:rFonts w:ascii="黑体" w:hAnsi="黑体" w:eastAsia="黑体" w:cs="黑体"/>
          <w:szCs w:val="22"/>
        </w:rPr>
        <w:t>.</w:t>
      </w:r>
      <w:r>
        <w:rPr>
          <w:rFonts w:hint="eastAsia" w:ascii="黑体" w:hAnsi="黑体" w:eastAsia="黑体" w:cs="黑体"/>
          <w:szCs w:val="22"/>
        </w:rPr>
        <w:t>4</w:t>
      </w:r>
      <w:r>
        <w:rPr>
          <w:rFonts w:ascii="黑体" w:hAnsi="黑体" w:eastAsia="黑体" w:cs="黑体"/>
          <w:szCs w:val="22"/>
        </w:rPr>
        <w:t xml:space="preserve"> </w:t>
      </w:r>
      <w:r>
        <w:t>试验续到以下情况之一时结束：试样失效或达到截止循环数。因螺钉松动或压板松动等固定失效导致的停机应判为无效试验。</w:t>
      </w:r>
    </w:p>
    <w:p w14:paraId="228929BF">
      <w:pPr>
        <w:pStyle w:val="75"/>
      </w:pPr>
      <w:bookmarkStart w:id="93" w:name="_Toc239967604"/>
      <w:r>
        <w:rPr>
          <w:rFonts w:hint="eastAsia"/>
        </w:rPr>
        <w:t>参</w:t>
      </w:r>
      <w:r>
        <w:rPr>
          <w:rFonts w:hAnsi="黑体"/>
        </w:rPr>
        <w:t> </w:t>
      </w:r>
      <w:r>
        <w:rPr>
          <w:rFonts w:hint="eastAsia"/>
        </w:rPr>
        <w:t>考</w:t>
      </w:r>
      <w:r>
        <w:rPr>
          <w:rFonts w:hAnsi="黑体"/>
        </w:rPr>
        <w:t> </w:t>
      </w:r>
      <w:r>
        <w:rPr>
          <w:rFonts w:hint="eastAsia"/>
        </w:rPr>
        <w:t>文</w:t>
      </w:r>
      <w:r>
        <w:rPr>
          <w:rFonts w:hAnsi="黑体"/>
        </w:rPr>
        <w:t> </w:t>
      </w:r>
      <w:r>
        <w:rPr>
          <w:rFonts w:hint="eastAsia"/>
        </w:rPr>
        <w:t>献</w:t>
      </w:r>
      <w:bookmarkEnd w:id="87"/>
      <w:bookmarkEnd w:id="88"/>
      <w:bookmarkEnd w:id="89"/>
      <w:bookmarkEnd w:id="90"/>
      <w:bookmarkEnd w:id="91"/>
      <w:bookmarkEnd w:id="92"/>
      <w:bookmarkEnd w:id="93"/>
    </w:p>
    <w:p w14:paraId="732EFC1E">
      <w:pPr>
        <w:pStyle w:val="24"/>
        <w:spacing w:before="156" w:after="156"/>
        <w:rPr>
          <w:rFonts w:hAnsi="宋体"/>
          <w:szCs w:val="21"/>
        </w:rPr>
      </w:pPr>
      <w:r>
        <w:rPr>
          <w:rFonts w:hAnsi="宋体"/>
          <w:szCs w:val="21"/>
        </w:rPr>
        <w:t>[1] Rikli D A, Curtis R, Schilling C, et al. The potential of bioresorbable plates and screws in distal radius fracture fixation[J]. Injury, 2002, 33(Suppl 2): 77-83.</w:t>
      </w:r>
    </w:p>
    <w:p w14:paraId="6C8B1118">
      <w:pPr>
        <w:pStyle w:val="24"/>
        <w:spacing w:before="156" w:after="156"/>
        <w:rPr>
          <w:rFonts w:hAnsi="宋体"/>
          <w:szCs w:val="21"/>
        </w:rPr>
      </w:pPr>
      <w:r>
        <w:rPr>
          <w:rFonts w:hAnsi="宋体"/>
          <w:szCs w:val="21"/>
        </w:rPr>
        <w:t>[2] Liu X, Wu W D, Fang Y F, et al. Biomechanical comparison of osteoporotic distal radius fractures fixed by distal locking screws with different length[J]. PLoS One, 2014, 9(7): e103371.</w:t>
      </w:r>
    </w:p>
    <w:p w14:paraId="2E1BABD9">
      <w:pPr>
        <w:pStyle w:val="24"/>
        <w:spacing w:before="156" w:after="156"/>
        <w:rPr>
          <w:rFonts w:hAnsi="宋体"/>
          <w:szCs w:val="21"/>
        </w:rPr>
      </w:pPr>
      <w:r>
        <w:rPr>
          <w:rFonts w:hAnsi="宋体"/>
          <w:szCs w:val="21"/>
        </w:rPr>
        <w:t>[3] Liu H C, Zeng Y H, Lin C L. Mechanical comparison of a novel hybrid and commercial dorsal double plating for distal radius fracture: in vitro fatigue four-point bending and biomechanical testing[J]. Materials, 2021, 14(20): 6167.</w:t>
      </w:r>
    </w:p>
    <w:p w14:paraId="769C6D7C">
      <w:pPr>
        <w:pStyle w:val="24"/>
        <w:spacing w:before="156" w:after="156"/>
        <w:rPr>
          <w:rFonts w:hAnsi="宋体"/>
          <w:szCs w:val="21"/>
        </w:rPr>
      </w:pPr>
      <w:r>
        <w:rPr>
          <w:rFonts w:hAnsi="宋体"/>
          <w:szCs w:val="21"/>
        </w:rPr>
        <w:t>[4] Liporace F A, Gupta S, Jeong G K, et al. A biomechanical comparison of a dorsal 3.5-mm T-plate and a volar fixed-angle plate in a model of dorsally unstable distal radius fractures[J]. Journal of Orthopaedic Trauma, 2005, 19(3): 187-191.</w:t>
      </w:r>
    </w:p>
    <w:p w14:paraId="6A211D17">
      <w:pPr>
        <w:pStyle w:val="24"/>
        <w:spacing w:before="156" w:after="156"/>
        <w:rPr>
          <w:rFonts w:hAnsi="宋体"/>
          <w:szCs w:val="21"/>
        </w:rPr>
      </w:pPr>
      <w:r>
        <w:rPr>
          <w:rFonts w:hAnsi="宋体"/>
          <w:szCs w:val="21"/>
        </w:rPr>
        <w:t>[5] Chen C Y, Lin Y H, Kuo H N, et al. Design optimization and experimental evaluation of dorsal double plating fixation for distal radius fracture[J]. Injury, 2013, 44(4): 527-534.</w:t>
      </w:r>
    </w:p>
    <w:p w14:paraId="03134B0C">
      <w:pPr>
        <w:pStyle w:val="24"/>
        <w:spacing w:before="156" w:after="156"/>
        <w:rPr>
          <w:rFonts w:hAnsi="宋体"/>
          <w:szCs w:val="21"/>
        </w:rPr>
      </w:pPr>
      <w:r>
        <w:rPr>
          <w:rFonts w:hAnsi="宋体"/>
          <w:szCs w:val="21"/>
        </w:rPr>
        <w:t>[6] Liang X, Gao J, Xu W, et al. Structural mechanics of 3D-printed poly(lactic acid) scaffolds with tetragonal, hexagonal and wheel-like designs[J]. Biofabrication, 2019, 11(3): 035009.</w:t>
      </w:r>
    </w:p>
    <w:p w14:paraId="24E8ABE3">
      <w:pPr>
        <w:pStyle w:val="24"/>
        <w:spacing w:before="156" w:after="156"/>
        <w:rPr>
          <w:rFonts w:hAnsi="宋体"/>
          <w:szCs w:val="21"/>
        </w:rPr>
      </w:pPr>
    </w:p>
    <w:p w14:paraId="0D16DD17">
      <w:pPr>
        <w:pStyle w:val="24"/>
        <w:spacing w:before="156" w:after="156"/>
        <w:rPr>
          <w:rFonts w:hAnsi="宋体"/>
          <w:szCs w:val="21"/>
        </w:rPr>
      </w:pPr>
      <w:r>
        <w:rPr>
          <w:rFonts w:hAnsi="宋体"/>
          <w:szCs w:val="21"/>
        </w:rPr>
        <w:pict>
          <v:rect id="_x0000_i1025" o:spt="1" style="height:1.5pt;width:114.9pt;" fillcolor="#000000" filled="t" stroked="f" coordsize="21600,21600" o:hr="t" o:hrstd="t" o:hrnoshade="t" o:hrpct="250" o:hralign="center">
            <v:path/>
            <v:fill on="t" focussize="0,0"/>
            <v:stroke on="f"/>
            <v:imagedata o:title=""/>
            <o:lock v:ext="edit"/>
            <w10:wrap type="none"/>
            <w10:anchorlock/>
          </v:rect>
        </w:pict>
      </w:r>
    </w:p>
    <w:bookmarkEnd w:id="53"/>
    <w:bookmarkEnd w:id="54"/>
    <w:bookmarkEnd w:id="55"/>
    <w:bookmarkEnd w:id="56"/>
    <w:bookmarkEnd w:id="57"/>
    <w:bookmarkEnd w:id="58"/>
    <w:bookmarkEnd w:id="59"/>
    <w:bookmarkEnd w:id="60"/>
    <w:bookmarkEnd w:id="61"/>
    <w:p w14:paraId="412C629E">
      <w:pPr>
        <w:pStyle w:val="24"/>
        <w:spacing w:before="156" w:after="156"/>
        <w:rPr>
          <w:vanish/>
          <w:szCs w:val="21"/>
        </w:rPr>
      </w:pPr>
    </w:p>
    <w:sectPr>
      <w:footerReference r:id="rId8" w:type="default"/>
      <w:pgSz w:w="11906" w:h="16838"/>
      <w:pgMar w:top="1797" w:right="1274" w:bottom="1797" w:left="1440" w:header="1418" w:footer="1134" w:gutter="0"/>
      <w:pgNumType w:start="1"/>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56B37">
    <w:pPr>
      <w:pStyle w:val="72"/>
    </w:pPr>
    <w:r>
      <w:fldChar w:fldCharType="begin"/>
    </w:r>
    <w:r>
      <w:instrText xml:space="preserve"> PAGE  \* MERGEFORMAT </w:instrText>
    </w:r>
    <w:r>
      <w:fldChar w:fldCharType="separate"/>
    </w:r>
    <w: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3C3FD">
    <w:pPr>
      <w:pStyle w:val="47"/>
    </w:pPr>
    <w:r>
      <w:fldChar w:fldCharType="begin"/>
    </w:r>
    <w:r>
      <w:instrText xml:space="preserve"> PAGE  \* MERGEFORMAT </w:instrText>
    </w:r>
    <w:r>
      <w:fldChar w:fldCharType="separate"/>
    </w:r>
    <w:r>
      <w:t>III</w:t>
    </w:r>
    <w:r>
      <w:fldChar w:fldCharType="end"/>
    </w:r>
  </w:p>
  <w:p w14:paraId="5372A20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0290185"/>
    </w:sdtPr>
    <w:sdtContent>
      <w:p w14:paraId="181F400F">
        <w:pPr>
          <w:pStyle w:val="18"/>
        </w:pPr>
        <w:r>
          <w:fldChar w:fldCharType="begin"/>
        </w:r>
        <w:r>
          <w:instrText xml:space="preserve">PAGE   \* MERGEFORMAT</w:instrText>
        </w:r>
        <w:r>
          <w:fldChar w:fldCharType="separate"/>
        </w:r>
        <w:r>
          <w:rPr>
            <w:lang w:val="zh-CN"/>
          </w:rPr>
          <w:t>7</w:t>
        </w:r>
        <w:r>
          <w:fldChar w:fldCharType="end"/>
        </w:r>
      </w:p>
    </w:sdtContent>
  </w:sdt>
  <w:p w14:paraId="01E94656">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10918">
    <w:pPr>
      <w:pStyle w:val="48"/>
    </w:pPr>
    <w:r>
      <w:t>T/CSBM 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6A6ED">
    <w:pPr>
      <w:pStyle w:val="48"/>
    </w:pPr>
    <w:r>
      <w:t>T/CSBM XXXXX—XXXX</w:t>
    </w:r>
  </w:p>
  <w:p w14:paraId="3DCEB0E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DED04">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367E9"/>
    <w:multiLevelType w:val="multilevel"/>
    <w:tmpl w:val="0AE367E9"/>
    <w:lvl w:ilvl="0" w:tentative="0">
      <w:start w:val="1"/>
      <w:numFmt w:val="none"/>
      <w:pStyle w:val="154"/>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
    <w:nsid w:val="1DBF583A"/>
    <w:multiLevelType w:val="multilevel"/>
    <w:tmpl w:val="1DBF583A"/>
    <w:lvl w:ilvl="0" w:tentative="0">
      <w:start w:val="1"/>
      <w:numFmt w:val="decimal"/>
      <w:pStyle w:val="69"/>
      <w:suff w:val="nothing"/>
      <w:lvlText w:val="注%1："/>
      <w:lvlJc w:val="left"/>
      <w:pPr>
        <w:ind w:left="874" w:hanging="448"/>
      </w:pPr>
      <w:rPr>
        <w:rFonts w:hint="eastAsia" w:ascii="黑体" w:eastAsia="黑体"/>
        <w:b w:val="0"/>
        <w:i w:val="0"/>
        <w:sz w:val="18"/>
        <w:szCs w:val="18"/>
        <w:vertAlign w:val="baseline"/>
      </w:rPr>
    </w:lvl>
    <w:lvl w:ilvl="1" w:tentative="0">
      <w:start w:val="1"/>
      <w:numFmt w:val="lowerLetter"/>
      <w:lvlText w:val="%2)"/>
      <w:lvlJc w:val="left"/>
      <w:pPr>
        <w:tabs>
          <w:tab w:val="left" w:pos="-444"/>
        </w:tabs>
        <w:ind w:left="548" w:hanging="629"/>
      </w:pPr>
      <w:rPr>
        <w:rFonts w:hint="eastAsia"/>
        <w:vertAlign w:val="baseline"/>
      </w:rPr>
    </w:lvl>
    <w:lvl w:ilvl="2" w:tentative="0">
      <w:start w:val="1"/>
      <w:numFmt w:val="lowerRoman"/>
      <w:lvlText w:val="%3."/>
      <w:lvlJc w:val="right"/>
      <w:pPr>
        <w:tabs>
          <w:tab w:val="left" w:pos="-444"/>
        </w:tabs>
        <w:ind w:left="548" w:hanging="629"/>
      </w:pPr>
      <w:rPr>
        <w:rFonts w:hint="eastAsia"/>
        <w:vertAlign w:val="baseline"/>
      </w:rPr>
    </w:lvl>
    <w:lvl w:ilvl="3" w:tentative="0">
      <w:start w:val="1"/>
      <w:numFmt w:val="decimal"/>
      <w:lvlText w:val="%4."/>
      <w:lvlJc w:val="left"/>
      <w:pPr>
        <w:tabs>
          <w:tab w:val="left" w:pos="-444"/>
        </w:tabs>
        <w:ind w:left="548" w:hanging="629"/>
      </w:pPr>
      <w:rPr>
        <w:rFonts w:hint="eastAsia"/>
        <w:vertAlign w:val="baseline"/>
      </w:rPr>
    </w:lvl>
    <w:lvl w:ilvl="4" w:tentative="0">
      <w:start w:val="1"/>
      <w:numFmt w:val="lowerLetter"/>
      <w:lvlText w:val="%5)"/>
      <w:lvlJc w:val="left"/>
      <w:pPr>
        <w:tabs>
          <w:tab w:val="left" w:pos="-444"/>
        </w:tabs>
        <w:ind w:left="548" w:hanging="629"/>
      </w:pPr>
      <w:rPr>
        <w:rFonts w:hint="eastAsia"/>
        <w:vertAlign w:val="baseline"/>
      </w:rPr>
    </w:lvl>
    <w:lvl w:ilvl="5" w:tentative="0">
      <w:start w:val="1"/>
      <w:numFmt w:val="lowerRoman"/>
      <w:lvlText w:val="%6."/>
      <w:lvlJc w:val="right"/>
      <w:pPr>
        <w:tabs>
          <w:tab w:val="left" w:pos="-444"/>
        </w:tabs>
        <w:ind w:left="548" w:hanging="629"/>
      </w:pPr>
      <w:rPr>
        <w:rFonts w:hint="eastAsia"/>
        <w:vertAlign w:val="baseline"/>
      </w:rPr>
    </w:lvl>
    <w:lvl w:ilvl="6" w:tentative="0">
      <w:start w:val="1"/>
      <w:numFmt w:val="decimal"/>
      <w:lvlText w:val="%7."/>
      <w:lvlJc w:val="left"/>
      <w:pPr>
        <w:tabs>
          <w:tab w:val="left" w:pos="-444"/>
        </w:tabs>
        <w:ind w:left="548" w:hanging="629"/>
      </w:pPr>
      <w:rPr>
        <w:rFonts w:hint="eastAsia"/>
        <w:vertAlign w:val="baseline"/>
      </w:rPr>
    </w:lvl>
    <w:lvl w:ilvl="7" w:tentative="0">
      <w:start w:val="1"/>
      <w:numFmt w:val="lowerLetter"/>
      <w:lvlText w:val="%8)"/>
      <w:lvlJc w:val="left"/>
      <w:pPr>
        <w:tabs>
          <w:tab w:val="left" w:pos="-444"/>
        </w:tabs>
        <w:ind w:left="548" w:hanging="629"/>
      </w:pPr>
      <w:rPr>
        <w:rFonts w:hint="eastAsia"/>
        <w:vertAlign w:val="baseline"/>
      </w:rPr>
    </w:lvl>
    <w:lvl w:ilvl="8" w:tentative="0">
      <w:start w:val="1"/>
      <w:numFmt w:val="lowerRoman"/>
      <w:lvlText w:val="%9."/>
      <w:lvlJc w:val="right"/>
      <w:pPr>
        <w:tabs>
          <w:tab w:val="left" w:pos="-444"/>
        </w:tabs>
        <w:ind w:left="548" w:hanging="629"/>
      </w:pPr>
      <w:rPr>
        <w:rFonts w:hint="eastAsia"/>
        <w:vertAlign w:val="baseline"/>
      </w:rPr>
    </w:lvl>
  </w:abstractNum>
  <w:abstractNum w:abstractNumId="2">
    <w:nsid w:val="1FC91163"/>
    <w:multiLevelType w:val="multilevel"/>
    <w:tmpl w:val="1FC91163"/>
    <w:lvl w:ilvl="0" w:tentative="0">
      <w:start w:val="1"/>
      <w:numFmt w:val="decimal"/>
      <w:pStyle w:val="49"/>
      <w:suff w:val="nothing"/>
      <w:lvlText w:val="%1　"/>
      <w:lvlJc w:val="left"/>
      <w:pPr>
        <w:ind w:left="142" w:firstLine="0"/>
      </w:pPr>
      <w:rPr>
        <w:rFonts w:hint="eastAsia" w:ascii="黑体" w:hAnsi="Times New Roman" w:eastAsia="黑体"/>
        <w:b w:val="0"/>
        <w:i w:val="0"/>
        <w:sz w:val="21"/>
        <w:szCs w:val="21"/>
      </w:rPr>
    </w:lvl>
    <w:lvl w:ilvl="1" w:tentative="0">
      <w:start w:val="1"/>
      <w:numFmt w:val="decimal"/>
      <w:pStyle w:val="46"/>
      <w:suff w:val="nothing"/>
      <w:lvlText w:val="%1.%2　"/>
      <w:lvlJc w:val="left"/>
      <w:pPr>
        <w:ind w:left="1986"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50"/>
      <w:suff w:val="nothing"/>
      <w:lvlText w:val="%1.%2.%3　"/>
      <w:lvlJc w:val="left"/>
      <w:pPr>
        <w:ind w:left="2553" w:firstLine="0"/>
      </w:pPr>
      <w:rPr>
        <w:rFonts w:hint="eastAsia" w:ascii="黑体" w:hAnsi="Times New Roman" w:eastAsia="黑体"/>
        <w:b w:val="0"/>
        <w:i w:val="0"/>
        <w:sz w:val="21"/>
      </w:rPr>
    </w:lvl>
    <w:lvl w:ilvl="3" w:tentative="0">
      <w:start w:val="1"/>
      <w:numFmt w:val="decimal"/>
      <w:pStyle w:val="55"/>
      <w:suff w:val="nothing"/>
      <w:lvlText w:val="%1.%2.%3.%4　"/>
      <w:lvlJc w:val="left"/>
      <w:pPr>
        <w:ind w:left="426" w:firstLine="0"/>
      </w:pPr>
      <w:rPr>
        <w:rFonts w:hint="eastAsia" w:ascii="黑体" w:hAnsi="Times New Roman" w:eastAsia="黑体"/>
        <w:b w:val="0"/>
        <w:i w:val="0"/>
        <w:sz w:val="21"/>
      </w:rPr>
    </w:lvl>
    <w:lvl w:ilvl="4" w:tentative="0">
      <w:start w:val="1"/>
      <w:numFmt w:val="decimal"/>
      <w:pStyle w:val="59"/>
      <w:suff w:val="nothing"/>
      <w:lvlText w:val="%1.%2.%3.%4.%5　"/>
      <w:lvlJc w:val="left"/>
      <w:pPr>
        <w:ind w:left="142" w:firstLine="0"/>
      </w:pPr>
      <w:rPr>
        <w:rFonts w:hint="eastAsia" w:ascii="黑体" w:hAnsi="Times New Roman" w:eastAsia="黑体"/>
        <w:b w:val="0"/>
        <w:i w:val="0"/>
        <w:sz w:val="21"/>
      </w:rPr>
    </w:lvl>
    <w:lvl w:ilvl="5" w:tentative="0">
      <w:start w:val="1"/>
      <w:numFmt w:val="decimal"/>
      <w:pStyle w:val="60"/>
      <w:suff w:val="nothing"/>
      <w:lvlText w:val="%1.%2.%3.%4.%5.%6　"/>
      <w:lvlJc w:val="left"/>
      <w:pPr>
        <w:ind w:left="142" w:firstLine="0"/>
      </w:pPr>
      <w:rPr>
        <w:rFonts w:hint="eastAsia" w:ascii="黑体" w:hAnsi="Times New Roman" w:eastAsia="黑体"/>
        <w:b w:val="0"/>
        <w:i w:val="0"/>
        <w:sz w:val="21"/>
      </w:rPr>
    </w:lvl>
    <w:lvl w:ilvl="6" w:tentative="0">
      <w:start w:val="1"/>
      <w:numFmt w:val="decimal"/>
      <w:suff w:val="nothing"/>
      <w:lvlText w:val="%1%2.%3.%4.%5.%6.%7　"/>
      <w:lvlJc w:val="left"/>
      <w:pPr>
        <w:ind w:left="142" w:firstLine="0"/>
      </w:pPr>
      <w:rPr>
        <w:rFonts w:hint="eastAsia" w:ascii="黑体" w:hAnsi="Times New Roman" w:eastAsia="黑体"/>
        <w:b w:val="0"/>
        <w:i w:val="0"/>
        <w:sz w:val="21"/>
      </w:rPr>
    </w:lvl>
    <w:lvl w:ilvl="7" w:tentative="0">
      <w:start w:val="1"/>
      <w:numFmt w:val="decimal"/>
      <w:lvlText w:val="%1.%2.%3.%4.%5.%6.%7.%8"/>
      <w:lvlJc w:val="left"/>
      <w:pPr>
        <w:tabs>
          <w:tab w:val="left" w:pos="4493"/>
        </w:tabs>
        <w:ind w:left="4111" w:hanging="1418"/>
      </w:pPr>
      <w:rPr>
        <w:rFonts w:hint="eastAsia"/>
      </w:rPr>
    </w:lvl>
    <w:lvl w:ilvl="8" w:tentative="0">
      <w:start w:val="1"/>
      <w:numFmt w:val="decimal"/>
      <w:lvlText w:val="%1.%2.%3.%4.%5.%6.%7.%8.%9"/>
      <w:lvlJc w:val="left"/>
      <w:pPr>
        <w:tabs>
          <w:tab w:val="left" w:pos="4919"/>
        </w:tabs>
        <w:ind w:left="4819" w:hanging="1700"/>
      </w:pPr>
      <w:rPr>
        <w:rFonts w:hint="eastAsia"/>
      </w:rPr>
    </w:lvl>
  </w:abstractNum>
  <w:abstractNum w:abstractNumId="3">
    <w:nsid w:val="2A8F7113"/>
    <w:multiLevelType w:val="multilevel"/>
    <w:tmpl w:val="2A8F7113"/>
    <w:lvl w:ilvl="0" w:tentative="0">
      <w:start w:val="1"/>
      <w:numFmt w:val="upperLetter"/>
      <w:pStyle w:val="102"/>
      <w:suff w:val="space"/>
      <w:lvlText w:val="%1"/>
      <w:lvlJc w:val="left"/>
      <w:pPr>
        <w:ind w:left="623" w:hanging="425"/>
      </w:pPr>
      <w:rPr>
        <w:rFonts w:hint="eastAsia"/>
      </w:rPr>
    </w:lvl>
    <w:lvl w:ilvl="1" w:tentative="0">
      <w:start w:val="1"/>
      <w:numFmt w:val="decimal"/>
      <w:pStyle w:val="103"/>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4">
    <w:nsid w:val="2C5917C3"/>
    <w:multiLevelType w:val="multilevel"/>
    <w:tmpl w:val="2C5917C3"/>
    <w:lvl w:ilvl="0" w:tentative="0">
      <w:start w:val="1"/>
      <w:numFmt w:val="none"/>
      <w:suff w:val="nothing"/>
      <w:lvlText w:val="%1——"/>
      <w:lvlJc w:val="left"/>
      <w:pPr>
        <w:ind w:left="833" w:hanging="408"/>
      </w:pPr>
      <w:rPr>
        <w:rFonts w:hint="eastAsia"/>
      </w:rPr>
    </w:lvl>
    <w:lvl w:ilvl="1" w:tentative="0">
      <w:start w:val="1"/>
      <w:numFmt w:val="bullet"/>
      <w:pStyle w:val="53"/>
      <w:lvlText w:val=""/>
      <w:lvlJc w:val="left"/>
      <w:pPr>
        <w:tabs>
          <w:tab w:val="left" w:pos="760"/>
        </w:tabs>
        <w:ind w:left="1264" w:hanging="413"/>
      </w:pPr>
      <w:rPr>
        <w:rFonts w:hint="default" w:ascii="Symbol" w:hAnsi="Symbol"/>
        <w:color w:val="auto"/>
      </w:rPr>
    </w:lvl>
    <w:lvl w:ilvl="2" w:tentative="0">
      <w:start w:val="1"/>
      <w:numFmt w:val="bullet"/>
      <w:pStyle w:val="64"/>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5">
    <w:nsid w:val="3D733618"/>
    <w:multiLevelType w:val="multilevel"/>
    <w:tmpl w:val="3D733618"/>
    <w:lvl w:ilvl="0" w:tentative="0">
      <w:start w:val="1"/>
      <w:numFmt w:val="decimal"/>
      <w:pStyle w:val="25"/>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6">
    <w:nsid w:val="44C50F90"/>
    <w:multiLevelType w:val="multilevel"/>
    <w:tmpl w:val="44C50F90"/>
    <w:lvl w:ilvl="0" w:tentative="0">
      <w:start w:val="1"/>
      <w:numFmt w:val="lowerLetter"/>
      <w:pStyle w:val="63"/>
      <w:lvlText w:val="%1)"/>
      <w:lvlJc w:val="left"/>
      <w:pPr>
        <w:tabs>
          <w:tab w:val="left" w:pos="840"/>
        </w:tabs>
        <w:ind w:left="839" w:hanging="419"/>
      </w:pPr>
      <w:rPr>
        <w:rFonts w:hint="eastAsia" w:ascii="宋体" w:eastAsia="宋体"/>
        <w:b w:val="0"/>
        <w:i w:val="0"/>
        <w:sz w:val="21"/>
        <w:szCs w:val="21"/>
      </w:rPr>
    </w:lvl>
    <w:lvl w:ilvl="1" w:tentative="0">
      <w:start w:val="1"/>
      <w:numFmt w:val="decimal"/>
      <w:pStyle w:val="58"/>
      <w:lvlText w:val="%2)"/>
      <w:lvlJc w:val="left"/>
      <w:pPr>
        <w:tabs>
          <w:tab w:val="left" w:pos="1260"/>
        </w:tabs>
        <w:ind w:left="1259" w:hanging="419"/>
      </w:pPr>
      <w:rPr>
        <w:rFonts w:hint="eastAsia"/>
      </w:rPr>
    </w:lvl>
    <w:lvl w:ilvl="2" w:tentative="0">
      <w:start w:val="1"/>
      <w:numFmt w:val="decimal"/>
      <w:pStyle w:val="65"/>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60B55DC2"/>
    <w:multiLevelType w:val="multilevel"/>
    <w:tmpl w:val="60B55DC2"/>
    <w:lvl w:ilvl="0" w:tentative="0">
      <w:start w:val="1"/>
      <w:numFmt w:val="upperLetter"/>
      <w:pStyle w:val="90"/>
      <w:lvlText w:val="%1"/>
      <w:lvlJc w:val="left"/>
      <w:pPr>
        <w:tabs>
          <w:tab w:val="left" w:pos="0"/>
        </w:tabs>
        <w:ind w:left="0" w:hanging="425"/>
      </w:pPr>
      <w:rPr>
        <w:rFonts w:hint="eastAsia"/>
      </w:rPr>
    </w:lvl>
    <w:lvl w:ilvl="1" w:tentative="0">
      <w:start w:val="1"/>
      <w:numFmt w:val="decimal"/>
      <w:pStyle w:val="91"/>
      <w:suff w:val="nothing"/>
      <w:lvlText w:val="表%1.%2　"/>
      <w:lvlJc w:val="left"/>
      <w:pPr>
        <w:ind w:left="3402"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8">
    <w:nsid w:val="657D3FBC"/>
    <w:multiLevelType w:val="multilevel"/>
    <w:tmpl w:val="657D3FBC"/>
    <w:lvl w:ilvl="0" w:tentative="0">
      <w:start w:val="1"/>
      <w:numFmt w:val="upperLetter"/>
      <w:pStyle w:val="88"/>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6"/>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7"/>
      <w:suff w:val="nothing"/>
      <w:lvlText w:val="%1.%2.%3　"/>
      <w:lvlJc w:val="left"/>
      <w:pPr>
        <w:ind w:left="0" w:firstLine="0"/>
      </w:pPr>
      <w:rPr>
        <w:rFonts w:hint="eastAsia" w:ascii="黑体" w:hAnsi="Times New Roman" w:eastAsia="黑体"/>
        <w:b w:val="0"/>
        <w:i w:val="0"/>
        <w:sz w:val="21"/>
      </w:rPr>
    </w:lvl>
    <w:lvl w:ilvl="3" w:tentative="0">
      <w:start w:val="1"/>
      <w:numFmt w:val="decimal"/>
      <w:pStyle w:val="92"/>
      <w:suff w:val="nothing"/>
      <w:lvlText w:val="%1.%2.%3.%4　"/>
      <w:lvlJc w:val="left"/>
      <w:pPr>
        <w:ind w:left="0" w:firstLine="0"/>
      </w:pPr>
      <w:rPr>
        <w:rFonts w:hint="eastAsia" w:ascii="黑体" w:hAnsi="Times New Roman" w:eastAsia="黑体"/>
        <w:b w:val="0"/>
        <w:i w:val="0"/>
        <w:sz w:val="21"/>
      </w:rPr>
    </w:lvl>
    <w:lvl w:ilvl="4" w:tentative="0">
      <w:start w:val="1"/>
      <w:numFmt w:val="decimal"/>
      <w:pStyle w:val="97"/>
      <w:suff w:val="nothing"/>
      <w:lvlText w:val="%1.%2.%3.%4.%5　"/>
      <w:lvlJc w:val="left"/>
      <w:pPr>
        <w:ind w:left="0" w:firstLine="0"/>
      </w:pPr>
      <w:rPr>
        <w:rFonts w:hint="eastAsia" w:ascii="黑体" w:hAnsi="Times New Roman" w:eastAsia="黑体"/>
        <w:b w:val="0"/>
        <w:i w:val="0"/>
        <w:sz w:val="21"/>
      </w:rPr>
    </w:lvl>
    <w:lvl w:ilvl="5" w:tentative="0">
      <w:start w:val="1"/>
      <w:numFmt w:val="decimal"/>
      <w:pStyle w:val="100"/>
      <w:suff w:val="nothing"/>
      <w:lvlText w:val="%1.%2.%3.%4.%5.%6　"/>
      <w:lvlJc w:val="left"/>
      <w:pPr>
        <w:ind w:left="0" w:firstLine="0"/>
      </w:pPr>
      <w:rPr>
        <w:rFonts w:hint="eastAsia" w:ascii="黑体" w:hAnsi="Times New Roman" w:eastAsia="黑体"/>
        <w:b w:val="0"/>
        <w:i w:val="0"/>
        <w:sz w:val="21"/>
      </w:rPr>
    </w:lvl>
    <w:lvl w:ilvl="6" w:tentative="0">
      <w:start w:val="1"/>
      <w:numFmt w:val="decimal"/>
      <w:pStyle w:val="10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D6C07CD"/>
    <w:multiLevelType w:val="multilevel"/>
    <w:tmpl w:val="6D6C07CD"/>
    <w:lvl w:ilvl="0" w:tentative="0">
      <w:start w:val="1"/>
      <w:numFmt w:val="lowerLetter"/>
      <w:pStyle w:val="109"/>
      <w:lvlText w:val="%1)"/>
      <w:lvlJc w:val="left"/>
      <w:pPr>
        <w:tabs>
          <w:tab w:val="left" w:pos="839"/>
        </w:tabs>
        <w:ind w:left="839" w:hanging="419"/>
      </w:pPr>
      <w:rPr>
        <w:rFonts w:hint="eastAsia" w:ascii="宋体" w:eastAsia="宋体"/>
        <w:b w:val="0"/>
        <w:i w:val="0"/>
        <w:sz w:val="21"/>
      </w:rPr>
    </w:lvl>
    <w:lvl w:ilvl="1" w:tentative="0">
      <w:start w:val="1"/>
      <w:numFmt w:val="decimal"/>
      <w:pStyle w:val="99"/>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0">
    <w:nsid w:val="6DBF04F4"/>
    <w:multiLevelType w:val="multilevel"/>
    <w:tmpl w:val="6DBF04F4"/>
    <w:lvl w:ilvl="0" w:tentative="0">
      <w:start w:val="1"/>
      <w:numFmt w:val="none"/>
      <w:pStyle w:val="61"/>
      <w:suff w:val="nothing"/>
      <w:lvlText w:val="%1注："/>
      <w:lvlJc w:val="left"/>
      <w:pPr>
        <w:ind w:left="2348" w:hanging="363"/>
      </w:pPr>
      <w:rPr>
        <w:rFonts w:hint="eastAsia" w:ascii="黑体" w:hAnsi="Times New Roman" w:eastAsia="黑体"/>
        <w:b w:val="0"/>
        <w:i w:val="0"/>
        <w:sz w:val="21"/>
        <w:szCs w:val="21"/>
        <w:lang w:val="en-US"/>
      </w:rPr>
    </w:lvl>
    <w:lvl w:ilvl="1" w:tentative="0">
      <w:start w:val="1"/>
      <w:numFmt w:val="lowerLetter"/>
      <w:lvlText w:val="%2)"/>
      <w:lvlJc w:val="left"/>
      <w:pPr>
        <w:tabs>
          <w:tab w:val="left" w:pos="3786"/>
        </w:tabs>
        <w:ind w:left="3372" w:hanging="363"/>
      </w:pPr>
      <w:rPr>
        <w:rFonts w:hint="eastAsia"/>
      </w:rPr>
    </w:lvl>
    <w:lvl w:ilvl="2" w:tentative="0">
      <w:start w:val="1"/>
      <w:numFmt w:val="lowerRoman"/>
      <w:lvlText w:val="%3."/>
      <w:lvlJc w:val="right"/>
      <w:pPr>
        <w:tabs>
          <w:tab w:val="left" w:pos="3786"/>
        </w:tabs>
        <w:ind w:left="3372" w:hanging="363"/>
      </w:pPr>
      <w:rPr>
        <w:rFonts w:hint="eastAsia"/>
      </w:rPr>
    </w:lvl>
    <w:lvl w:ilvl="3" w:tentative="0">
      <w:start w:val="1"/>
      <w:numFmt w:val="decimal"/>
      <w:lvlText w:val="%4."/>
      <w:lvlJc w:val="left"/>
      <w:pPr>
        <w:tabs>
          <w:tab w:val="left" w:pos="3786"/>
        </w:tabs>
        <w:ind w:left="3372" w:hanging="363"/>
      </w:pPr>
      <w:rPr>
        <w:rFonts w:hint="eastAsia"/>
      </w:rPr>
    </w:lvl>
    <w:lvl w:ilvl="4" w:tentative="0">
      <w:start w:val="1"/>
      <w:numFmt w:val="lowerLetter"/>
      <w:lvlText w:val="%5)"/>
      <w:lvlJc w:val="left"/>
      <w:pPr>
        <w:tabs>
          <w:tab w:val="left" w:pos="3786"/>
        </w:tabs>
        <w:ind w:left="3372" w:hanging="363"/>
      </w:pPr>
      <w:rPr>
        <w:rFonts w:hint="eastAsia"/>
      </w:rPr>
    </w:lvl>
    <w:lvl w:ilvl="5" w:tentative="0">
      <w:start w:val="1"/>
      <w:numFmt w:val="lowerRoman"/>
      <w:lvlText w:val="%6."/>
      <w:lvlJc w:val="right"/>
      <w:pPr>
        <w:tabs>
          <w:tab w:val="left" w:pos="3786"/>
        </w:tabs>
        <w:ind w:left="3372" w:hanging="363"/>
      </w:pPr>
      <w:rPr>
        <w:rFonts w:hint="eastAsia"/>
      </w:rPr>
    </w:lvl>
    <w:lvl w:ilvl="6" w:tentative="0">
      <w:start w:val="1"/>
      <w:numFmt w:val="decimal"/>
      <w:lvlText w:val="%7."/>
      <w:lvlJc w:val="left"/>
      <w:pPr>
        <w:tabs>
          <w:tab w:val="left" w:pos="3786"/>
        </w:tabs>
        <w:ind w:left="3372" w:hanging="363"/>
      </w:pPr>
      <w:rPr>
        <w:rFonts w:hint="eastAsia"/>
      </w:rPr>
    </w:lvl>
    <w:lvl w:ilvl="7" w:tentative="0">
      <w:start w:val="1"/>
      <w:numFmt w:val="lowerLetter"/>
      <w:lvlText w:val="%8)"/>
      <w:lvlJc w:val="left"/>
      <w:pPr>
        <w:tabs>
          <w:tab w:val="left" w:pos="3786"/>
        </w:tabs>
        <w:ind w:left="3372" w:hanging="363"/>
      </w:pPr>
      <w:rPr>
        <w:rFonts w:hint="eastAsia"/>
      </w:rPr>
    </w:lvl>
    <w:lvl w:ilvl="8" w:tentative="0">
      <w:start w:val="1"/>
      <w:numFmt w:val="lowerRoman"/>
      <w:lvlText w:val="%9."/>
      <w:lvlJc w:val="right"/>
      <w:pPr>
        <w:tabs>
          <w:tab w:val="left" w:pos="3786"/>
        </w:tabs>
        <w:ind w:left="3372" w:hanging="363"/>
      </w:pPr>
      <w:rPr>
        <w:rFonts w:hint="eastAsia"/>
      </w:rPr>
    </w:lvl>
  </w:abstractNum>
  <w:abstractNum w:abstractNumId="11">
    <w:nsid w:val="76933334"/>
    <w:multiLevelType w:val="multilevel"/>
    <w:tmpl w:val="76933334"/>
    <w:lvl w:ilvl="0" w:tentative="0">
      <w:start w:val="1"/>
      <w:numFmt w:val="none"/>
      <w:pStyle w:val="5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2"/>
  </w:num>
  <w:num w:numId="3">
    <w:abstractNumId w:val="11"/>
  </w:num>
  <w:num w:numId="4">
    <w:abstractNumId w:val="4"/>
  </w:num>
  <w:num w:numId="5">
    <w:abstractNumId w:val="6"/>
  </w:num>
  <w:num w:numId="6">
    <w:abstractNumId w:val="10"/>
  </w:num>
  <w:num w:numId="7">
    <w:abstractNumId w:val="1"/>
  </w:num>
  <w:num w:numId="8">
    <w:abstractNumId w:val="8"/>
  </w:num>
  <w:num w:numId="9">
    <w:abstractNumId w:val="7"/>
  </w:num>
  <w:num w:numId="10">
    <w:abstractNumId w:val="9"/>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movePersonalInformation/>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925"/>
    <w:rsid w:val="00000244"/>
    <w:rsid w:val="0000030D"/>
    <w:rsid w:val="000008AB"/>
    <w:rsid w:val="0000185F"/>
    <w:rsid w:val="00003DCF"/>
    <w:rsid w:val="000046A1"/>
    <w:rsid w:val="0000586F"/>
    <w:rsid w:val="0001066F"/>
    <w:rsid w:val="00011406"/>
    <w:rsid w:val="00012236"/>
    <w:rsid w:val="00012B2D"/>
    <w:rsid w:val="00013D86"/>
    <w:rsid w:val="00013E02"/>
    <w:rsid w:val="0001452A"/>
    <w:rsid w:val="000147A8"/>
    <w:rsid w:val="00015E59"/>
    <w:rsid w:val="00015FA2"/>
    <w:rsid w:val="00017988"/>
    <w:rsid w:val="00020BB7"/>
    <w:rsid w:val="0002143C"/>
    <w:rsid w:val="00023888"/>
    <w:rsid w:val="00025754"/>
    <w:rsid w:val="00025A65"/>
    <w:rsid w:val="00025D16"/>
    <w:rsid w:val="00026771"/>
    <w:rsid w:val="00026C31"/>
    <w:rsid w:val="00026D83"/>
    <w:rsid w:val="00027280"/>
    <w:rsid w:val="00030A8E"/>
    <w:rsid w:val="000320A7"/>
    <w:rsid w:val="000321DD"/>
    <w:rsid w:val="00032DCA"/>
    <w:rsid w:val="00034BE4"/>
    <w:rsid w:val="0003568B"/>
    <w:rsid w:val="00035925"/>
    <w:rsid w:val="00036A48"/>
    <w:rsid w:val="000371C2"/>
    <w:rsid w:val="00037EAB"/>
    <w:rsid w:val="00041566"/>
    <w:rsid w:val="00041B4E"/>
    <w:rsid w:val="00042027"/>
    <w:rsid w:val="00042C00"/>
    <w:rsid w:val="00044EFA"/>
    <w:rsid w:val="00050070"/>
    <w:rsid w:val="000508FD"/>
    <w:rsid w:val="00051637"/>
    <w:rsid w:val="00052008"/>
    <w:rsid w:val="0005228E"/>
    <w:rsid w:val="0005385A"/>
    <w:rsid w:val="0005462F"/>
    <w:rsid w:val="000550EF"/>
    <w:rsid w:val="00056878"/>
    <w:rsid w:val="00057D09"/>
    <w:rsid w:val="00062235"/>
    <w:rsid w:val="00064E9A"/>
    <w:rsid w:val="0006651D"/>
    <w:rsid w:val="00066FCC"/>
    <w:rsid w:val="00067665"/>
    <w:rsid w:val="00067CDF"/>
    <w:rsid w:val="00072004"/>
    <w:rsid w:val="00072622"/>
    <w:rsid w:val="00073E51"/>
    <w:rsid w:val="00074F03"/>
    <w:rsid w:val="00074FBE"/>
    <w:rsid w:val="00077269"/>
    <w:rsid w:val="00080BB5"/>
    <w:rsid w:val="00083A09"/>
    <w:rsid w:val="00084F83"/>
    <w:rsid w:val="00085BB9"/>
    <w:rsid w:val="00086B0B"/>
    <w:rsid w:val="0009005E"/>
    <w:rsid w:val="00092857"/>
    <w:rsid w:val="00095385"/>
    <w:rsid w:val="00096585"/>
    <w:rsid w:val="00096FCF"/>
    <w:rsid w:val="000A073B"/>
    <w:rsid w:val="000A20A9"/>
    <w:rsid w:val="000A48B1"/>
    <w:rsid w:val="000A57B9"/>
    <w:rsid w:val="000A587E"/>
    <w:rsid w:val="000A59E5"/>
    <w:rsid w:val="000B15CB"/>
    <w:rsid w:val="000B3143"/>
    <w:rsid w:val="000B4943"/>
    <w:rsid w:val="000B4966"/>
    <w:rsid w:val="000B5192"/>
    <w:rsid w:val="000B5A31"/>
    <w:rsid w:val="000B5EFC"/>
    <w:rsid w:val="000B75AF"/>
    <w:rsid w:val="000B7ED2"/>
    <w:rsid w:val="000B7F3E"/>
    <w:rsid w:val="000C0E22"/>
    <w:rsid w:val="000C2718"/>
    <w:rsid w:val="000C2DBC"/>
    <w:rsid w:val="000C2E3F"/>
    <w:rsid w:val="000C3290"/>
    <w:rsid w:val="000C494F"/>
    <w:rsid w:val="000C5CD2"/>
    <w:rsid w:val="000C5FEE"/>
    <w:rsid w:val="000C6A75"/>
    <w:rsid w:val="000C6B05"/>
    <w:rsid w:val="000C6DD6"/>
    <w:rsid w:val="000C6E6C"/>
    <w:rsid w:val="000C70D6"/>
    <w:rsid w:val="000C7357"/>
    <w:rsid w:val="000C73D4"/>
    <w:rsid w:val="000C766A"/>
    <w:rsid w:val="000C7AFB"/>
    <w:rsid w:val="000D0892"/>
    <w:rsid w:val="000D0E9F"/>
    <w:rsid w:val="000D1C26"/>
    <w:rsid w:val="000D333A"/>
    <w:rsid w:val="000D3D4C"/>
    <w:rsid w:val="000D4F51"/>
    <w:rsid w:val="000D6069"/>
    <w:rsid w:val="000D698F"/>
    <w:rsid w:val="000D6FD9"/>
    <w:rsid w:val="000D718B"/>
    <w:rsid w:val="000E0C46"/>
    <w:rsid w:val="000E3043"/>
    <w:rsid w:val="000E31AE"/>
    <w:rsid w:val="000E33E2"/>
    <w:rsid w:val="000E3F8F"/>
    <w:rsid w:val="000E47C6"/>
    <w:rsid w:val="000E5126"/>
    <w:rsid w:val="000E76D5"/>
    <w:rsid w:val="000F030C"/>
    <w:rsid w:val="000F129C"/>
    <w:rsid w:val="000F2442"/>
    <w:rsid w:val="000F2852"/>
    <w:rsid w:val="000F300B"/>
    <w:rsid w:val="000F446B"/>
    <w:rsid w:val="000F49FF"/>
    <w:rsid w:val="000F6634"/>
    <w:rsid w:val="000F7508"/>
    <w:rsid w:val="00100A40"/>
    <w:rsid w:val="00100A6E"/>
    <w:rsid w:val="001016A7"/>
    <w:rsid w:val="001029E4"/>
    <w:rsid w:val="001056DE"/>
    <w:rsid w:val="00107118"/>
    <w:rsid w:val="00107654"/>
    <w:rsid w:val="00107AD1"/>
    <w:rsid w:val="001107EE"/>
    <w:rsid w:val="001120CA"/>
    <w:rsid w:val="00112392"/>
    <w:rsid w:val="00112394"/>
    <w:rsid w:val="001124C0"/>
    <w:rsid w:val="001127E8"/>
    <w:rsid w:val="001137B5"/>
    <w:rsid w:val="00113A5C"/>
    <w:rsid w:val="00113B10"/>
    <w:rsid w:val="00114E73"/>
    <w:rsid w:val="00115D10"/>
    <w:rsid w:val="001161CA"/>
    <w:rsid w:val="00120F0C"/>
    <w:rsid w:val="001218AC"/>
    <w:rsid w:val="001225A2"/>
    <w:rsid w:val="001226A7"/>
    <w:rsid w:val="00123C8F"/>
    <w:rsid w:val="00123E9B"/>
    <w:rsid w:val="00123EA2"/>
    <w:rsid w:val="00123F5E"/>
    <w:rsid w:val="0012485C"/>
    <w:rsid w:val="00125EFE"/>
    <w:rsid w:val="001314E2"/>
    <w:rsid w:val="0013175F"/>
    <w:rsid w:val="00131B57"/>
    <w:rsid w:val="00131DBE"/>
    <w:rsid w:val="001329F8"/>
    <w:rsid w:val="00132EBE"/>
    <w:rsid w:val="00136156"/>
    <w:rsid w:val="00137E33"/>
    <w:rsid w:val="00140320"/>
    <w:rsid w:val="00140994"/>
    <w:rsid w:val="00141D62"/>
    <w:rsid w:val="001442D1"/>
    <w:rsid w:val="00145A4A"/>
    <w:rsid w:val="00147321"/>
    <w:rsid w:val="001512B4"/>
    <w:rsid w:val="00151307"/>
    <w:rsid w:val="001517BB"/>
    <w:rsid w:val="00152529"/>
    <w:rsid w:val="0015603C"/>
    <w:rsid w:val="001576C1"/>
    <w:rsid w:val="00157924"/>
    <w:rsid w:val="001620A5"/>
    <w:rsid w:val="001624B7"/>
    <w:rsid w:val="00162F05"/>
    <w:rsid w:val="00163621"/>
    <w:rsid w:val="00164376"/>
    <w:rsid w:val="00164E53"/>
    <w:rsid w:val="00165460"/>
    <w:rsid w:val="001660E5"/>
    <w:rsid w:val="0016699D"/>
    <w:rsid w:val="00170A51"/>
    <w:rsid w:val="0017246F"/>
    <w:rsid w:val="001733FD"/>
    <w:rsid w:val="00174301"/>
    <w:rsid w:val="001744CD"/>
    <w:rsid w:val="00174A2C"/>
    <w:rsid w:val="00175159"/>
    <w:rsid w:val="00175FDB"/>
    <w:rsid w:val="00176208"/>
    <w:rsid w:val="0017634D"/>
    <w:rsid w:val="00176610"/>
    <w:rsid w:val="001767C7"/>
    <w:rsid w:val="00180C60"/>
    <w:rsid w:val="001819C4"/>
    <w:rsid w:val="0018211B"/>
    <w:rsid w:val="001829F7"/>
    <w:rsid w:val="00183316"/>
    <w:rsid w:val="00183720"/>
    <w:rsid w:val="001840D3"/>
    <w:rsid w:val="00184BB0"/>
    <w:rsid w:val="00184F45"/>
    <w:rsid w:val="001859B5"/>
    <w:rsid w:val="001860CE"/>
    <w:rsid w:val="00186156"/>
    <w:rsid w:val="001874F2"/>
    <w:rsid w:val="00187520"/>
    <w:rsid w:val="001875C2"/>
    <w:rsid w:val="00187E3E"/>
    <w:rsid w:val="001900F8"/>
    <w:rsid w:val="001902DE"/>
    <w:rsid w:val="00191258"/>
    <w:rsid w:val="00191D09"/>
    <w:rsid w:val="00192680"/>
    <w:rsid w:val="0019284B"/>
    <w:rsid w:val="00193037"/>
    <w:rsid w:val="001938C7"/>
    <w:rsid w:val="00193A2C"/>
    <w:rsid w:val="00193AB2"/>
    <w:rsid w:val="00193C13"/>
    <w:rsid w:val="001940B0"/>
    <w:rsid w:val="00196A4A"/>
    <w:rsid w:val="001A1B13"/>
    <w:rsid w:val="001A288E"/>
    <w:rsid w:val="001A4775"/>
    <w:rsid w:val="001B057F"/>
    <w:rsid w:val="001B2469"/>
    <w:rsid w:val="001B2A84"/>
    <w:rsid w:val="001B338B"/>
    <w:rsid w:val="001B3EFF"/>
    <w:rsid w:val="001B43D3"/>
    <w:rsid w:val="001B4608"/>
    <w:rsid w:val="001B63F4"/>
    <w:rsid w:val="001B6DC2"/>
    <w:rsid w:val="001B6E4B"/>
    <w:rsid w:val="001B784A"/>
    <w:rsid w:val="001B7C37"/>
    <w:rsid w:val="001B7ED5"/>
    <w:rsid w:val="001B7FAD"/>
    <w:rsid w:val="001C149C"/>
    <w:rsid w:val="001C21AC"/>
    <w:rsid w:val="001C3513"/>
    <w:rsid w:val="001C3BA9"/>
    <w:rsid w:val="001C4282"/>
    <w:rsid w:val="001C478D"/>
    <w:rsid w:val="001C47BA"/>
    <w:rsid w:val="001C58CA"/>
    <w:rsid w:val="001C59EA"/>
    <w:rsid w:val="001C5A84"/>
    <w:rsid w:val="001C5DE1"/>
    <w:rsid w:val="001C77C3"/>
    <w:rsid w:val="001C7DFF"/>
    <w:rsid w:val="001D020C"/>
    <w:rsid w:val="001D0A45"/>
    <w:rsid w:val="001D1AD0"/>
    <w:rsid w:val="001D406C"/>
    <w:rsid w:val="001D41EE"/>
    <w:rsid w:val="001D5189"/>
    <w:rsid w:val="001D56F5"/>
    <w:rsid w:val="001D5978"/>
    <w:rsid w:val="001D62C9"/>
    <w:rsid w:val="001D7036"/>
    <w:rsid w:val="001D7830"/>
    <w:rsid w:val="001E0380"/>
    <w:rsid w:val="001E13B1"/>
    <w:rsid w:val="001E4B97"/>
    <w:rsid w:val="001E5094"/>
    <w:rsid w:val="001E54F1"/>
    <w:rsid w:val="001E677E"/>
    <w:rsid w:val="001E6AFE"/>
    <w:rsid w:val="001E7F1C"/>
    <w:rsid w:val="001F001F"/>
    <w:rsid w:val="001F018C"/>
    <w:rsid w:val="001F05F7"/>
    <w:rsid w:val="001F140D"/>
    <w:rsid w:val="001F19F9"/>
    <w:rsid w:val="001F1E63"/>
    <w:rsid w:val="001F2C8C"/>
    <w:rsid w:val="001F3A19"/>
    <w:rsid w:val="001F6E38"/>
    <w:rsid w:val="001F727C"/>
    <w:rsid w:val="00200EA9"/>
    <w:rsid w:val="00201D7E"/>
    <w:rsid w:val="00201E02"/>
    <w:rsid w:val="00202718"/>
    <w:rsid w:val="00204790"/>
    <w:rsid w:val="00205444"/>
    <w:rsid w:val="00205C17"/>
    <w:rsid w:val="0020650D"/>
    <w:rsid w:val="00210025"/>
    <w:rsid w:val="0021061A"/>
    <w:rsid w:val="00211AC8"/>
    <w:rsid w:val="00214736"/>
    <w:rsid w:val="0021552D"/>
    <w:rsid w:val="002164B5"/>
    <w:rsid w:val="00216EB1"/>
    <w:rsid w:val="0022029B"/>
    <w:rsid w:val="00220470"/>
    <w:rsid w:val="002214CB"/>
    <w:rsid w:val="0022322B"/>
    <w:rsid w:val="00223332"/>
    <w:rsid w:val="002240CD"/>
    <w:rsid w:val="0022472D"/>
    <w:rsid w:val="00227ACE"/>
    <w:rsid w:val="00230156"/>
    <w:rsid w:val="00230511"/>
    <w:rsid w:val="002310DD"/>
    <w:rsid w:val="00232C81"/>
    <w:rsid w:val="00232F9E"/>
    <w:rsid w:val="00233802"/>
    <w:rsid w:val="00234467"/>
    <w:rsid w:val="00235B7F"/>
    <w:rsid w:val="00235FE5"/>
    <w:rsid w:val="00237D8D"/>
    <w:rsid w:val="002418B7"/>
    <w:rsid w:val="00241DA2"/>
    <w:rsid w:val="00242033"/>
    <w:rsid w:val="00244481"/>
    <w:rsid w:val="00244D2B"/>
    <w:rsid w:val="0024795A"/>
    <w:rsid w:val="0024796B"/>
    <w:rsid w:val="00247FEE"/>
    <w:rsid w:val="00250E7D"/>
    <w:rsid w:val="0025146D"/>
    <w:rsid w:val="00251CE6"/>
    <w:rsid w:val="00251FD5"/>
    <w:rsid w:val="002522D3"/>
    <w:rsid w:val="00253871"/>
    <w:rsid w:val="002565D5"/>
    <w:rsid w:val="00260FE8"/>
    <w:rsid w:val="002622C0"/>
    <w:rsid w:val="00262B25"/>
    <w:rsid w:val="002639EF"/>
    <w:rsid w:val="00264E27"/>
    <w:rsid w:val="00266132"/>
    <w:rsid w:val="00266259"/>
    <w:rsid w:val="002671DE"/>
    <w:rsid w:val="0027007C"/>
    <w:rsid w:val="00273538"/>
    <w:rsid w:val="00273F1E"/>
    <w:rsid w:val="0027476E"/>
    <w:rsid w:val="00274DF1"/>
    <w:rsid w:val="00274F7F"/>
    <w:rsid w:val="00275385"/>
    <w:rsid w:val="00275700"/>
    <w:rsid w:val="002764F1"/>
    <w:rsid w:val="00276933"/>
    <w:rsid w:val="002777BF"/>
    <w:rsid w:val="002778AE"/>
    <w:rsid w:val="002779C9"/>
    <w:rsid w:val="002804C5"/>
    <w:rsid w:val="00280A31"/>
    <w:rsid w:val="00282285"/>
    <w:rsid w:val="002822A7"/>
    <w:rsid w:val="0028269A"/>
    <w:rsid w:val="00282B3C"/>
    <w:rsid w:val="00283590"/>
    <w:rsid w:val="0028581A"/>
    <w:rsid w:val="00285858"/>
    <w:rsid w:val="002859BA"/>
    <w:rsid w:val="002864B4"/>
    <w:rsid w:val="00286973"/>
    <w:rsid w:val="002904E8"/>
    <w:rsid w:val="00291EA5"/>
    <w:rsid w:val="00292956"/>
    <w:rsid w:val="00292AEA"/>
    <w:rsid w:val="00294E70"/>
    <w:rsid w:val="0029510A"/>
    <w:rsid w:val="002969C3"/>
    <w:rsid w:val="002A0412"/>
    <w:rsid w:val="002A0D63"/>
    <w:rsid w:val="002A131D"/>
    <w:rsid w:val="002A1924"/>
    <w:rsid w:val="002A1DD9"/>
    <w:rsid w:val="002A4FEB"/>
    <w:rsid w:val="002A5312"/>
    <w:rsid w:val="002A59B9"/>
    <w:rsid w:val="002A5A87"/>
    <w:rsid w:val="002A5BAC"/>
    <w:rsid w:val="002A615E"/>
    <w:rsid w:val="002A6510"/>
    <w:rsid w:val="002A6A95"/>
    <w:rsid w:val="002A7420"/>
    <w:rsid w:val="002B0F12"/>
    <w:rsid w:val="002B1308"/>
    <w:rsid w:val="002B1D2E"/>
    <w:rsid w:val="002B2EC1"/>
    <w:rsid w:val="002B37A9"/>
    <w:rsid w:val="002B3AD0"/>
    <w:rsid w:val="002B4554"/>
    <w:rsid w:val="002B4A7A"/>
    <w:rsid w:val="002B4F45"/>
    <w:rsid w:val="002B7C62"/>
    <w:rsid w:val="002C16A2"/>
    <w:rsid w:val="002C391A"/>
    <w:rsid w:val="002C4732"/>
    <w:rsid w:val="002C72D8"/>
    <w:rsid w:val="002D11FA"/>
    <w:rsid w:val="002D149A"/>
    <w:rsid w:val="002D1C94"/>
    <w:rsid w:val="002D3099"/>
    <w:rsid w:val="002D3293"/>
    <w:rsid w:val="002D3A5B"/>
    <w:rsid w:val="002D43EB"/>
    <w:rsid w:val="002D4ADE"/>
    <w:rsid w:val="002D648B"/>
    <w:rsid w:val="002E0DDF"/>
    <w:rsid w:val="002E1032"/>
    <w:rsid w:val="002E123A"/>
    <w:rsid w:val="002E2906"/>
    <w:rsid w:val="002E38D6"/>
    <w:rsid w:val="002E45A9"/>
    <w:rsid w:val="002E5635"/>
    <w:rsid w:val="002E56B7"/>
    <w:rsid w:val="002E64C3"/>
    <w:rsid w:val="002E6A2C"/>
    <w:rsid w:val="002E6A62"/>
    <w:rsid w:val="002E6B42"/>
    <w:rsid w:val="002E7BA6"/>
    <w:rsid w:val="002F1D8C"/>
    <w:rsid w:val="002F1E7E"/>
    <w:rsid w:val="002F20CE"/>
    <w:rsid w:val="002F21DA"/>
    <w:rsid w:val="002F4D3E"/>
    <w:rsid w:val="002F63F9"/>
    <w:rsid w:val="002F6813"/>
    <w:rsid w:val="00301F39"/>
    <w:rsid w:val="003027E8"/>
    <w:rsid w:val="00302B41"/>
    <w:rsid w:val="00303E03"/>
    <w:rsid w:val="003044AC"/>
    <w:rsid w:val="0030553B"/>
    <w:rsid w:val="00305674"/>
    <w:rsid w:val="00311412"/>
    <w:rsid w:val="0031165F"/>
    <w:rsid w:val="00312AB0"/>
    <w:rsid w:val="00313EE9"/>
    <w:rsid w:val="003144CC"/>
    <w:rsid w:val="003155C2"/>
    <w:rsid w:val="00316401"/>
    <w:rsid w:val="00316522"/>
    <w:rsid w:val="003169A4"/>
    <w:rsid w:val="00317F0E"/>
    <w:rsid w:val="00320C00"/>
    <w:rsid w:val="00321C85"/>
    <w:rsid w:val="00322570"/>
    <w:rsid w:val="003226E4"/>
    <w:rsid w:val="00322B21"/>
    <w:rsid w:val="00323984"/>
    <w:rsid w:val="003245B9"/>
    <w:rsid w:val="00324C89"/>
    <w:rsid w:val="00325926"/>
    <w:rsid w:val="00327A8A"/>
    <w:rsid w:val="00331649"/>
    <w:rsid w:val="00331A8D"/>
    <w:rsid w:val="00336610"/>
    <w:rsid w:val="0034082B"/>
    <w:rsid w:val="00340E2C"/>
    <w:rsid w:val="003433B9"/>
    <w:rsid w:val="003435A7"/>
    <w:rsid w:val="00343F73"/>
    <w:rsid w:val="0034433F"/>
    <w:rsid w:val="003447D9"/>
    <w:rsid w:val="00345060"/>
    <w:rsid w:val="00346B4E"/>
    <w:rsid w:val="00346B7C"/>
    <w:rsid w:val="00347978"/>
    <w:rsid w:val="0035008F"/>
    <w:rsid w:val="003515FB"/>
    <w:rsid w:val="00352FBB"/>
    <w:rsid w:val="0035323B"/>
    <w:rsid w:val="00353299"/>
    <w:rsid w:val="003541F5"/>
    <w:rsid w:val="00354B64"/>
    <w:rsid w:val="00356125"/>
    <w:rsid w:val="003565E6"/>
    <w:rsid w:val="00356857"/>
    <w:rsid w:val="00357324"/>
    <w:rsid w:val="00357F1C"/>
    <w:rsid w:val="00360190"/>
    <w:rsid w:val="003609D2"/>
    <w:rsid w:val="00362304"/>
    <w:rsid w:val="00362A8D"/>
    <w:rsid w:val="00363F22"/>
    <w:rsid w:val="003662EC"/>
    <w:rsid w:val="00366A6C"/>
    <w:rsid w:val="00367C43"/>
    <w:rsid w:val="00370195"/>
    <w:rsid w:val="00370921"/>
    <w:rsid w:val="00371CAA"/>
    <w:rsid w:val="003724E3"/>
    <w:rsid w:val="00372548"/>
    <w:rsid w:val="00373CE3"/>
    <w:rsid w:val="003744D4"/>
    <w:rsid w:val="00375475"/>
    <w:rsid w:val="00375564"/>
    <w:rsid w:val="00376E70"/>
    <w:rsid w:val="00377E50"/>
    <w:rsid w:val="00380969"/>
    <w:rsid w:val="0038134A"/>
    <w:rsid w:val="003830ED"/>
    <w:rsid w:val="00383191"/>
    <w:rsid w:val="003836EC"/>
    <w:rsid w:val="003852C2"/>
    <w:rsid w:val="00385C4C"/>
    <w:rsid w:val="00385F2D"/>
    <w:rsid w:val="00386048"/>
    <w:rsid w:val="00386DED"/>
    <w:rsid w:val="003912E7"/>
    <w:rsid w:val="00391765"/>
    <w:rsid w:val="0039183A"/>
    <w:rsid w:val="003921B4"/>
    <w:rsid w:val="003922AE"/>
    <w:rsid w:val="00393332"/>
    <w:rsid w:val="00393703"/>
    <w:rsid w:val="00393947"/>
    <w:rsid w:val="00394350"/>
    <w:rsid w:val="00396809"/>
    <w:rsid w:val="00397291"/>
    <w:rsid w:val="00397383"/>
    <w:rsid w:val="003A05B1"/>
    <w:rsid w:val="003A07C1"/>
    <w:rsid w:val="003A0821"/>
    <w:rsid w:val="003A1C76"/>
    <w:rsid w:val="003A2275"/>
    <w:rsid w:val="003A261D"/>
    <w:rsid w:val="003A333D"/>
    <w:rsid w:val="003A3AF9"/>
    <w:rsid w:val="003A5191"/>
    <w:rsid w:val="003A5594"/>
    <w:rsid w:val="003A6268"/>
    <w:rsid w:val="003A6A4F"/>
    <w:rsid w:val="003A6A63"/>
    <w:rsid w:val="003A7088"/>
    <w:rsid w:val="003A7B45"/>
    <w:rsid w:val="003B00DF"/>
    <w:rsid w:val="003B1275"/>
    <w:rsid w:val="003B1778"/>
    <w:rsid w:val="003B1D46"/>
    <w:rsid w:val="003B25AB"/>
    <w:rsid w:val="003B2912"/>
    <w:rsid w:val="003B30C4"/>
    <w:rsid w:val="003B492C"/>
    <w:rsid w:val="003B52E2"/>
    <w:rsid w:val="003B5F0E"/>
    <w:rsid w:val="003B64ED"/>
    <w:rsid w:val="003B691F"/>
    <w:rsid w:val="003B6B26"/>
    <w:rsid w:val="003B79A6"/>
    <w:rsid w:val="003C11CB"/>
    <w:rsid w:val="003C1480"/>
    <w:rsid w:val="003C1E37"/>
    <w:rsid w:val="003C1F89"/>
    <w:rsid w:val="003C34D3"/>
    <w:rsid w:val="003C3747"/>
    <w:rsid w:val="003C4253"/>
    <w:rsid w:val="003C4C78"/>
    <w:rsid w:val="003C502D"/>
    <w:rsid w:val="003C50D7"/>
    <w:rsid w:val="003C6549"/>
    <w:rsid w:val="003C75F3"/>
    <w:rsid w:val="003C78A3"/>
    <w:rsid w:val="003D03A3"/>
    <w:rsid w:val="003D1197"/>
    <w:rsid w:val="003D2673"/>
    <w:rsid w:val="003D2ED8"/>
    <w:rsid w:val="003D30CA"/>
    <w:rsid w:val="003D36C1"/>
    <w:rsid w:val="003D492C"/>
    <w:rsid w:val="003D50AF"/>
    <w:rsid w:val="003E0159"/>
    <w:rsid w:val="003E1867"/>
    <w:rsid w:val="003E18A3"/>
    <w:rsid w:val="003E193D"/>
    <w:rsid w:val="003E221B"/>
    <w:rsid w:val="003E25B7"/>
    <w:rsid w:val="003E38BA"/>
    <w:rsid w:val="003E3C7D"/>
    <w:rsid w:val="003E3FE0"/>
    <w:rsid w:val="003E5729"/>
    <w:rsid w:val="003E5C50"/>
    <w:rsid w:val="003E7755"/>
    <w:rsid w:val="003E7898"/>
    <w:rsid w:val="003F0235"/>
    <w:rsid w:val="003F0C64"/>
    <w:rsid w:val="003F11F8"/>
    <w:rsid w:val="003F1322"/>
    <w:rsid w:val="003F1A0D"/>
    <w:rsid w:val="003F44B9"/>
    <w:rsid w:val="003F4678"/>
    <w:rsid w:val="003F4EE0"/>
    <w:rsid w:val="003F5941"/>
    <w:rsid w:val="003F6031"/>
    <w:rsid w:val="003F6842"/>
    <w:rsid w:val="003F6F76"/>
    <w:rsid w:val="003F7065"/>
    <w:rsid w:val="003F7A5A"/>
    <w:rsid w:val="003F7AC1"/>
    <w:rsid w:val="00401696"/>
    <w:rsid w:val="0040178A"/>
    <w:rsid w:val="00401EFB"/>
    <w:rsid w:val="00402153"/>
    <w:rsid w:val="00402684"/>
    <w:rsid w:val="00402FC1"/>
    <w:rsid w:val="00403548"/>
    <w:rsid w:val="00403DB3"/>
    <w:rsid w:val="00410B90"/>
    <w:rsid w:val="00412203"/>
    <w:rsid w:val="004132F2"/>
    <w:rsid w:val="0041345A"/>
    <w:rsid w:val="004141F0"/>
    <w:rsid w:val="004145CB"/>
    <w:rsid w:val="00414AE8"/>
    <w:rsid w:val="00416729"/>
    <w:rsid w:val="00417795"/>
    <w:rsid w:val="00421AB3"/>
    <w:rsid w:val="0042268C"/>
    <w:rsid w:val="004233B6"/>
    <w:rsid w:val="00424235"/>
    <w:rsid w:val="00424BFE"/>
    <w:rsid w:val="00425082"/>
    <w:rsid w:val="00425273"/>
    <w:rsid w:val="00425EAA"/>
    <w:rsid w:val="004261BB"/>
    <w:rsid w:val="00431DEB"/>
    <w:rsid w:val="00432570"/>
    <w:rsid w:val="00432597"/>
    <w:rsid w:val="0043284E"/>
    <w:rsid w:val="004346B4"/>
    <w:rsid w:val="00434956"/>
    <w:rsid w:val="00436479"/>
    <w:rsid w:val="00436BED"/>
    <w:rsid w:val="00437192"/>
    <w:rsid w:val="004404FC"/>
    <w:rsid w:val="0044055B"/>
    <w:rsid w:val="004411E7"/>
    <w:rsid w:val="004427F6"/>
    <w:rsid w:val="00442FC4"/>
    <w:rsid w:val="00443FF2"/>
    <w:rsid w:val="00444F76"/>
    <w:rsid w:val="00445E2C"/>
    <w:rsid w:val="00445F03"/>
    <w:rsid w:val="004464AC"/>
    <w:rsid w:val="004468E8"/>
    <w:rsid w:val="00446B29"/>
    <w:rsid w:val="004517D9"/>
    <w:rsid w:val="00453AAA"/>
    <w:rsid w:val="00453F9A"/>
    <w:rsid w:val="00455E5C"/>
    <w:rsid w:val="00456111"/>
    <w:rsid w:val="004565F6"/>
    <w:rsid w:val="0045688F"/>
    <w:rsid w:val="00460F2A"/>
    <w:rsid w:val="004612C0"/>
    <w:rsid w:val="0046134C"/>
    <w:rsid w:val="00462409"/>
    <w:rsid w:val="0046303B"/>
    <w:rsid w:val="00463078"/>
    <w:rsid w:val="00464981"/>
    <w:rsid w:val="00464D58"/>
    <w:rsid w:val="00464D5D"/>
    <w:rsid w:val="00465F81"/>
    <w:rsid w:val="0046682D"/>
    <w:rsid w:val="004709CD"/>
    <w:rsid w:val="00471E91"/>
    <w:rsid w:val="00474269"/>
    <w:rsid w:val="00474675"/>
    <w:rsid w:val="0047470C"/>
    <w:rsid w:val="00475486"/>
    <w:rsid w:val="004772F3"/>
    <w:rsid w:val="00480D48"/>
    <w:rsid w:val="004821F0"/>
    <w:rsid w:val="004828CC"/>
    <w:rsid w:val="004828E5"/>
    <w:rsid w:val="00485599"/>
    <w:rsid w:val="00485777"/>
    <w:rsid w:val="00485B7C"/>
    <w:rsid w:val="00486687"/>
    <w:rsid w:val="004874E5"/>
    <w:rsid w:val="0049074C"/>
    <w:rsid w:val="00491A05"/>
    <w:rsid w:val="00491C27"/>
    <w:rsid w:val="00492A2C"/>
    <w:rsid w:val="004937A9"/>
    <w:rsid w:val="00494729"/>
    <w:rsid w:val="00495477"/>
    <w:rsid w:val="004A1EED"/>
    <w:rsid w:val="004A24A7"/>
    <w:rsid w:val="004A2707"/>
    <w:rsid w:val="004A2A0C"/>
    <w:rsid w:val="004A2EB6"/>
    <w:rsid w:val="004A35F9"/>
    <w:rsid w:val="004A42E1"/>
    <w:rsid w:val="004A47A9"/>
    <w:rsid w:val="004A5E20"/>
    <w:rsid w:val="004A66D8"/>
    <w:rsid w:val="004A72A2"/>
    <w:rsid w:val="004A7E2E"/>
    <w:rsid w:val="004B08DF"/>
    <w:rsid w:val="004B0C21"/>
    <w:rsid w:val="004B13CF"/>
    <w:rsid w:val="004B1930"/>
    <w:rsid w:val="004B19EB"/>
    <w:rsid w:val="004B1A80"/>
    <w:rsid w:val="004B2110"/>
    <w:rsid w:val="004B24C1"/>
    <w:rsid w:val="004B30BB"/>
    <w:rsid w:val="004B4874"/>
    <w:rsid w:val="004B7E30"/>
    <w:rsid w:val="004C0F33"/>
    <w:rsid w:val="004C292F"/>
    <w:rsid w:val="004C305F"/>
    <w:rsid w:val="004C3DFF"/>
    <w:rsid w:val="004C5779"/>
    <w:rsid w:val="004C6409"/>
    <w:rsid w:val="004D03F9"/>
    <w:rsid w:val="004D155F"/>
    <w:rsid w:val="004D3CB4"/>
    <w:rsid w:val="004D4CFB"/>
    <w:rsid w:val="004D63E4"/>
    <w:rsid w:val="004E02DB"/>
    <w:rsid w:val="004E1A19"/>
    <w:rsid w:val="004E1F42"/>
    <w:rsid w:val="004E24CC"/>
    <w:rsid w:val="004E3554"/>
    <w:rsid w:val="004E37DA"/>
    <w:rsid w:val="004E3E49"/>
    <w:rsid w:val="004E448F"/>
    <w:rsid w:val="004E4956"/>
    <w:rsid w:val="004E5B8C"/>
    <w:rsid w:val="004E6E14"/>
    <w:rsid w:val="004E7034"/>
    <w:rsid w:val="004E7FED"/>
    <w:rsid w:val="004F2758"/>
    <w:rsid w:val="004F455D"/>
    <w:rsid w:val="004F4AA4"/>
    <w:rsid w:val="004F4AB8"/>
    <w:rsid w:val="004F6309"/>
    <w:rsid w:val="004F738A"/>
    <w:rsid w:val="005016A1"/>
    <w:rsid w:val="005021A3"/>
    <w:rsid w:val="005028FA"/>
    <w:rsid w:val="00502B98"/>
    <w:rsid w:val="00503516"/>
    <w:rsid w:val="00503AF2"/>
    <w:rsid w:val="00504107"/>
    <w:rsid w:val="005044C9"/>
    <w:rsid w:val="00504828"/>
    <w:rsid w:val="00504B5A"/>
    <w:rsid w:val="005059D4"/>
    <w:rsid w:val="00506EC0"/>
    <w:rsid w:val="00507C73"/>
    <w:rsid w:val="00507EAF"/>
    <w:rsid w:val="005101AD"/>
    <w:rsid w:val="00510280"/>
    <w:rsid w:val="00511086"/>
    <w:rsid w:val="00511345"/>
    <w:rsid w:val="00512847"/>
    <w:rsid w:val="00513402"/>
    <w:rsid w:val="005134A7"/>
    <w:rsid w:val="00513D73"/>
    <w:rsid w:val="00514A43"/>
    <w:rsid w:val="00514F5C"/>
    <w:rsid w:val="00515080"/>
    <w:rsid w:val="005152A6"/>
    <w:rsid w:val="005169C5"/>
    <w:rsid w:val="005169F8"/>
    <w:rsid w:val="005174E5"/>
    <w:rsid w:val="00520199"/>
    <w:rsid w:val="0052193A"/>
    <w:rsid w:val="00522393"/>
    <w:rsid w:val="00522620"/>
    <w:rsid w:val="00522E8A"/>
    <w:rsid w:val="00523521"/>
    <w:rsid w:val="00523544"/>
    <w:rsid w:val="00525270"/>
    <w:rsid w:val="00525405"/>
    <w:rsid w:val="00525656"/>
    <w:rsid w:val="0052628A"/>
    <w:rsid w:val="005301F1"/>
    <w:rsid w:val="005302F6"/>
    <w:rsid w:val="00530667"/>
    <w:rsid w:val="00531871"/>
    <w:rsid w:val="00532D12"/>
    <w:rsid w:val="00532E0D"/>
    <w:rsid w:val="005335CA"/>
    <w:rsid w:val="00534C02"/>
    <w:rsid w:val="00534E90"/>
    <w:rsid w:val="005368BB"/>
    <w:rsid w:val="0053758C"/>
    <w:rsid w:val="00537A65"/>
    <w:rsid w:val="005413EB"/>
    <w:rsid w:val="005414CD"/>
    <w:rsid w:val="00541832"/>
    <w:rsid w:val="0054264B"/>
    <w:rsid w:val="00543786"/>
    <w:rsid w:val="00544C8D"/>
    <w:rsid w:val="00545275"/>
    <w:rsid w:val="00545C21"/>
    <w:rsid w:val="0054704D"/>
    <w:rsid w:val="005477D5"/>
    <w:rsid w:val="00552801"/>
    <w:rsid w:val="0055317E"/>
    <w:rsid w:val="005533D7"/>
    <w:rsid w:val="00560966"/>
    <w:rsid w:val="00560D94"/>
    <w:rsid w:val="00562D5A"/>
    <w:rsid w:val="00563435"/>
    <w:rsid w:val="00563563"/>
    <w:rsid w:val="00563C66"/>
    <w:rsid w:val="00563C8D"/>
    <w:rsid w:val="00564E77"/>
    <w:rsid w:val="0056703C"/>
    <w:rsid w:val="00567607"/>
    <w:rsid w:val="00567EFF"/>
    <w:rsid w:val="005703DE"/>
    <w:rsid w:val="005713F2"/>
    <w:rsid w:val="00572698"/>
    <w:rsid w:val="0057359F"/>
    <w:rsid w:val="005752B1"/>
    <w:rsid w:val="00577DB7"/>
    <w:rsid w:val="00580C2C"/>
    <w:rsid w:val="00580E29"/>
    <w:rsid w:val="005811F0"/>
    <w:rsid w:val="005815E3"/>
    <w:rsid w:val="00581C8F"/>
    <w:rsid w:val="00582652"/>
    <w:rsid w:val="005828AF"/>
    <w:rsid w:val="00583F49"/>
    <w:rsid w:val="0058464E"/>
    <w:rsid w:val="005860A6"/>
    <w:rsid w:val="005861AD"/>
    <w:rsid w:val="00587688"/>
    <w:rsid w:val="005901B3"/>
    <w:rsid w:val="00592291"/>
    <w:rsid w:val="00595BBD"/>
    <w:rsid w:val="00595CFB"/>
    <w:rsid w:val="00596EF1"/>
    <w:rsid w:val="00597D85"/>
    <w:rsid w:val="005A01CB"/>
    <w:rsid w:val="005A1423"/>
    <w:rsid w:val="005A2852"/>
    <w:rsid w:val="005A30B3"/>
    <w:rsid w:val="005A45E6"/>
    <w:rsid w:val="005A53B6"/>
    <w:rsid w:val="005A58FF"/>
    <w:rsid w:val="005A5EAF"/>
    <w:rsid w:val="005A5FCC"/>
    <w:rsid w:val="005A5FDC"/>
    <w:rsid w:val="005A64C0"/>
    <w:rsid w:val="005B090B"/>
    <w:rsid w:val="005B3C11"/>
    <w:rsid w:val="005B3F95"/>
    <w:rsid w:val="005B3FC8"/>
    <w:rsid w:val="005B428F"/>
    <w:rsid w:val="005B4390"/>
    <w:rsid w:val="005B4823"/>
    <w:rsid w:val="005B57F6"/>
    <w:rsid w:val="005B70B3"/>
    <w:rsid w:val="005B7FCA"/>
    <w:rsid w:val="005C1068"/>
    <w:rsid w:val="005C1C28"/>
    <w:rsid w:val="005C3AEF"/>
    <w:rsid w:val="005C5FF6"/>
    <w:rsid w:val="005C6DB5"/>
    <w:rsid w:val="005D154D"/>
    <w:rsid w:val="005D1847"/>
    <w:rsid w:val="005D236E"/>
    <w:rsid w:val="005D2687"/>
    <w:rsid w:val="005D27EF"/>
    <w:rsid w:val="005D5817"/>
    <w:rsid w:val="005D6D7D"/>
    <w:rsid w:val="005E00A8"/>
    <w:rsid w:val="005E00B6"/>
    <w:rsid w:val="005E069E"/>
    <w:rsid w:val="005E19E7"/>
    <w:rsid w:val="005E1AF7"/>
    <w:rsid w:val="005E24F9"/>
    <w:rsid w:val="005E40E9"/>
    <w:rsid w:val="005E45A5"/>
    <w:rsid w:val="005E4851"/>
    <w:rsid w:val="005E61AB"/>
    <w:rsid w:val="005E6CB0"/>
    <w:rsid w:val="005E7845"/>
    <w:rsid w:val="005E7A9C"/>
    <w:rsid w:val="005E7C47"/>
    <w:rsid w:val="005F120E"/>
    <w:rsid w:val="005F2897"/>
    <w:rsid w:val="005F39BA"/>
    <w:rsid w:val="005F3D0B"/>
    <w:rsid w:val="005F5009"/>
    <w:rsid w:val="005F55D4"/>
    <w:rsid w:val="005F6644"/>
    <w:rsid w:val="005F7206"/>
    <w:rsid w:val="005F72E3"/>
    <w:rsid w:val="006001E6"/>
    <w:rsid w:val="006014C7"/>
    <w:rsid w:val="0060290B"/>
    <w:rsid w:val="0060751F"/>
    <w:rsid w:val="0060776E"/>
    <w:rsid w:val="00610520"/>
    <w:rsid w:val="006106D7"/>
    <w:rsid w:val="006110F1"/>
    <w:rsid w:val="00611332"/>
    <w:rsid w:val="00612476"/>
    <w:rsid w:val="0061338B"/>
    <w:rsid w:val="006139F3"/>
    <w:rsid w:val="00616C55"/>
    <w:rsid w:val="0061716C"/>
    <w:rsid w:val="00617506"/>
    <w:rsid w:val="00620662"/>
    <w:rsid w:val="00621C3A"/>
    <w:rsid w:val="00621EDF"/>
    <w:rsid w:val="00622F07"/>
    <w:rsid w:val="006230D7"/>
    <w:rsid w:val="0062390B"/>
    <w:rsid w:val="00623B32"/>
    <w:rsid w:val="00623FF8"/>
    <w:rsid w:val="00624009"/>
    <w:rsid w:val="006243A1"/>
    <w:rsid w:val="00624A59"/>
    <w:rsid w:val="00624FFC"/>
    <w:rsid w:val="006256CC"/>
    <w:rsid w:val="0062694C"/>
    <w:rsid w:val="00627076"/>
    <w:rsid w:val="00627E1D"/>
    <w:rsid w:val="006313B9"/>
    <w:rsid w:val="00631D66"/>
    <w:rsid w:val="00632366"/>
    <w:rsid w:val="00632E56"/>
    <w:rsid w:val="00632F49"/>
    <w:rsid w:val="0063363B"/>
    <w:rsid w:val="00634CC9"/>
    <w:rsid w:val="006350C0"/>
    <w:rsid w:val="006359BB"/>
    <w:rsid w:val="00635CBA"/>
    <w:rsid w:val="006367C5"/>
    <w:rsid w:val="00636BC1"/>
    <w:rsid w:val="00636D2E"/>
    <w:rsid w:val="0063711A"/>
    <w:rsid w:val="00640960"/>
    <w:rsid w:val="00640ADC"/>
    <w:rsid w:val="006415B7"/>
    <w:rsid w:val="0064287B"/>
    <w:rsid w:val="00642FFF"/>
    <w:rsid w:val="0064338B"/>
    <w:rsid w:val="00644069"/>
    <w:rsid w:val="00645772"/>
    <w:rsid w:val="00646542"/>
    <w:rsid w:val="0064766F"/>
    <w:rsid w:val="006478AF"/>
    <w:rsid w:val="006503A7"/>
    <w:rsid w:val="006504F4"/>
    <w:rsid w:val="00650E18"/>
    <w:rsid w:val="00652153"/>
    <w:rsid w:val="006522BB"/>
    <w:rsid w:val="00654BC9"/>
    <w:rsid w:val="006552FD"/>
    <w:rsid w:val="00656241"/>
    <w:rsid w:val="0065732E"/>
    <w:rsid w:val="0066245B"/>
    <w:rsid w:val="00663AF3"/>
    <w:rsid w:val="00663EDC"/>
    <w:rsid w:val="00664098"/>
    <w:rsid w:val="00664693"/>
    <w:rsid w:val="0066469A"/>
    <w:rsid w:val="00665630"/>
    <w:rsid w:val="00665FDC"/>
    <w:rsid w:val="00666B6C"/>
    <w:rsid w:val="00667236"/>
    <w:rsid w:val="006673FA"/>
    <w:rsid w:val="006704A1"/>
    <w:rsid w:val="00673894"/>
    <w:rsid w:val="006742A8"/>
    <w:rsid w:val="006748DC"/>
    <w:rsid w:val="0067586B"/>
    <w:rsid w:val="006769AB"/>
    <w:rsid w:val="006779B4"/>
    <w:rsid w:val="006804CB"/>
    <w:rsid w:val="00680E72"/>
    <w:rsid w:val="00681FC3"/>
    <w:rsid w:val="00682416"/>
    <w:rsid w:val="00682682"/>
    <w:rsid w:val="00682702"/>
    <w:rsid w:val="006838A9"/>
    <w:rsid w:val="006838D1"/>
    <w:rsid w:val="00683BFB"/>
    <w:rsid w:val="00683EF0"/>
    <w:rsid w:val="006852FE"/>
    <w:rsid w:val="006854EF"/>
    <w:rsid w:val="00685804"/>
    <w:rsid w:val="00685EEC"/>
    <w:rsid w:val="006866C1"/>
    <w:rsid w:val="00686C95"/>
    <w:rsid w:val="00687F04"/>
    <w:rsid w:val="0069090F"/>
    <w:rsid w:val="00690A79"/>
    <w:rsid w:val="00690DDD"/>
    <w:rsid w:val="00692368"/>
    <w:rsid w:val="00692D7A"/>
    <w:rsid w:val="00693158"/>
    <w:rsid w:val="006935A3"/>
    <w:rsid w:val="00694B3F"/>
    <w:rsid w:val="00694C00"/>
    <w:rsid w:val="0069644F"/>
    <w:rsid w:val="006971E1"/>
    <w:rsid w:val="006A05F4"/>
    <w:rsid w:val="006A1857"/>
    <w:rsid w:val="006A2EBC"/>
    <w:rsid w:val="006A3BE2"/>
    <w:rsid w:val="006A4942"/>
    <w:rsid w:val="006A5EA0"/>
    <w:rsid w:val="006A783B"/>
    <w:rsid w:val="006A7907"/>
    <w:rsid w:val="006A7B33"/>
    <w:rsid w:val="006B1EED"/>
    <w:rsid w:val="006B1F8C"/>
    <w:rsid w:val="006B2073"/>
    <w:rsid w:val="006B32F6"/>
    <w:rsid w:val="006B4133"/>
    <w:rsid w:val="006B4E13"/>
    <w:rsid w:val="006B5A5C"/>
    <w:rsid w:val="006B61E6"/>
    <w:rsid w:val="006B62F7"/>
    <w:rsid w:val="006B6ECD"/>
    <w:rsid w:val="006B70FC"/>
    <w:rsid w:val="006B75DD"/>
    <w:rsid w:val="006B7823"/>
    <w:rsid w:val="006B7B25"/>
    <w:rsid w:val="006C062F"/>
    <w:rsid w:val="006C1A3D"/>
    <w:rsid w:val="006C1D0D"/>
    <w:rsid w:val="006C1F82"/>
    <w:rsid w:val="006C44F4"/>
    <w:rsid w:val="006C46C8"/>
    <w:rsid w:val="006C67E0"/>
    <w:rsid w:val="006C7491"/>
    <w:rsid w:val="006C7665"/>
    <w:rsid w:val="006C7ABA"/>
    <w:rsid w:val="006D044D"/>
    <w:rsid w:val="006D0D60"/>
    <w:rsid w:val="006D0EBF"/>
    <w:rsid w:val="006D0FFA"/>
    <w:rsid w:val="006D1122"/>
    <w:rsid w:val="006D1902"/>
    <w:rsid w:val="006D2A5B"/>
    <w:rsid w:val="006D2AAB"/>
    <w:rsid w:val="006D3C00"/>
    <w:rsid w:val="006D509F"/>
    <w:rsid w:val="006D5FBF"/>
    <w:rsid w:val="006D70E6"/>
    <w:rsid w:val="006D72A7"/>
    <w:rsid w:val="006E211D"/>
    <w:rsid w:val="006E2232"/>
    <w:rsid w:val="006E2F06"/>
    <w:rsid w:val="006E3675"/>
    <w:rsid w:val="006E3DE9"/>
    <w:rsid w:val="006E40B4"/>
    <w:rsid w:val="006E4A50"/>
    <w:rsid w:val="006E4A7F"/>
    <w:rsid w:val="006E7E8F"/>
    <w:rsid w:val="006F0AB3"/>
    <w:rsid w:val="006F2BCB"/>
    <w:rsid w:val="006F31F4"/>
    <w:rsid w:val="006F385B"/>
    <w:rsid w:val="006F48FC"/>
    <w:rsid w:val="006F5B66"/>
    <w:rsid w:val="006F5ED3"/>
    <w:rsid w:val="006F5FC1"/>
    <w:rsid w:val="006F669E"/>
    <w:rsid w:val="006F74B8"/>
    <w:rsid w:val="006F7F8F"/>
    <w:rsid w:val="00700280"/>
    <w:rsid w:val="00700FE2"/>
    <w:rsid w:val="00703C91"/>
    <w:rsid w:val="00704DF6"/>
    <w:rsid w:val="0070651C"/>
    <w:rsid w:val="00706675"/>
    <w:rsid w:val="00707EBA"/>
    <w:rsid w:val="0071154F"/>
    <w:rsid w:val="00711A7A"/>
    <w:rsid w:val="007132A3"/>
    <w:rsid w:val="0071339D"/>
    <w:rsid w:val="00713D24"/>
    <w:rsid w:val="007146BB"/>
    <w:rsid w:val="00714F28"/>
    <w:rsid w:val="00716421"/>
    <w:rsid w:val="00717BB5"/>
    <w:rsid w:val="00717C31"/>
    <w:rsid w:val="00717C89"/>
    <w:rsid w:val="007233C8"/>
    <w:rsid w:val="007245D5"/>
    <w:rsid w:val="007247F1"/>
    <w:rsid w:val="00724EFB"/>
    <w:rsid w:val="00726B4F"/>
    <w:rsid w:val="00727775"/>
    <w:rsid w:val="00731241"/>
    <w:rsid w:val="0073254A"/>
    <w:rsid w:val="0073334A"/>
    <w:rsid w:val="0073454C"/>
    <w:rsid w:val="00734D62"/>
    <w:rsid w:val="00734E75"/>
    <w:rsid w:val="0073716F"/>
    <w:rsid w:val="00737C8C"/>
    <w:rsid w:val="007401A3"/>
    <w:rsid w:val="00740532"/>
    <w:rsid w:val="007419C3"/>
    <w:rsid w:val="00743A3A"/>
    <w:rsid w:val="00743E9E"/>
    <w:rsid w:val="00745582"/>
    <w:rsid w:val="007467A7"/>
    <w:rsid w:val="00746997"/>
    <w:rsid w:val="007469DD"/>
    <w:rsid w:val="007472AB"/>
    <w:rsid w:val="0074741B"/>
    <w:rsid w:val="0074759E"/>
    <w:rsid w:val="007478EA"/>
    <w:rsid w:val="00751C00"/>
    <w:rsid w:val="00751E85"/>
    <w:rsid w:val="00752994"/>
    <w:rsid w:val="0075415C"/>
    <w:rsid w:val="00755509"/>
    <w:rsid w:val="00760551"/>
    <w:rsid w:val="0076062A"/>
    <w:rsid w:val="007626F8"/>
    <w:rsid w:val="007634D9"/>
    <w:rsid w:val="00763502"/>
    <w:rsid w:val="00763D78"/>
    <w:rsid w:val="00764079"/>
    <w:rsid w:val="00765025"/>
    <w:rsid w:val="00772274"/>
    <w:rsid w:val="00772A7B"/>
    <w:rsid w:val="00773EB6"/>
    <w:rsid w:val="0077553C"/>
    <w:rsid w:val="00776424"/>
    <w:rsid w:val="00776AA6"/>
    <w:rsid w:val="00777439"/>
    <w:rsid w:val="00777C33"/>
    <w:rsid w:val="00780A5C"/>
    <w:rsid w:val="00782635"/>
    <w:rsid w:val="0078331B"/>
    <w:rsid w:val="00784FE8"/>
    <w:rsid w:val="007855DC"/>
    <w:rsid w:val="00785693"/>
    <w:rsid w:val="00786216"/>
    <w:rsid w:val="00786FA9"/>
    <w:rsid w:val="007912F2"/>
    <w:rsid w:val="007913AB"/>
    <w:rsid w:val="007914F7"/>
    <w:rsid w:val="00791A95"/>
    <w:rsid w:val="007925DC"/>
    <w:rsid w:val="00793831"/>
    <w:rsid w:val="007939B5"/>
    <w:rsid w:val="00793B50"/>
    <w:rsid w:val="0079413D"/>
    <w:rsid w:val="00794372"/>
    <w:rsid w:val="00794D69"/>
    <w:rsid w:val="0079592F"/>
    <w:rsid w:val="007A0493"/>
    <w:rsid w:val="007A05EB"/>
    <w:rsid w:val="007A216F"/>
    <w:rsid w:val="007A2699"/>
    <w:rsid w:val="007A29D8"/>
    <w:rsid w:val="007A3725"/>
    <w:rsid w:val="007A3946"/>
    <w:rsid w:val="007A3A9F"/>
    <w:rsid w:val="007A4179"/>
    <w:rsid w:val="007A419A"/>
    <w:rsid w:val="007A49D5"/>
    <w:rsid w:val="007A4E02"/>
    <w:rsid w:val="007A59C0"/>
    <w:rsid w:val="007A77F4"/>
    <w:rsid w:val="007B1625"/>
    <w:rsid w:val="007B1E4D"/>
    <w:rsid w:val="007B3B0C"/>
    <w:rsid w:val="007B3BA1"/>
    <w:rsid w:val="007B3EA5"/>
    <w:rsid w:val="007B50C8"/>
    <w:rsid w:val="007B6199"/>
    <w:rsid w:val="007B706E"/>
    <w:rsid w:val="007B71EB"/>
    <w:rsid w:val="007C26DF"/>
    <w:rsid w:val="007C3BD4"/>
    <w:rsid w:val="007C45F2"/>
    <w:rsid w:val="007C6205"/>
    <w:rsid w:val="007C686A"/>
    <w:rsid w:val="007C68BF"/>
    <w:rsid w:val="007C728E"/>
    <w:rsid w:val="007C75A3"/>
    <w:rsid w:val="007C7CFA"/>
    <w:rsid w:val="007D0411"/>
    <w:rsid w:val="007D0C7C"/>
    <w:rsid w:val="007D11BE"/>
    <w:rsid w:val="007D12F5"/>
    <w:rsid w:val="007D2C53"/>
    <w:rsid w:val="007D3175"/>
    <w:rsid w:val="007D321B"/>
    <w:rsid w:val="007D3D60"/>
    <w:rsid w:val="007D508D"/>
    <w:rsid w:val="007D5A99"/>
    <w:rsid w:val="007D761D"/>
    <w:rsid w:val="007E1980"/>
    <w:rsid w:val="007E29CE"/>
    <w:rsid w:val="007E37BF"/>
    <w:rsid w:val="007E4771"/>
    <w:rsid w:val="007E49D9"/>
    <w:rsid w:val="007E4B76"/>
    <w:rsid w:val="007E541E"/>
    <w:rsid w:val="007E5E57"/>
    <w:rsid w:val="007E5EA8"/>
    <w:rsid w:val="007E7245"/>
    <w:rsid w:val="007F0AC4"/>
    <w:rsid w:val="007F0CD7"/>
    <w:rsid w:val="007F0CF1"/>
    <w:rsid w:val="007F0F73"/>
    <w:rsid w:val="007F0FE4"/>
    <w:rsid w:val="007F12A5"/>
    <w:rsid w:val="007F1534"/>
    <w:rsid w:val="007F2AD6"/>
    <w:rsid w:val="007F3462"/>
    <w:rsid w:val="007F456D"/>
    <w:rsid w:val="007F4CF1"/>
    <w:rsid w:val="007F5C3D"/>
    <w:rsid w:val="007F74DB"/>
    <w:rsid w:val="007F7550"/>
    <w:rsid w:val="007F758D"/>
    <w:rsid w:val="007F7D52"/>
    <w:rsid w:val="008001BB"/>
    <w:rsid w:val="008010F0"/>
    <w:rsid w:val="008022D6"/>
    <w:rsid w:val="0080232C"/>
    <w:rsid w:val="00803A7B"/>
    <w:rsid w:val="00803B3C"/>
    <w:rsid w:val="008051EA"/>
    <w:rsid w:val="00805C06"/>
    <w:rsid w:val="00805C88"/>
    <w:rsid w:val="0080654C"/>
    <w:rsid w:val="0080658E"/>
    <w:rsid w:val="008070B9"/>
    <w:rsid w:val="008071C6"/>
    <w:rsid w:val="00807605"/>
    <w:rsid w:val="00812836"/>
    <w:rsid w:val="00812A8F"/>
    <w:rsid w:val="00813C31"/>
    <w:rsid w:val="00817A00"/>
    <w:rsid w:val="00817ADA"/>
    <w:rsid w:val="008208D8"/>
    <w:rsid w:val="008208FE"/>
    <w:rsid w:val="00820D34"/>
    <w:rsid w:val="00820FE0"/>
    <w:rsid w:val="008211CF"/>
    <w:rsid w:val="0082254D"/>
    <w:rsid w:val="00822C77"/>
    <w:rsid w:val="00824C50"/>
    <w:rsid w:val="00824EC5"/>
    <w:rsid w:val="00825D59"/>
    <w:rsid w:val="00826EC4"/>
    <w:rsid w:val="00827394"/>
    <w:rsid w:val="008313F4"/>
    <w:rsid w:val="008319C4"/>
    <w:rsid w:val="00831E24"/>
    <w:rsid w:val="00831F7D"/>
    <w:rsid w:val="00835AEE"/>
    <w:rsid w:val="00835DB3"/>
    <w:rsid w:val="0083617B"/>
    <w:rsid w:val="00836443"/>
    <w:rsid w:val="00836DB0"/>
    <w:rsid w:val="0083700E"/>
    <w:rsid w:val="008371BD"/>
    <w:rsid w:val="0084006D"/>
    <w:rsid w:val="0084076D"/>
    <w:rsid w:val="008418EC"/>
    <w:rsid w:val="00841DEE"/>
    <w:rsid w:val="0084262B"/>
    <w:rsid w:val="00843072"/>
    <w:rsid w:val="00843C20"/>
    <w:rsid w:val="00843F2C"/>
    <w:rsid w:val="00845206"/>
    <w:rsid w:val="00846ED7"/>
    <w:rsid w:val="00847215"/>
    <w:rsid w:val="0084737E"/>
    <w:rsid w:val="00850492"/>
    <w:rsid w:val="008504A8"/>
    <w:rsid w:val="00850F8C"/>
    <w:rsid w:val="00851782"/>
    <w:rsid w:val="0085282E"/>
    <w:rsid w:val="008534D1"/>
    <w:rsid w:val="00853A37"/>
    <w:rsid w:val="00854025"/>
    <w:rsid w:val="00854AFE"/>
    <w:rsid w:val="00854E39"/>
    <w:rsid w:val="0085555C"/>
    <w:rsid w:val="00860198"/>
    <w:rsid w:val="00864984"/>
    <w:rsid w:val="00864B5C"/>
    <w:rsid w:val="00870312"/>
    <w:rsid w:val="0087198C"/>
    <w:rsid w:val="00872C1F"/>
    <w:rsid w:val="00872D17"/>
    <w:rsid w:val="00873B42"/>
    <w:rsid w:val="00874BFE"/>
    <w:rsid w:val="00874FA8"/>
    <w:rsid w:val="008752B8"/>
    <w:rsid w:val="008770AB"/>
    <w:rsid w:val="0087715A"/>
    <w:rsid w:val="00880E6A"/>
    <w:rsid w:val="00881D0D"/>
    <w:rsid w:val="0088359A"/>
    <w:rsid w:val="00883D4E"/>
    <w:rsid w:val="00884657"/>
    <w:rsid w:val="00884A33"/>
    <w:rsid w:val="008856D8"/>
    <w:rsid w:val="00887897"/>
    <w:rsid w:val="00890682"/>
    <w:rsid w:val="0089207F"/>
    <w:rsid w:val="008921E9"/>
    <w:rsid w:val="0089227F"/>
    <w:rsid w:val="00892E82"/>
    <w:rsid w:val="00896EF4"/>
    <w:rsid w:val="008A0884"/>
    <w:rsid w:val="008A2033"/>
    <w:rsid w:val="008A483E"/>
    <w:rsid w:val="008A65CE"/>
    <w:rsid w:val="008A6F4A"/>
    <w:rsid w:val="008A796A"/>
    <w:rsid w:val="008A7B91"/>
    <w:rsid w:val="008B0850"/>
    <w:rsid w:val="008B1FC1"/>
    <w:rsid w:val="008B2C8D"/>
    <w:rsid w:val="008B3222"/>
    <w:rsid w:val="008B5941"/>
    <w:rsid w:val="008B5C9D"/>
    <w:rsid w:val="008B7B39"/>
    <w:rsid w:val="008C0419"/>
    <w:rsid w:val="008C1B58"/>
    <w:rsid w:val="008C1DFD"/>
    <w:rsid w:val="008C3594"/>
    <w:rsid w:val="008C39AE"/>
    <w:rsid w:val="008C4146"/>
    <w:rsid w:val="008C4F1B"/>
    <w:rsid w:val="008C522D"/>
    <w:rsid w:val="008C52FD"/>
    <w:rsid w:val="008C590D"/>
    <w:rsid w:val="008C5990"/>
    <w:rsid w:val="008C5A4D"/>
    <w:rsid w:val="008C5E96"/>
    <w:rsid w:val="008C64F9"/>
    <w:rsid w:val="008C6AC9"/>
    <w:rsid w:val="008C767C"/>
    <w:rsid w:val="008D068B"/>
    <w:rsid w:val="008D0E69"/>
    <w:rsid w:val="008D1297"/>
    <w:rsid w:val="008D1B98"/>
    <w:rsid w:val="008D46CC"/>
    <w:rsid w:val="008D78DF"/>
    <w:rsid w:val="008E0295"/>
    <w:rsid w:val="008E031B"/>
    <w:rsid w:val="008E0C22"/>
    <w:rsid w:val="008E3CCD"/>
    <w:rsid w:val="008E4D46"/>
    <w:rsid w:val="008E6D48"/>
    <w:rsid w:val="008E7029"/>
    <w:rsid w:val="008E7EF6"/>
    <w:rsid w:val="008F1F98"/>
    <w:rsid w:val="008F25D1"/>
    <w:rsid w:val="008F430A"/>
    <w:rsid w:val="008F6758"/>
    <w:rsid w:val="00900679"/>
    <w:rsid w:val="00900910"/>
    <w:rsid w:val="00903317"/>
    <w:rsid w:val="009040DD"/>
    <w:rsid w:val="00904124"/>
    <w:rsid w:val="00904332"/>
    <w:rsid w:val="00905B47"/>
    <w:rsid w:val="00910AFF"/>
    <w:rsid w:val="0091331C"/>
    <w:rsid w:val="009142C5"/>
    <w:rsid w:val="00914862"/>
    <w:rsid w:val="009178F5"/>
    <w:rsid w:val="00917F0C"/>
    <w:rsid w:val="00920A04"/>
    <w:rsid w:val="00923DAA"/>
    <w:rsid w:val="00925123"/>
    <w:rsid w:val="00925AF7"/>
    <w:rsid w:val="009279DE"/>
    <w:rsid w:val="00927F93"/>
    <w:rsid w:val="00930116"/>
    <w:rsid w:val="00931711"/>
    <w:rsid w:val="00933501"/>
    <w:rsid w:val="00933A9C"/>
    <w:rsid w:val="00933DEF"/>
    <w:rsid w:val="009349F5"/>
    <w:rsid w:val="00935828"/>
    <w:rsid w:val="00937CB5"/>
    <w:rsid w:val="0094212C"/>
    <w:rsid w:val="00942511"/>
    <w:rsid w:val="00942D6B"/>
    <w:rsid w:val="0094415D"/>
    <w:rsid w:val="00945B11"/>
    <w:rsid w:val="00945D68"/>
    <w:rsid w:val="0095082A"/>
    <w:rsid w:val="00953549"/>
    <w:rsid w:val="00953B35"/>
    <w:rsid w:val="00953EBF"/>
    <w:rsid w:val="00954689"/>
    <w:rsid w:val="00954E1D"/>
    <w:rsid w:val="00955D2F"/>
    <w:rsid w:val="00955D78"/>
    <w:rsid w:val="00956E00"/>
    <w:rsid w:val="00957919"/>
    <w:rsid w:val="00957E40"/>
    <w:rsid w:val="009617C9"/>
    <w:rsid w:val="00961C93"/>
    <w:rsid w:val="00961CAE"/>
    <w:rsid w:val="00962B54"/>
    <w:rsid w:val="009643CE"/>
    <w:rsid w:val="00965324"/>
    <w:rsid w:val="009655BA"/>
    <w:rsid w:val="00965ECF"/>
    <w:rsid w:val="00966428"/>
    <w:rsid w:val="009702D0"/>
    <w:rsid w:val="0097091E"/>
    <w:rsid w:val="00972322"/>
    <w:rsid w:val="0097281E"/>
    <w:rsid w:val="0097293B"/>
    <w:rsid w:val="00972CB6"/>
    <w:rsid w:val="009738E1"/>
    <w:rsid w:val="009748ED"/>
    <w:rsid w:val="009760D3"/>
    <w:rsid w:val="00977132"/>
    <w:rsid w:val="00980B96"/>
    <w:rsid w:val="00981926"/>
    <w:rsid w:val="00981A4B"/>
    <w:rsid w:val="00981F1F"/>
    <w:rsid w:val="00982501"/>
    <w:rsid w:val="00982AC3"/>
    <w:rsid w:val="00982DFF"/>
    <w:rsid w:val="009877D3"/>
    <w:rsid w:val="00990733"/>
    <w:rsid w:val="00990A68"/>
    <w:rsid w:val="009919D1"/>
    <w:rsid w:val="00994276"/>
    <w:rsid w:val="00994E8F"/>
    <w:rsid w:val="00994F1D"/>
    <w:rsid w:val="009951DC"/>
    <w:rsid w:val="009954D7"/>
    <w:rsid w:val="009959BB"/>
    <w:rsid w:val="00997158"/>
    <w:rsid w:val="009A0341"/>
    <w:rsid w:val="009A1325"/>
    <w:rsid w:val="009A339B"/>
    <w:rsid w:val="009A3A7C"/>
    <w:rsid w:val="009A4A9C"/>
    <w:rsid w:val="009A4B75"/>
    <w:rsid w:val="009A5DA3"/>
    <w:rsid w:val="009A6379"/>
    <w:rsid w:val="009A63C0"/>
    <w:rsid w:val="009A76AB"/>
    <w:rsid w:val="009A77F2"/>
    <w:rsid w:val="009B08F1"/>
    <w:rsid w:val="009B18D4"/>
    <w:rsid w:val="009B28FB"/>
    <w:rsid w:val="009B2ADB"/>
    <w:rsid w:val="009B2E16"/>
    <w:rsid w:val="009B5730"/>
    <w:rsid w:val="009B5EA9"/>
    <w:rsid w:val="009B603A"/>
    <w:rsid w:val="009B6AB8"/>
    <w:rsid w:val="009C0BA1"/>
    <w:rsid w:val="009C0CFC"/>
    <w:rsid w:val="009C0D2E"/>
    <w:rsid w:val="009C1B16"/>
    <w:rsid w:val="009C20CB"/>
    <w:rsid w:val="009C2D0E"/>
    <w:rsid w:val="009C333F"/>
    <w:rsid w:val="009C3583"/>
    <w:rsid w:val="009C3DAC"/>
    <w:rsid w:val="009C42E0"/>
    <w:rsid w:val="009C610A"/>
    <w:rsid w:val="009D05D1"/>
    <w:rsid w:val="009D0F74"/>
    <w:rsid w:val="009D1AFB"/>
    <w:rsid w:val="009D34F5"/>
    <w:rsid w:val="009D517C"/>
    <w:rsid w:val="009D5362"/>
    <w:rsid w:val="009D634A"/>
    <w:rsid w:val="009D63DB"/>
    <w:rsid w:val="009E1415"/>
    <w:rsid w:val="009E1B93"/>
    <w:rsid w:val="009E2068"/>
    <w:rsid w:val="009E5BE5"/>
    <w:rsid w:val="009E5D0E"/>
    <w:rsid w:val="009E6116"/>
    <w:rsid w:val="009E70A8"/>
    <w:rsid w:val="009E714A"/>
    <w:rsid w:val="009E77D9"/>
    <w:rsid w:val="009F1271"/>
    <w:rsid w:val="009F1533"/>
    <w:rsid w:val="009F23A7"/>
    <w:rsid w:val="009F25F3"/>
    <w:rsid w:val="009F2B24"/>
    <w:rsid w:val="009F5236"/>
    <w:rsid w:val="009F52E6"/>
    <w:rsid w:val="009F54D9"/>
    <w:rsid w:val="009F6A9C"/>
    <w:rsid w:val="00A0104D"/>
    <w:rsid w:val="00A01578"/>
    <w:rsid w:val="00A02E43"/>
    <w:rsid w:val="00A04DAF"/>
    <w:rsid w:val="00A04E8F"/>
    <w:rsid w:val="00A065F9"/>
    <w:rsid w:val="00A07F34"/>
    <w:rsid w:val="00A1059D"/>
    <w:rsid w:val="00A10E8E"/>
    <w:rsid w:val="00A11540"/>
    <w:rsid w:val="00A11BD9"/>
    <w:rsid w:val="00A13503"/>
    <w:rsid w:val="00A13738"/>
    <w:rsid w:val="00A14858"/>
    <w:rsid w:val="00A14DF9"/>
    <w:rsid w:val="00A154BA"/>
    <w:rsid w:val="00A16C68"/>
    <w:rsid w:val="00A1752D"/>
    <w:rsid w:val="00A208D7"/>
    <w:rsid w:val="00A21225"/>
    <w:rsid w:val="00A214D5"/>
    <w:rsid w:val="00A21608"/>
    <w:rsid w:val="00A22154"/>
    <w:rsid w:val="00A2258C"/>
    <w:rsid w:val="00A2292F"/>
    <w:rsid w:val="00A22DF9"/>
    <w:rsid w:val="00A23CA8"/>
    <w:rsid w:val="00A24E9B"/>
    <w:rsid w:val="00A25BD1"/>
    <w:rsid w:val="00A25C38"/>
    <w:rsid w:val="00A30A28"/>
    <w:rsid w:val="00A311D2"/>
    <w:rsid w:val="00A32316"/>
    <w:rsid w:val="00A3314C"/>
    <w:rsid w:val="00A33F63"/>
    <w:rsid w:val="00A33F95"/>
    <w:rsid w:val="00A3589E"/>
    <w:rsid w:val="00A35A74"/>
    <w:rsid w:val="00A35F59"/>
    <w:rsid w:val="00A36BBE"/>
    <w:rsid w:val="00A406FB"/>
    <w:rsid w:val="00A40AA0"/>
    <w:rsid w:val="00A42112"/>
    <w:rsid w:val="00A4226C"/>
    <w:rsid w:val="00A422E2"/>
    <w:rsid w:val="00A42611"/>
    <w:rsid w:val="00A4307A"/>
    <w:rsid w:val="00A4356E"/>
    <w:rsid w:val="00A43AA1"/>
    <w:rsid w:val="00A44550"/>
    <w:rsid w:val="00A453FF"/>
    <w:rsid w:val="00A47EBB"/>
    <w:rsid w:val="00A507D6"/>
    <w:rsid w:val="00A51CDD"/>
    <w:rsid w:val="00A54C48"/>
    <w:rsid w:val="00A5566E"/>
    <w:rsid w:val="00A556C2"/>
    <w:rsid w:val="00A55B9A"/>
    <w:rsid w:val="00A55C30"/>
    <w:rsid w:val="00A57824"/>
    <w:rsid w:val="00A612B4"/>
    <w:rsid w:val="00A615C1"/>
    <w:rsid w:val="00A63BF6"/>
    <w:rsid w:val="00A64116"/>
    <w:rsid w:val="00A6730D"/>
    <w:rsid w:val="00A6743A"/>
    <w:rsid w:val="00A71625"/>
    <w:rsid w:val="00A71B9B"/>
    <w:rsid w:val="00A72562"/>
    <w:rsid w:val="00A728A4"/>
    <w:rsid w:val="00A72E03"/>
    <w:rsid w:val="00A72E85"/>
    <w:rsid w:val="00A72F61"/>
    <w:rsid w:val="00A751C7"/>
    <w:rsid w:val="00A75AEC"/>
    <w:rsid w:val="00A75FDB"/>
    <w:rsid w:val="00A767F0"/>
    <w:rsid w:val="00A77560"/>
    <w:rsid w:val="00A77921"/>
    <w:rsid w:val="00A77D19"/>
    <w:rsid w:val="00A80E78"/>
    <w:rsid w:val="00A8331C"/>
    <w:rsid w:val="00A8545B"/>
    <w:rsid w:val="00A85F47"/>
    <w:rsid w:val="00A87844"/>
    <w:rsid w:val="00A87AFA"/>
    <w:rsid w:val="00A9230E"/>
    <w:rsid w:val="00A94E34"/>
    <w:rsid w:val="00A960CD"/>
    <w:rsid w:val="00A96C88"/>
    <w:rsid w:val="00A97098"/>
    <w:rsid w:val="00AA038C"/>
    <w:rsid w:val="00AA0D24"/>
    <w:rsid w:val="00AA11F5"/>
    <w:rsid w:val="00AA1A4F"/>
    <w:rsid w:val="00AA24FE"/>
    <w:rsid w:val="00AA2D2C"/>
    <w:rsid w:val="00AA4C80"/>
    <w:rsid w:val="00AA7A09"/>
    <w:rsid w:val="00AB00DB"/>
    <w:rsid w:val="00AB0EBC"/>
    <w:rsid w:val="00AB160D"/>
    <w:rsid w:val="00AB3217"/>
    <w:rsid w:val="00AB3B50"/>
    <w:rsid w:val="00AB3F86"/>
    <w:rsid w:val="00AB4426"/>
    <w:rsid w:val="00AB4B85"/>
    <w:rsid w:val="00AB51CB"/>
    <w:rsid w:val="00AB5BF5"/>
    <w:rsid w:val="00AC05B1"/>
    <w:rsid w:val="00AC0C79"/>
    <w:rsid w:val="00AC103F"/>
    <w:rsid w:val="00AC16A3"/>
    <w:rsid w:val="00AC3002"/>
    <w:rsid w:val="00AC3467"/>
    <w:rsid w:val="00AC3BE7"/>
    <w:rsid w:val="00AC3E4A"/>
    <w:rsid w:val="00AC439E"/>
    <w:rsid w:val="00AC4CD0"/>
    <w:rsid w:val="00AC62D0"/>
    <w:rsid w:val="00AC63C6"/>
    <w:rsid w:val="00AC6CC7"/>
    <w:rsid w:val="00AC71CB"/>
    <w:rsid w:val="00AC7978"/>
    <w:rsid w:val="00AC7FE2"/>
    <w:rsid w:val="00AD1014"/>
    <w:rsid w:val="00AD178E"/>
    <w:rsid w:val="00AD206C"/>
    <w:rsid w:val="00AD356C"/>
    <w:rsid w:val="00AD3B62"/>
    <w:rsid w:val="00AD3F93"/>
    <w:rsid w:val="00AD4B26"/>
    <w:rsid w:val="00AD6051"/>
    <w:rsid w:val="00AD7AA3"/>
    <w:rsid w:val="00AE0B6C"/>
    <w:rsid w:val="00AE0D19"/>
    <w:rsid w:val="00AE27E3"/>
    <w:rsid w:val="00AE2914"/>
    <w:rsid w:val="00AE314B"/>
    <w:rsid w:val="00AE3A38"/>
    <w:rsid w:val="00AE3A99"/>
    <w:rsid w:val="00AE3BAE"/>
    <w:rsid w:val="00AE3D57"/>
    <w:rsid w:val="00AE5415"/>
    <w:rsid w:val="00AE6D15"/>
    <w:rsid w:val="00AF06E1"/>
    <w:rsid w:val="00AF1FC2"/>
    <w:rsid w:val="00AF31A2"/>
    <w:rsid w:val="00AF33B0"/>
    <w:rsid w:val="00AF60E8"/>
    <w:rsid w:val="00AF646C"/>
    <w:rsid w:val="00AF6BA8"/>
    <w:rsid w:val="00AF7D60"/>
    <w:rsid w:val="00B00049"/>
    <w:rsid w:val="00B023CE"/>
    <w:rsid w:val="00B039D0"/>
    <w:rsid w:val="00B04182"/>
    <w:rsid w:val="00B043CF"/>
    <w:rsid w:val="00B04E35"/>
    <w:rsid w:val="00B05513"/>
    <w:rsid w:val="00B07AE3"/>
    <w:rsid w:val="00B07C45"/>
    <w:rsid w:val="00B10C4E"/>
    <w:rsid w:val="00B11430"/>
    <w:rsid w:val="00B11518"/>
    <w:rsid w:val="00B11526"/>
    <w:rsid w:val="00B12061"/>
    <w:rsid w:val="00B12822"/>
    <w:rsid w:val="00B133D3"/>
    <w:rsid w:val="00B13C3F"/>
    <w:rsid w:val="00B16312"/>
    <w:rsid w:val="00B16BA1"/>
    <w:rsid w:val="00B17096"/>
    <w:rsid w:val="00B1783B"/>
    <w:rsid w:val="00B178C7"/>
    <w:rsid w:val="00B23CF2"/>
    <w:rsid w:val="00B24419"/>
    <w:rsid w:val="00B25C23"/>
    <w:rsid w:val="00B261D9"/>
    <w:rsid w:val="00B26660"/>
    <w:rsid w:val="00B276BD"/>
    <w:rsid w:val="00B30268"/>
    <w:rsid w:val="00B321E8"/>
    <w:rsid w:val="00B32CB7"/>
    <w:rsid w:val="00B33DBE"/>
    <w:rsid w:val="00B34ED5"/>
    <w:rsid w:val="00B352F4"/>
    <w:rsid w:val="00B353EB"/>
    <w:rsid w:val="00B369C9"/>
    <w:rsid w:val="00B412F4"/>
    <w:rsid w:val="00B41519"/>
    <w:rsid w:val="00B42052"/>
    <w:rsid w:val="00B423D0"/>
    <w:rsid w:val="00B439C4"/>
    <w:rsid w:val="00B44268"/>
    <w:rsid w:val="00B44D8B"/>
    <w:rsid w:val="00B4535E"/>
    <w:rsid w:val="00B4617E"/>
    <w:rsid w:val="00B46BA3"/>
    <w:rsid w:val="00B47549"/>
    <w:rsid w:val="00B47C1F"/>
    <w:rsid w:val="00B506BC"/>
    <w:rsid w:val="00B52A8C"/>
    <w:rsid w:val="00B52CC7"/>
    <w:rsid w:val="00B549F1"/>
    <w:rsid w:val="00B54A4E"/>
    <w:rsid w:val="00B55267"/>
    <w:rsid w:val="00B60DB9"/>
    <w:rsid w:val="00B6279D"/>
    <w:rsid w:val="00B636A8"/>
    <w:rsid w:val="00B65A5B"/>
    <w:rsid w:val="00B6600C"/>
    <w:rsid w:val="00B665C6"/>
    <w:rsid w:val="00B66C02"/>
    <w:rsid w:val="00B66E57"/>
    <w:rsid w:val="00B66F7A"/>
    <w:rsid w:val="00B70BB4"/>
    <w:rsid w:val="00B72A0F"/>
    <w:rsid w:val="00B73DFA"/>
    <w:rsid w:val="00B75C5C"/>
    <w:rsid w:val="00B77970"/>
    <w:rsid w:val="00B805AF"/>
    <w:rsid w:val="00B8149B"/>
    <w:rsid w:val="00B81BB7"/>
    <w:rsid w:val="00B8239D"/>
    <w:rsid w:val="00B844E7"/>
    <w:rsid w:val="00B85880"/>
    <w:rsid w:val="00B861DB"/>
    <w:rsid w:val="00B869EC"/>
    <w:rsid w:val="00B86A34"/>
    <w:rsid w:val="00B86E8F"/>
    <w:rsid w:val="00B86F1A"/>
    <w:rsid w:val="00B8732F"/>
    <w:rsid w:val="00B87CA6"/>
    <w:rsid w:val="00B9291C"/>
    <w:rsid w:val="00B9397A"/>
    <w:rsid w:val="00B94EA5"/>
    <w:rsid w:val="00B95622"/>
    <w:rsid w:val="00B956F8"/>
    <w:rsid w:val="00B9633D"/>
    <w:rsid w:val="00B9645E"/>
    <w:rsid w:val="00B964D1"/>
    <w:rsid w:val="00B96611"/>
    <w:rsid w:val="00B97451"/>
    <w:rsid w:val="00BA1E19"/>
    <w:rsid w:val="00BA26AF"/>
    <w:rsid w:val="00BA29FE"/>
    <w:rsid w:val="00BA2DC2"/>
    <w:rsid w:val="00BA2EBE"/>
    <w:rsid w:val="00BA30AE"/>
    <w:rsid w:val="00BA33D2"/>
    <w:rsid w:val="00BA4329"/>
    <w:rsid w:val="00BA433D"/>
    <w:rsid w:val="00BA6465"/>
    <w:rsid w:val="00BB0F28"/>
    <w:rsid w:val="00BB1220"/>
    <w:rsid w:val="00BB223C"/>
    <w:rsid w:val="00BB34C7"/>
    <w:rsid w:val="00BB41FA"/>
    <w:rsid w:val="00BB458A"/>
    <w:rsid w:val="00BB4A3F"/>
    <w:rsid w:val="00BB4A47"/>
    <w:rsid w:val="00BB4CB1"/>
    <w:rsid w:val="00BB645D"/>
    <w:rsid w:val="00BB7443"/>
    <w:rsid w:val="00BC2AF6"/>
    <w:rsid w:val="00BC359C"/>
    <w:rsid w:val="00BC4FAD"/>
    <w:rsid w:val="00BC5E9C"/>
    <w:rsid w:val="00BC6B8B"/>
    <w:rsid w:val="00BC728F"/>
    <w:rsid w:val="00BD00D3"/>
    <w:rsid w:val="00BD0C4A"/>
    <w:rsid w:val="00BD1659"/>
    <w:rsid w:val="00BD1D87"/>
    <w:rsid w:val="00BD2D4A"/>
    <w:rsid w:val="00BD3AA9"/>
    <w:rsid w:val="00BD47F0"/>
    <w:rsid w:val="00BD4A18"/>
    <w:rsid w:val="00BD512E"/>
    <w:rsid w:val="00BD64EA"/>
    <w:rsid w:val="00BD6591"/>
    <w:rsid w:val="00BD6DB2"/>
    <w:rsid w:val="00BE11CF"/>
    <w:rsid w:val="00BE21AB"/>
    <w:rsid w:val="00BE3B30"/>
    <w:rsid w:val="00BE4342"/>
    <w:rsid w:val="00BE4D50"/>
    <w:rsid w:val="00BE55CB"/>
    <w:rsid w:val="00BE5CC1"/>
    <w:rsid w:val="00BE75E0"/>
    <w:rsid w:val="00BE7DF7"/>
    <w:rsid w:val="00BF0420"/>
    <w:rsid w:val="00BF1674"/>
    <w:rsid w:val="00BF2508"/>
    <w:rsid w:val="00BF3A35"/>
    <w:rsid w:val="00BF54C9"/>
    <w:rsid w:val="00BF60A8"/>
    <w:rsid w:val="00BF617A"/>
    <w:rsid w:val="00BF6AB4"/>
    <w:rsid w:val="00C00277"/>
    <w:rsid w:val="00C00584"/>
    <w:rsid w:val="00C00B91"/>
    <w:rsid w:val="00C00FCB"/>
    <w:rsid w:val="00C016CC"/>
    <w:rsid w:val="00C030A3"/>
    <w:rsid w:val="00C0379D"/>
    <w:rsid w:val="00C03931"/>
    <w:rsid w:val="00C04B79"/>
    <w:rsid w:val="00C05FE3"/>
    <w:rsid w:val="00C06565"/>
    <w:rsid w:val="00C06A10"/>
    <w:rsid w:val="00C077ED"/>
    <w:rsid w:val="00C124FE"/>
    <w:rsid w:val="00C13A63"/>
    <w:rsid w:val="00C144A9"/>
    <w:rsid w:val="00C14D3E"/>
    <w:rsid w:val="00C21113"/>
    <w:rsid w:val="00C2136D"/>
    <w:rsid w:val="00C214EE"/>
    <w:rsid w:val="00C21D6A"/>
    <w:rsid w:val="00C22C6B"/>
    <w:rsid w:val="00C2314B"/>
    <w:rsid w:val="00C23389"/>
    <w:rsid w:val="00C2365F"/>
    <w:rsid w:val="00C23997"/>
    <w:rsid w:val="00C24038"/>
    <w:rsid w:val="00C24551"/>
    <w:rsid w:val="00C2473D"/>
    <w:rsid w:val="00C24971"/>
    <w:rsid w:val="00C24BBE"/>
    <w:rsid w:val="00C26BE5"/>
    <w:rsid w:val="00C26C30"/>
    <w:rsid w:val="00C26E4D"/>
    <w:rsid w:val="00C27458"/>
    <w:rsid w:val="00C27909"/>
    <w:rsid w:val="00C27B03"/>
    <w:rsid w:val="00C30413"/>
    <w:rsid w:val="00C3091E"/>
    <w:rsid w:val="00C30CFE"/>
    <w:rsid w:val="00C314E1"/>
    <w:rsid w:val="00C32DEF"/>
    <w:rsid w:val="00C34397"/>
    <w:rsid w:val="00C34737"/>
    <w:rsid w:val="00C4007D"/>
    <w:rsid w:val="00C4095D"/>
    <w:rsid w:val="00C416BF"/>
    <w:rsid w:val="00C4241C"/>
    <w:rsid w:val="00C42748"/>
    <w:rsid w:val="00C434F9"/>
    <w:rsid w:val="00C438F8"/>
    <w:rsid w:val="00C43AF0"/>
    <w:rsid w:val="00C46587"/>
    <w:rsid w:val="00C511B5"/>
    <w:rsid w:val="00C52CC7"/>
    <w:rsid w:val="00C536E9"/>
    <w:rsid w:val="00C53E7C"/>
    <w:rsid w:val="00C56B8A"/>
    <w:rsid w:val="00C57017"/>
    <w:rsid w:val="00C57601"/>
    <w:rsid w:val="00C601D2"/>
    <w:rsid w:val="00C603A0"/>
    <w:rsid w:val="00C605E4"/>
    <w:rsid w:val="00C60E77"/>
    <w:rsid w:val="00C61712"/>
    <w:rsid w:val="00C618BF"/>
    <w:rsid w:val="00C61A6B"/>
    <w:rsid w:val="00C61F10"/>
    <w:rsid w:val="00C63674"/>
    <w:rsid w:val="00C646FE"/>
    <w:rsid w:val="00C64BE2"/>
    <w:rsid w:val="00C657AB"/>
    <w:rsid w:val="00C65BCC"/>
    <w:rsid w:val="00C66970"/>
    <w:rsid w:val="00C66E6D"/>
    <w:rsid w:val="00C70874"/>
    <w:rsid w:val="00C71759"/>
    <w:rsid w:val="00C72D8B"/>
    <w:rsid w:val="00C73A23"/>
    <w:rsid w:val="00C75661"/>
    <w:rsid w:val="00C763DD"/>
    <w:rsid w:val="00C77E7A"/>
    <w:rsid w:val="00C81266"/>
    <w:rsid w:val="00C83DDC"/>
    <w:rsid w:val="00C8691C"/>
    <w:rsid w:val="00C869E6"/>
    <w:rsid w:val="00C86E2E"/>
    <w:rsid w:val="00C91E8E"/>
    <w:rsid w:val="00C941F6"/>
    <w:rsid w:val="00C949F1"/>
    <w:rsid w:val="00C94DA0"/>
    <w:rsid w:val="00C96400"/>
    <w:rsid w:val="00C97267"/>
    <w:rsid w:val="00C9760D"/>
    <w:rsid w:val="00C97B0D"/>
    <w:rsid w:val="00CA0487"/>
    <w:rsid w:val="00CA168A"/>
    <w:rsid w:val="00CA19A6"/>
    <w:rsid w:val="00CA357E"/>
    <w:rsid w:val="00CA3629"/>
    <w:rsid w:val="00CA395C"/>
    <w:rsid w:val="00CA4345"/>
    <w:rsid w:val="00CA44F9"/>
    <w:rsid w:val="00CA4A69"/>
    <w:rsid w:val="00CA50E4"/>
    <w:rsid w:val="00CA5587"/>
    <w:rsid w:val="00CA5828"/>
    <w:rsid w:val="00CB25F3"/>
    <w:rsid w:val="00CB3245"/>
    <w:rsid w:val="00CB375A"/>
    <w:rsid w:val="00CB4117"/>
    <w:rsid w:val="00CB4989"/>
    <w:rsid w:val="00CB4ED8"/>
    <w:rsid w:val="00CB510A"/>
    <w:rsid w:val="00CB54EB"/>
    <w:rsid w:val="00CB5BC1"/>
    <w:rsid w:val="00CB6EA8"/>
    <w:rsid w:val="00CB7667"/>
    <w:rsid w:val="00CC08B3"/>
    <w:rsid w:val="00CC0B4B"/>
    <w:rsid w:val="00CC0F5D"/>
    <w:rsid w:val="00CC1385"/>
    <w:rsid w:val="00CC1E8B"/>
    <w:rsid w:val="00CC358E"/>
    <w:rsid w:val="00CC3E0C"/>
    <w:rsid w:val="00CC4C57"/>
    <w:rsid w:val="00CC58D3"/>
    <w:rsid w:val="00CC5B58"/>
    <w:rsid w:val="00CC784D"/>
    <w:rsid w:val="00CC7866"/>
    <w:rsid w:val="00CD00C5"/>
    <w:rsid w:val="00CD0647"/>
    <w:rsid w:val="00CD07B0"/>
    <w:rsid w:val="00CD1BF0"/>
    <w:rsid w:val="00CD3738"/>
    <w:rsid w:val="00CD6B5B"/>
    <w:rsid w:val="00CD71F0"/>
    <w:rsid w:val="00CD7297"/>
    <w:rsid w:val="00CD78C4"/>
    <w:rsid w:val="00CD7F57"/>
    <w:rsid w:val="00CE0540"/>
    <w:rsid w:val="00CE3FD0"/>
    <w:rsid w:val="00CE4C32"/>
    <w:rsid w:val="00CE5D12"/>
    <w:rsid w:val="00CE6629"/>
    <w:rsid w:val="00CE7994"/>
    <w:rsid w:val="00CF2656"/>
    <w:rsid w:val="00CF3DCD"/>
    <w:rsid w:val="00CF4EB0"/>
    <w:rsid w:val="00CF70FC"/>
    <w:rsid w:val="00D0337B"/>
    <w:rsid w:val="00D046FE"/>
    <w:rsid w:val="00D051BD"/>
    <w:rsid w:val="00D079B2"/>
    <w:rsid w:val="00D10D96"/>
    <w:rsid w:val="00D114E9"/>
    <w:rsid w:val="00D12A16"/>
    <w:rsid w:val="00D12E0B"/>
    <w:rsid w:val="00D1497B"/>
    <w:rsid w:val="00D14FAD"/>
    <w:rsid w:val="00D1536D"/>
    <w:rsid w:val="00D156BE"/>
    <w:rsid w:val="00D1655A"/>
    <w:rsid w:val="00D177E7"/>
    <w:rsid w:val="00D17BF7"/>
    <w:rsid w:val="00D2095D"/>
    <w:rsid w:val="00D23137"/>
    <w:rsid w:val="00D24D94"/>
    <w:rsid w:val="00D25D78"/>
    <w:rsid w:val="00D30BBB"/>
    <w:rsid w:val="00D314ED"/>
    <w:rsid w:val="00D31607"/>
    <w:rsid w:val="00D3170C"/>
    <w:rsid w:val="00D3196A"/>
    <w:rsid w:val="00D31AEB"/>
    <w:rsid w:val="00D323A7"/>
    <w:rsid w:val="00D338ED"/>
    <w:rsid w:val="00D33D7E"/>
    <w:rsid w:val="00D3444B"/>
    <w:rsid w:val="00D35734"/>
    <w:rsid w:val="00D35D1C"/>
    <w:rsid w:val="00D36641"/>
    <w:rsid w:val="00D379E9"/>
    <w:rsid w:val="00D40A30"/>
    <w:rsid w:val="00D40A95"/>
    <w:rsid w:val="00D429C6"/>
    <w:rsid w:val="00D44AEE"/>
    <w:rsid w:val="00D451D5"/>
    <w:rsid w:val="00D45A9A"/>
    <w:rsid w:val="00D47748"/>
    <w:rsid w:val="00D501C9"/>
    <w:rsid w:val="00D50D10"/>
    <w:rsid w:val="00D52D3A"/>
    <w:rsid w:val="00D53382"/>
    <w:rsid w:val="00D5372B"/>
    <w:rsid w:val="00D53FC4"/>
    <w:rsid w:val="00D54CC3"/>
    <w:rsid w:val="00D565F6"/>
    <w:rsid w:val="00D573CD"/>
    <w:rsid w:val="00D6041A"/>
    <w:rsid w:val="00D60B75"/>
    <w:rsid w:val="00D612DD"/>
    <w:rsid w:val="00D6130C"/>
    <w:rsid w:val="00D633EB"/>
    <w:rsid w:val="00D63465"/>
    <w:rsid w:val="00D63E53"/>
    <w:rsid w:val="00D64C10"/>
    <w:rsid w:val="00D65E74"/>
    <w:rsid w:val="00D660CE"/>
    <w:rsid w:val="00D667D3"/>
    <w:rsid w:val="00D67144"/>
    <w:rsid w:val="00D7084A"/>
    <w:rsid w:val="00D717BB"/>
    <w:rsid w:val="00D71D24"/>
    <w:rsid w:val="00D71FBF"/>
    <w:rsid w:val="00D720B4"/>
    <w:rsid w:val="00D7281D"/>
    <w:rsid w:val="00D762A3"/>
    <w:rsid w:val="00D76780"/>
    <w:rsid w:val="00D76D56"/>
    <w:rsid w:val="00D8017A"/>
    <w:rsid w:val="00D806B6"/>
    <w:rsid w:val="00D82ED6"/>
    <w:rsid w:val="00D82FF7"/>
    <w:rsid w:val="00D847FE"/>
    <w:rsid w:val="00D84FB8"/>
    <w:rsid w:val="00D8539C"/>
    <w:rsid w:val="00D85DD1"/>
    <w:rsid w:val="00D86436"/>
    <w:rsid w:val="00D870C9"/>
    <w:rsid w:val="00D906D2"/>
    <w:rsid w:val="00D91989"/>
    <w:rsid w:val="00D91EFB"/>
    <w:rsid w:val="00D964EA"/>
    <w:rsid w:val="00D966D0"/>
    <w:rsid w:val="00D96E4A"/>
    <w:rsid w:val="00D96E7A"/>
    <w:rsid w:val="00DA0C59"/>
    <w:rsid w:val="00DA1375"/>
    <w:rsid w:val="00DA1A60"/>
    <w:rsid w:val="00DA244B"/>
    <w:rsid w:val="00DA2F37"/>
    <w:rsid w:val="00DA34F9"/>
    <w:rsid w:val="00DA358F"/>
    <w:rsid w:val="00DA3991"/>
    <w:rsid w:val="00DA3F4F"/>
    <w:rsid w:val="00DA401F"/>
    <w:rsid w:val="00DA51F4"/>
    <w:rsid w:val="00DA5526"/>
    <w:rsid w:val="00DA58D1"/>
    <w:rsid w:val="00DB0FA1"/>
    <w:rsid w:val="00DB2770"/>
    <w:rsid w:val="00DB2D9B"/>
    <w:rsid w:val="00DB2DD8"/>
    <w:rsid w:val="00DB3908"/>
    <w:rsid w:val="00DB3C84"/>
    <w:rsid w:val="00DB4577"/>
    <w:rsid w:val="00DB4F7F"/>
    <w:rsid w:val="00DB56CA"/>
    <w:rsid w:val="00DB725A"/>
    <w:rsid w:val="00DB7E6C"/>
    <w:rsid w:val="00DB7F75"/>
    <w:rsid w:val="00DC1660"/>
    <w:rsid w:val="00DC25F2"/>
    <w:rsid w:val="00DC4B2A"/>
    <w:rsid w:val="00DC4DDD"/>
    <w:rsid w:val="00DC5679"/>
    <w:rsid w:val="00DC617B"/>
    <w:rsid w:val="00DD1886"/>
    <w:rsid w:val="00DD2721"/>
    <w:rsid w:val="00DD2A8F"/>
    <w:rsid w:val="00DD33C7"/>
    <w:rsid w:val="00DD3AC1"/>
    <w:rsid w:val="00DD4036"/>
    <w:rsid w:val="00DD4D72"/>
    <w:rsid w:val="00DD512B"/>
    <w:rsid w:val="00DD5A29"/>
    <w:rsid w:val="00DD5D9D"/>
    <w:rsid w:val="00DD6666"/>
    <w:rsid w:val="00DE00A6"/>
    <w:rsid w:val="00DE0867"/>
    <w:rsid w:val="00DE1C4D"/>
    <w:rsid w:val="00DE3119"/>
    <w:rsid w:val="00DE35CB"/>
    <w:rsid w:val="00DE55CE"/>
    <w:rsid w:val="00DE67D2"/>
    <w:rsid w:val="00DF0BCD"/>
    <w:rsid w:val="00DF18C1"/>
    <w:rsid w:val="00DF21E9"/>
    <w:rsid w:val="00DF576C"/>
    <w:rsid w:val="00DF6359"/>
    <w:rsid w:val="00DF6738"/>
    <w:rsid w:val="00DF68C7"/>
    <w:rsid w:val="00DF7A4C"/>
    <w:rsid w:val="00E00F14"/>
    <w:rsid w:val="00E027EA"/>
    <w:rsid w:val="00E02BAF"/>
    <w:rsid w:val="00E06386"/>
    <w:rsid w:val="00E071D1"/>
    <w:rsid w:val="00E07A17"/>
    <w:rsid w:val="00E12CC0"/>
    <w:rsid w:val="00E132C7"/>
    <w:rsid w:val="00E134A3"/>
    <w:rsid w:val="00E1353B"/>
    <w:rsid w:val="00E13FCB"/>
    <w:rsid w:val="00E15A16"/>
    <w:rsid w:val="00E15ED4"/>
    <w:rsid w:val="00E170F0"/>
    <w:rsid w:val="00E17CA7"/>
    <w:rsid w:val="00E2098B"/>
    <w:rsid w:val="00E216C8"/>
    <w:rsid w:val="00E21892"/>
    <w:rsid w:val="00E22362"/>
    <w:rsid w:val="00E2237F"/>
    <w:rsid w:val="00E241D5"/>
    <w:rsid w:val="00E24EB4"/>
    <w:rsid w:val="00E27D54"/>
    <w:rsid w:val="00E305BE"/>
    <w:rsid w:val="00E3167E"/>
    <w:rsid w:val="00E31A1C"/>
    <w:rsid w:val="00E31B66"/>
    <w:rsid w:val="00E320ED"/>
    <w:rsid w:val="00E336F2"/>
    <w:rsid w:val="00E33946"/>
    <w:rsid w:val="00E33AFB"/>
    <w:rsid w:val="00E34218"/>
    <w:rsid w:val="00E3425B"/>
    <w:rsid w:val="00E3449B"/>
    <w:rsid w:val="00E35751"/>
    <w:rsid w:val="00E37021"/>
    <w:rsid w:val="00E37B55"/>
    <w:rsid w:val="00E42467"/>
    <w:rsid w:val="00E43F1C"/>
    <w:rsid w:val="00E46282"/>
    <w:rsid w:val="00E46508"/>
    <w:rsid w:val="00E47629"/>
    <w:rsid w:val="00E4778D"/>
    <w:rsid w:val="00E47D27"/>
    <w:rsid w:val="00E51523"/>
    <w:rsid w:val="00E5216E"/>
    <w:rsid w:val="00E52931"/>
    <w:rsid w:val="00E52E44"/>
    <w:rsid w:val="00E52EC9"/>
    <w:rsid w:val="00E53FF4"/>
    <w:rsid w:val="00E54BAD"/>
    <w:rsid w:val="00E56EA7"/>
    <w:rsid w:val="00E606AE"/>
    <w:rsid w:val="00E62681"/>
    <w:rsid w:val="00E62CEA"/>
    <w:rsid w:val="00E67EC8"/>
    <w:rsid w:val="00E67F37"/>
    <w:rsid w:val="00E67F3A"/>
    <w:rsid w:val="00E7495B"/>
    <w:rsid w:val="00E75835"/>
    <w:rsid w:val="00E75911"/>
    <w:rsid w:val="00E82344"/>
    <w:rsid w:val="00E835B5"/>
    <w:rsid w:val="00E8449E"/>
    <w:rsid w:val="00E84BB4"/>
    <w:rsid w:val="00E84C82"/>
    <w:rsid w:val="00E84D64"/>
    <w:rsid w:val="00E852DC"/>
    <w:rsid w:val="00E87408"/>
    <w:rsid w:val="00E87E02"/>
    <w:rsid w:val="00E90D4F"/>
    <w:rsid w:val="00E914C4"/>
    <w:rsid w:val="00E91E2C"/>
    <w:rsid w:val="00E934F5"/>
    <w:rsid w:val="00E93E7F"/>
    <w:rsid w:val="00E9535C"/>
    <w:rsid w:val="00E96961"/>
    <w:rsid w:val="00EA13EB"/>
    <w:rsid w:val="00EA156B"/>
    <w:rsid w:val="00EA4C8B"/>
    <w:rsid w:val="00EA661C"/>
    <w:rsid w:val="00EA72EC"/>
    <w:rsid w:val="00EB11CB"/>
    <w:rsid w:val="00EB1E71"/>
    <w:rsid w:val="00EB22AA"/>
    <w:rsid w:val="00EB275A"/>
    <w:rsid w:val="00EB2FC4"/>
    <w:rsid w:val="00EB3273"/>
    <w:rsid w:val="00EB52CF"/>
    <w:rsid w:val="00EB58AA"/>
    <w:rsid w:val="00EB70A3"/>
    <w:rsid w:val="00EB786A"/>
    <w:rsid w:val="00EB7885"/>
    <w:rsid w:val="00EB7FE5"/>
    <w:rsid w:val="00EC0C4B"/>
    <w:rsid w:val="00EC1578"/>
    <w:rsid w:val="00EC1796"/>
    <w:rsid w:val="00EC1C72"/>
    <w:rsid w:val="00EC31E7"/>
    <w:rsid w:val="00EC3CC9"/>
    <w:rsid w:val="00EC5289"/>
    <w:rsid w:val="00EC62F8"/>
    <w:rsid w:val="00EC6801"/>
    <w:rsid w:val="00EC680A"/>
    <w:rsid w:val="00EC6AEA"/>
    <w:rsid w:val="00EC7463"/>
    <w:rsid w:val="00EC74FD"/>
    <w:rsid w:val="00EC79A6"/>
    <w:rsid w:val="00ED08A3"/>
    <w:rsid w:val="00ED1F91"/>
    <w:rsid w:val="00ED22EC"/>
    <w:rsid w:val="00ED2F96"/>
    <w:rsid w:val="00ED67E5"/>
    <w:rsid w:val="00ED699B"/>
    <w:rsid w:val="00EE0D43"/>
    <w:rsid w:val="00EE1470"/>
    <w:rsid w:val="00EE18D8"/>
    <w:rsid w:val="00EE2A64"/>
    <w:rsid w:val="00EE2B57"/>
    <w:rsid w:val="00EE2BED"/>
    <w:rsid w:val="00EE2F82"/>
    <w:rsid w:val="00EE374B"/>
    <w:rsid w:val="00EE49F4"/>
    <w:rsid w:val="00EE501F"/>
    <w:rsid w:val="00EE7698"/>
    <w:rsid w:val="00EE789D"/>
    <w:rsid w:val="00EE7FB1"/>
    <w:rsid w:val="00EF07D9"/>
    <w:rsid w:val="00EF19A0"/>
    <w:rsid w:val="00EF241C"/>
    <w:rsid w:val="00EF26DF"/>
    <w:rsid w:val="00EF3EA7"/>
    <w:rsid w:val="00EF4F99"/>
    <w:rsid w:val="00EF5A06"/>
    <w:rsid w:val="00EF6AB1"/>
    <w:rsid w:val="00EF754F"/>
    <w:rsid w:val="00F006ED"/>
    <w:rsid w:val="00F015C7"/>
    <w:rsid w:val="00F01B78"/>
    <w:rsid w:val="00F022E1"/>
    <w:rsid w:val="00F037DB"/>
    <w:rsid w:val="00F03CBF"/>
    <w:rsid w:val="00F0407F"/>
    <w:rsid w:val="00F0461A"/>
    <w:rsid w:val="00F06792"/>
    <w:rsid w:val="00F114E9"/>
    <w:rsid w:val="00F11A38"/>
    <w:rsid w:val="00F11BB5"/>
    <w:rsid w:val="00F1325C"/>
    <w:rsid w:val="00F13F2E"/>
    <w:rsid w:val="00F1417B"/>
    <w:rsid w:val="00F14A50"/>
    <w:rsid w:val="00F153C7"/>
    <w:rsid w:val="00F269E8"/>
    <w:rsid w:val="00F27826"/>
    <w:rsid w:val="00F309ED"/>
    <w:rsid w:val="00F30E5F"/>
    <w:rsid w:val="00F30FE2"/>
    <w:rsid w:val="00F31087"/>
    <w:rsid w:val="00F32A51"/>
    <w:rsid w:val="00F32D2F"/>
    <w:rsid w:val="00F33E88"/>
    <w:rsid w:val="00F3476D"/>
    <w:rsid w:val="00F34B99"/>
    <w:rsid w:val="00F34DD1"/>
    <w:rsid w:val="00F3520D"/>
    <w:rsid w:val="00F35492"/>
    <w:rsid w:val="00F36961"/>
    <w:rsid w:val="00F37632"/>
    <w:rsid w:val="00F412B9"/>
    <w:rsid w:val="00F41BB9"/>
    <w:rsid w:val="00F43406"/>
    <w:rsid w:val="00F4589E"/>
    <w:rsid w:val="00F46BBA"/>
    <w:rsid w:val="00F50FB0"/>
    <w:rsid w:val="00F51A3E"/>
    <w:rsid w:val="00F52DAB"/>
    <w:rsid w:val="00F543F0"/>
    <w:rsid w:val="00F555FD"/>
    <w:rsid w:val="00F562F8"/>
    <w:rsid w:val="00F56ED4"/>
    <w:rsid w:val="00F60751"/>
    <w:rsid w:val="00F61204"/>
    <w:rsid w:val="00F617C1"/>
    <w:rsid w:val="00F61975"/>
    <w:rsid w:val="00F61BCB"/>
    <w:rsid w:val="00F666F3"/>
    <w:rsid w:val="00F67187"/>
    <w:rsid w:val="00F67303"/>
    <w:rsid w:val="00F67456"/>
    <w:rsid w:val="00F67669"/>
    <w:rsid w:val="00F677D5"/>
    <w:rsid w:val="00F67862"/>
    <w:rsid w:val="00F67DE3"/>
    <w:rsid w:val="00F7196C"/>
    <w:rsid w:val="00F72766"/>
    <w:rsid w:val="00F728CF"/>
    <w:rsid w:val="00F7405A"/>
    <w:rsid w:val="00F75066"/>
    <w:rsid w:val="00F7620F"/>
    <w:rsid w:val="00F76FF8"/>
    <w:rsid w:val="00F8123F"/>
    <w:rsid w:val="00F81619"/>
    <w:rsid w:val="00F81D29"/>
    <w:rsid w:val="00F82B59"/>
    <w:rsid w:val="00F83317"/>
    <w:rsid w:val="00F83410"/>
    <w:rsid w:val="00F838F7"/>
    <w:rsid w:val="00F839A3"/>
    <w:rsid w:val="00F85C73"/>
    <w:rsid w:val="00F86F5C"/>
    <w:rsid w:val="00F87F63"/>
    <w:rsid w:val="00F87FBC"/>
    <w:rsid w:val="00F91C4D"/>
    <w:rsid w:val="00F925B3"/>
    <w:rsid w:val="00F92FD9"/>
    <w:rsid w:val="00F93D1C"/>
    <w:rsid w:val="00F9431D"/>
    <w:rsid w:val="00F95068"/>
    <w:rsid w:val="00F95A74"/>
    <w:rsid w:val="00F97BFE"/>
    <w:rsid w:val="00F97CB5"/>
    <w:rsid w:val="00FA163A"/>
    <w:rsid w:val="00FA3F27"/>
    <w:rsid w:val="00FA42AB"/>
    <w:rsid w:val="00FA5821"/>
    <w:rsid w:val="00FA6171"/>
    <w:rsid w:val="00FA6684"/>
    <w:rsid w:val="00FA6740"/>
    <w:rsid w:val="00FA6B53"/>
    <w:rsid w:val="00FA6EB7"/>
    <w:rsid w:val="00FA731E"/>
    <w:rsid w:val="00FA790D"/>
    <w:rsid w:val="00FB0605"/>
    <w:rsid w:val="00FB1A51"/>
    <w:rsid w:val="00FB2B38"/>
    <w:rsid w:val="00FB3387"/>
    <w:rsid w:val="00FB3AC1"/>
    <w:rsid w:val="00FB51A7"/>
    <w:rsid w:val="00FB5948"/>
    <w:rsid w:val="00FB6572"/>
    <w:rsid w:val="00FC07CC"/>
    <w:rsid w:val="00FC08CA"/>
    <w:rsid w:val="00FC19DC"/>
    <w:rsid w:val="00FC2028"/>
    <w:rsid w:val="00FC2A8E"/>
    <w:rsid w:val="00FC3FDC"/>
    <w:rsid w:val="00FC4E9C"/>
    <w:rsid w:val="00FC54BA"/>
    <w:rsid w:val="00FC6358"/>
    <w:rsid w:val="00FD0AD3"/>
    <w:rsid w:val="00FD0BD5"/>
    <w:rsid w:val="00FD114D"/>
    <w:rsid w:val="00FD2AE5"/>
    <w:rsid w:val="00FD320D"/>
    <w:rsid w:val="00FD4C2D"/>
    <w:rsid w:val="00FD60C0"/>
    <w:rsid w:val="00FE0053"/>
    <w:rsid w:val="00FE0331"/>
    <w:rsid w:val="00FE1AF2"/>
    <w:rsid w:val="00FE23DE"/>
    <w:rsid w:val="00FE3FAA"/>
    <w:rsid w:val="00FE5649"/>
    <w:rsid w:val="00FE5A7F"/>
    <w:rsid w:val="00FE6AB6"/>
    <w:rsid w:val="00FE6F0E"/>
    <w:rsid w:val="00FF0702"/>
    <w:rsid w:val="00FF0D05"/>
    <w:rsid w:val="00FF22B0"/>
    <w:rsid w:val="00FF464D"/>
    <w:rsid w:val="00FF4CB2"/>
    <w:rsid w:val="00FF5DAB"/>
    <w:rsid w:val="00FF6DCD"/>
    <w:rsid w:val="00FF70C1"/>
    <w:rsid w:val="06CD3785"/>
    <w:rsid w:val="0AB42966"/>
    <w:rsid w:val="1499035F"/>
    <w:rsid w:val="1C031D21"/>
    <w:rsid w:val="1F3F2E83"/>
    <w:rsid w:val="2D25243C"/>
    <w:rsid w:val="2D5E2683"/>
    <w:rsid w:val="547F1FC8"/>
    <w:rsid w:val="58F06F37"/>
    <w:rsid w:val="60B4390F"/>
    <w:rsid w:val="72964259"/>
    <w:rsid w:val="790524F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6">
    <w:name w:val="Default Paragraph Font"/>
    <w:semiHidden/>
    <w:unhideWhenUsed/>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toc 7"/>
    <w:basedOn w:val="1"/>
    <w:next w:val="1"/>
    <w:semiHidden/>
    <w:qFormat/>
    <w:uiPriority w:val="0"/>
    <w:pPr>
      <w:tabs>
        <w:tab w:val="right" w:leader="dot" w:pos="9241"/>
      </w:tabs>
      <w:ind w:firstLine="505" w:firstLineChars="500"/>
      <w:jc w:val="left"/>
    </w:pPr>
    <w:rPr>
      <w:rFonts w:ascii="宋体"/>
      <w:szCs w:val="21"/>
    </w:rPr>
  </w:style>
  <w:style w:type="paragraph" w:styleId="3">
    <w:name w:val="index 8"/>
    <w:basedOn w:val="1"/>
    <w:next w:val="1"/>
    <w:qFormat/>
    <w:uiPriority w:val="0"/>
    <w:pPr>
      <w:ind w:left="1680" w:hanging="210"/>
      <w:jc w:val="left"/>
    </w:pPr>
    <w:rPr>
      <w:rFonts w:ascii="Calibri" w:hAnsi="Calibri"/>
      <w:sz w:val="20"/>
      <w:szCs w:val="20"/>
    </w:rPr>
  </w:style>
  <w:style w:type="paragraph" w:styleId="4">
    <w:name w:val="caption"/>
    <w:basedOn w:val="1"/>
    <w:next w:val="1"/>
    <w:qFormat/>
    <w:uiPriority w:val="0"/>
    <w:pPr>
      <w:spacing w:before="152" w:after="160"/>
    </w:pPr>
    <w:rPr>
      <w:rFonts w:ascii="Arial" w:hAnsi="Arial" w:eastAsia="黑体" w:cs="Arial"/>
      <w:sz w:val="20"/>
      <w:szCs w:val="20"/>
    </w:rPr>
  </w:style>
  <w:style w:type="paragraph" w:styleId="5">
    <w:name w:val="index 5"/>
    <w:basedOn w:val="1"/>
    <w:next w:val="1"/>
    <w:qFormat/>
    <w:uiPriority w:val="0"/>
    <w:pPr>
      <w:ind w:left="1050" w:hanging="210"/>
      <w:jc w:val="left"/>
    </w:pPr>
    <w:rPr>
      <w:rFonts w:ascii="Calibri" w:hAnsi="Calibri"/>
      <w:sz w:val="20"/>
      <w:szCs w:val="20"/>
    </w:rPr>
  </w:style>
  <w:style w:type="paragraph" w:styleId="6">
    <w:name w:val="Document Map"/>
    <w:basedOn w:val="1"/>
    <w:semiHidden/>
    <w:qFormat/>
    <w:uiPriority w:val="0"/>
    <w:pPr>
      <w:shd w:val="clear" w:color="auto" w:fill="000080"/>
    </w:pPr>
  </w:style>
  <w:style w:type="paragraph" w:styleId="7">
    <w:name w:val="annotation text"/>
    <w:basedOn w:val="1"/>
    <w:link w:val="146"/>
    <w:qFormat/>
    <w:uiPriority w:val="0"/>
    <w:pPr>
      <w:jc w:val="left"/>
    </w:pPr>
  </w:style>
  <w:style w:type="paragraph" w:styleId="8">
    <w:name w:val="index 6"/>
    <w:basedOn w:val="1"/>
    <w:next w:val="1"/>
    <w:qFormat/>
    <w:uiPriority w:val="0"/>
    <w:pPr>
      <w:ind w:left="1260" w:hanging="210"/>
      <w:jc w:val="left"/>
    </w:pPr>
    <w:rPr>
      <w:rFonts w:ascii="Calibri" w:hAnsi="Calibri"/>
      <w:sz w:val="20"/>
      <w:szCs w:val="20"/>
    </w:rPr>
  </w:style>
  <w:style w:type="paragraph" w:styleId="9">
    <w:name w:val="index 4"/>
    <w:basedOn w:val="1"/>
    <w:next w:val="1"/>
    <w:qFormat/>
    <w:uiPriority w:val="0"/>
    <w:pPr>
      <w:ind w:left="840" w:hanging="210"/>
      <w:jc w:val="left"/>
    </w:pPr>
    <w:rPr>
      <w:rFonts w:ascii="Calibri" w:hAnsi="Calibri"/>
      <w:sz w:val="20"/>
      <w:szCs w:val="20"/>
    </w:rPr>
  </w:style>
  <w:style w:type="paragraph" w:styleId="10">
    <w:name w:val="toc 5"/>
    <w:basedOn w:val="1"/>
    <w:next w:val="1"/>
    <w:semiHidden/>
    <w:qFormat/>
    <w:uiPriority w:val="0"/>
    <w:pPr>
      <w:tabs>
        <w:tab w:val="right" w:leader="dot" w:pos="9241"/>
      </w:tabs>
      <w:ind w:firstLine="300" w:firstLineChars="300"/>
      <w:jc w:val="left"/>
    </w:pPr>
    <w:rPr>
      <w:rFonts w:ascii="宋体"/>
      <w:szCs w:val="21"/>
    </w:rPr>
  </w:style>
  <w:style w:type="paragraph" w:styleId="11">
    <w:name w:val="toc 3"/>
    <w:basedOn w:val="1"/>
    <w:next w:val="1"/>
    <w:semiHidden/>
    <w:qFormat/>
    <w:uiPriority w:val="0"/>
    <w:pPr>
      <w:tabs>
        <w:tab w:val="right" w:leader="dot" w:pos="9241"/>
      </w:tabs>
      <w:ind w:firstLine="102" w:firstLineChars="100"/>
      <w:jc w:val="left"/>
    </w:pPr>
    <w:rPr>
      <w:rFonts w:ascii="宋体"/>
      <w:szCs w:val="21"/>
    </w:rPr>
  </w:style>
  <w:style w:type="paragraph" w:styleId="12">
    <w:name w:val="Plain Text"/>
    <w:basedOn w:val="1"/>
    <w:link w:val="151"/>
    <w:qFormat/>
    <w:uiPriority w:val="0"/>
    <w:rPr>
      <w:rFonts w:ascii="宋体" w:hAnsi="Courier New"/>
      <w:szCs w:val="20"/>
    </w:rPr>
  </w:style>
  <w:style w:type="paragraph" w:styleId="13">
    <w:name w:val="toc 8"/>
    <w:basedOn w:val="1"/>
    <w:next w:val="1"/>
    <w:semiHidden/>
    <w:qFormat/>
    <w:uiPriority w:val="0"/>
    <w:pPr>
      <w:tabs>
        <w:tab w:val="right" w:leader="dot" w:pos="9241"/>
      </w:tabs>
      <w:ind w:firstLine="607" w:firstLineChars="600"/>
      <w:jc w:val="left"/>
    </w:pPr>
    <w:rPr>
      <w:rFonts w:ascii="宋体"/>
      <w:szCs w:val="21"/>
    </w:rPr>
  </w:style>
  <w:style w:type="paragraph" w:styleId="14">
    <w:name w:val="index 3"/>
    <w:basedOn w:val="1"/>
    <w:next w:val="1"/>
    <w:qFormat/>
    <w:uiPriority w:val="0"/>
    <w:pPr>
      <w:ind w:left="630" w:hanging="210"/>
      <w:jc w:val="left"/>
    </w:pPr>
    <w:rPr>
      <w:rFonts w:ascii="Calibri" w:hAnsi="Calibri"/>
      <w:sz w:val="20"/>
      <w:szCs w:val="20"/>
    </w:rPr>
  </w:style>
  <w:style w:type="paragraph" w:styleId="15">
    <w:name w:val="Date"/>
    <w:basedOn w:val="1"/>
    <w:next w:val="1"/>
    <w:link w:val="143"/>
    <w:qFormat/>
    <w:uiPriority w:val="0"/>
    <w:pPr>
      <w:ind w:left="100" w:leftChars="2500"/>
    </w:pPr>
  </w:style>
  <w:style w:type="paragraph" w:styleId="16">
    <w:name w:val="endnote text"/>
    <w:basedOn w:val="1"/>
    <w:semiHidden/>
    <w:qFormat/>
    <w:uiPriority w:val="0"/>
    <w:pPr>
      <w:snapToGrid w:val="0"/>
      <w:jc w:val="left"/>
    </w:pPr>
  </w:style>
  <w:style w:type="paragraph" w:styleId="17">
    <w:name w:val="Balloon Text"/>
    <w:basedOn w:val="1"/>
    <w:semiHidden/>
    <w:qFormat/>
    <w:uiPriority w:val="0"/>
    <w:rPr>
      <w:sz w:val="18"/>
      <w:szCs w:val="18"/>
    </w:rPr>
  </w:style>
  <w:style w:type="paragraph" w:styleId="18">
    <w:name w:val="footer"/>
    <w:basedOn w:val="1"/>
    <w:link w:val="159"/>
    <w:qFormat/>
    <w:uiPriority w:val="99"/>
    <w:pPr>
      <w:snapToGrid w:val="0"/>
      <w:ind w:right="210" w:rightChars="100"/>
      <w:jc w:val="right"/>
    </w:pPr>
    <w:rPr>
      <w:sz w:val="18"/>
      <w:szCs w:val="18"/>
    </w:rPr>
  </w:style>
  <w:style w:type="paragraph" w:styleId="19">
    <w:name w:val="header"/>
    <w:basedOn w:val="1"/>
    <w:link w:val="148"/>
    <w:qFormat/>
    <w:uiPriority w:val="0"/>
    <w:pPr>
      <w:snapToGrid w:val="0"/>
      <w:jc w:val="left"/>
    </w:pPr>
    <w:rPr>
      <w:sz w:val="18"/>
      <w:szCs w:val="18"/>
    </w:rPr>
  </w:style>
  <w:style w:type="paragraph" w:styleId="20">
    <w:name w:val="toc 1"/>
    <w:basedOn w:val="1"/>
    <w:next w:val="1"/>
    <w:qFormat/>
    <w:uiPriority w:val="39"/>
    <w:pPr>
      <w:tabs>
        <w:tab w:val="right" w:leader="dot" w:pos="9241"/>
      </w:tabs>
      <w:spacing w:beforeLines="25" w:afterLines="25"/>
      <w:jc w:val="left"/>
    </w:pPr>
    <w:rPr>
      <w:rFonts w:ascii="宋体"/>
      <w:szCs w:val="21"/>
    </w:rPr>
  </w:style>
  <w:style w:type="paragraph" w:styleId="21">
    <w:name w:val="toc 4"/>
    <w:basedOn w:val="1"/>
    <w:next w:val="1"/>
    <w:semiHidden/>
    <w:qFormat/>
    <w:uiPriority w:val="0"/>
    <w:pPr>
      <w:tabs>
        <w:tab w:val="right" w:leader="dot" w:pos="9241"/>
      </w:tabs>
      <w:ind w:firstLine="198" w:firstLineChars="200"/>
      <w:jc w:val="left"/>
    </w:pPr>
    <w:rPr>
      <w:rFonts w:ascii="宋体"/>
      <w:szCs w:val="21"/>
    </w:rPr>
  </w:style>
  <w:style w:type="paragraph" w:styleId="22">
    <w:name w:val="index heading"/>
    <w:basedOn w:val="1"/>
    <w:next w:val="23"/>
    <w:qFormat/>
    <w:uiPriority w:val="0"/>
    <w:pPr>
      <w:spacing w:before="120" w:after="120"/>
      <w:jc w:val="center"/>
    </w:pPr>
    <w:rPr>
      <w:rFonts w:ascii="Calibri" w:hAnsi="Calibri"/>
      <w:b/>
      <w:bCs/>
      <w:iCs/>
      <w:szCs w:val="20"/>
    </w:rPr>
  </w:style>
  <w:style w:type="paragraph" w:styleId="23">
    <w:name w:val="index 1"/>
    <w:basedOn w:val="1"/>
    <w:next w:val="24"/>
    <w:qFormat/>
    <w:uiPriority w:val="0"/>
    <w:pPr>
      <w:tabs>
        <w:tab w:val="right" w:leader="dot" w:pos="9299"/>
      </w:tabs>
      <w:jc w:val="left"/>
    </w:pPr>
    <w:rPr>
      <w:rFonts w:ascii="宋体"/>
      <w:szCs w:val="21"/>
    </w:rPr>
  </w:style>
  <w:style w:type="paragraph" w:customStyle="1" w:styleId="24">
    <w:name w:val="段"/>
    <w:link w:val="4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5">
    <w:name w:val="footnote text"/>
    <w:basedOn w:val="1"/>
    <w:qFormat/>
    <w:uiPriority w:val="0"/>
    <w:pPr>
      <w:numPr>
        <w:ilvl w:val="0"/>
        <w:numId w:val="1"/>
      </w:numPr>
      <w:snapToGrid w:val="0"/>
      <w:jc w:val="left"/>
    </w:pPr>
    <w:rPr>
      <w:rFonts w:ascii="宋体"/>
      <w:sz w:val="18"/>
      <w:szCs w:val="18"/>
    </w:rPr>
  </w:style>
  <w:style w:type="paragraph" w:styleId="26">
    <w:name w:val="toc 6"/>
    <w:basedOn w:val="1"/>
    <w:next w:val="1"/>
    <w:semiHidden/>
    <w:qFormat/>
    <w:uiPriority w:val="0"/>
    <w:pPr>
      <w:tabs>
        <w:tab w:val="right" w:leader="dot" w:pos="9241"/>
      </w:tabs>
      <w:ind w:firstLine="403" w:firstLineChars="400"/>
      <w:jc w:val="left"/>
    </w:pPr>
    <w:rPr>
      <w:rFonts w:ascii="宋体"/>
      <w:szCs w:val="21"/>
    </w:rPr>
  </w:style>
  <w:style w:type="paragraph" w:styleId="27">
    <w:name w:val="index 7"/>
    <w:basedOn w:val="1"/>
    <w:next w:val="1"/>
    <w:qFormat/>
    <w:uiPriority w:val="0"/>
    <w:pPr>
      <w:ind w:left="1470" w:hanging="210"/>
      <w:jc w:val="left"/>
    </w:pPr>
    <w:rPr>
      <w:rFonts w:ascii="Calibri" w:hAnsi="Calibri"/>
      <w:sz w:val="20"/>
      <w:szCs w:val="20"/>
    </w:rPr>
  </w:style>
  <w:style w:type="paragraph" w:styleId="28">
    <w:name w:val="index 9"/>
    <w:basedOn w:val="1"/>
    <w:next w:val="1"/>
    <w:qFormat/>
    <w:uiPriority w:val="0"/>
    <w:pPr>
      <w:ind w:left="1890" w:hanging="210"/>
      <w:jc w:val="left"/>
    </w:pPr>
    <w:rPr>
      <w:rFonts w:ascii="Calibri" w:hAnsi="Calibri"/>
      <w:sz w:val="20"/>
      <w:szCs w:val="20"/>
    </w:rPr>
  </w:style>
  <w:style w:type="paragraph" w:styleId="29">
    <w:name w:val="toc 2"/>
    <w:basedOn w:val="1"/>
    <w:next w:val="1"/>
    <w:semiHidden/>
    <w:qFormat/>
    <w:uiPriority w:val="0"/>
    <w:pPr>
      <w:tabs>
        <w:tab w:val="right" w:leader="dot" w:pos="9241"/>
      </w:tabs>
    </w:pPr>
    <w:rPr>
      <w:rFonts w:ascii="宋体"/>
      <w:szCs w:val="21"/>
    </w:rPr>
  </w:style>
  <w:style w:type="paragraph" w:styleId="30">
    <w:name w:val="toc 9"/>
    <w:basedOn w:val="1"/>
    <w:next w:val="1"/>
    <w:semiHidden/>
    <w:qFormat/>
    <w:uiPriority w:val="0"/>
    <w:pPr>
      <w:ind w:left="1470"/>
      <w:jc w:val="left"/>
    </w:pPr>
    <w:rPr>
      <w:sz w:val="20"/>
      <w:szCs w:val="20"/>
    </w:rPr>
  </w:style>
  <w:style w:type="paragraph" w:styleId="31">
    <w:name w:val="Normal (Web)"/>
    <w:basedOn w:val="1"/>
    <w:unhideWhenUsed/>
    <w:qFormat/>
    <w:uiPriority w:val="0"/>
    <w:pPr>
      <w:widowControl/>
      <w:spacing w:before="100" w:beforeAutospacing="1" w:after="100" w:afterAutospacing="1"/>
      <w:jc w:val="left"/>
    </w:pPr>
    <w:rPr>
      <w:rFonts w:ascii="宋体" w:hAnsi="宋体" w:cs="宋体"/>
      <w:color w:val="000000"/>
      <w:kern w:val="0"/>
      <w:sz w:val="24"/>
    </w:rPr>
  </w:style>
  <w:style w:type="paragraph" w:styleId="32">
    <w:name w:val="index 2"/>
    <w:basedOn w:val="1"/>
    <w:next w:val="1"/>
    <w:qFormat/>
    <w:uiPriority w:val="0"/>
    <w:pPr>
      <w:ind w:left="420" w:hanging="210"/>
      <w:jc w:val="left"/>
    </w:pPr>
    <w:rPr>
      <w:rFonts w:ascii="Calibri" w:hAnsi="Calibri"/>
      <w:sz w:val="20"/>
      <w:szCs w:val="20"/>
    </w:rPr>
  </w:style>
  <w:style w:type="paragraph" w:styleId="33">
    <w:name w:val="annotation subject"/>
    <w:basedOn w:val="7"/>
    <w:next w:val="7"/>
    <w:link w:val="147"/>
    <w:qFormat/>
    <w:uiPriority w:val="0"/>
    <w:rPr>
      <w:b/>
      <w:bCs/>
    </w:rPr>
  </w:style>
  <w:style w:type="table" w:styleId="35">
    <w:name w:val="Table Grid"/>
    <w:basedOn w:val="3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7">
    <w:name w:val="Strong"/>
    <w:basedOn w:val="36"/>
    <w:qFormat/>
    <w:uiPriority w:val="0"/>
    <w:rPr>
      <w:b/>
    </w:rPr>
  </w:style>
  <w:style w:type="character" w:styleId="38">
    <w:name w:val="endnote reference"/>
    <w:semiHidden/>
    <w:qFormat/>
    <w:uiPriority w:val="0"/>
    <w:rPr>
      <w:vertAlign w:val="superscript"/>
    </w:rPr>
  </w:style>
  <w:style w:type="character" w:styleId="39">
    <w:name w:val="page number"/>
    <w:qFormat/>
    <w:uiPriority w:val="0"/>
    <w:rPr>
      <w:rFonts w:ascii="Times New Roman" w:hAnsi="Times New Roman" w:eastAsia="宋体"/>
      <w:sz w:val="18"/>
    </w:rPr>
  </w:style>
  <w:style w:type="character" w:styleId="40">
    <w:name w:val="FollowedHyperlink"/>
    <w:qFormat/>
    <w:uiPriority w:val="0"/>
    <w:rPr>
      <w:color w:val="800080"/>
      <w:u w:val="single"/>
    </w:rPr>
  </w:style>
  <w:style w:type="character" w:styleId="41">
    <w:name w:val="Emphasis"/>
    <w:basedOn w:val="36"/>
    <w:qFormat/>
    <w:uiPriority w:val="0"/>
    <w:rPr>
      <w:i/>
      <w:iCs/>
    </w:rPr>
  </w:style>
  <w:style w:type="character" w:styleId="42">
    <w:name w:val="Hyperlink"/>
    <w:qFormat/>
    <w:uiPriority w:val="99"/>
    <w:rPr>
      <w:color w:val="0000FF"/>
      <w:spacing w:val="0"/>
      <w:w w:val="100"/>
      <w:szCs w:val="21"/>
      <w:u w:val="single"/>
    </w:rPr>
  </w:style>
  <w:style w:type="character" w:styleId="43">
    <w:name w:val="annotation reference"/>
    <w:qFormat/>
    <w:uiPriority w:val="0"/>
    <w:rPr>
      <w:sz w:val="21"/>
      <w:szCs w:val="21"/>
    </w:rPr>
  </w:style>
  <w:style w:type="character" w:styleId="44">
    <w:name w:val="footnote reference"/>
    <w:semiHidden/>
    <w:qFormat/>
    <w:uiPriority w:val="0"/>
    <w:rPr>
      <w:vertAlign w:val="superscript"/>
    </w:rPr>
  </w:style>
  <w:style w:type="character" w:customStyle="1" w:styleId="45">
    <w:name w:val="段 Char"/>
    <w:link w:val="24"/>
    <w:qFormat/>
    <w:uiPriority w:val="0"/>
    <w:rPr>
      <w:rFonts w:ascii="宋体"/>
      <w:sz w:val="21"/>
      <w:lang w:val="en-US" w:eastAsia="zh-CN" w:bidi="ar-SA"/>
    </w:rPr>
  </w:style>
  <w:style w:type="paragraph" w:customStyle="1" w:styleId="46">
    <w:name w:val="一级条标题"/>
    <w:next w:val="24"/>
    <w:link w:val="144"/>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47">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48">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9">
    <w:name w:val="章标题"/>
    <w:next w:val="24"/>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50">
    <w:name w:val="二级条标题"/>
    <w:basedOn w:val="46"/>
    <w:next w:val="24"/>
    <w:link w:val="145"/>
    <w:qFormat/>
    <w:uiPriority w:val="0"/>
    <w:pPr>
      <w:numPr>
        <w:ilvl w:val="2"/>
      </w:numPr>
      <w:spacing w:before="50" w:after="50"/>
      <w:outlineLvl w:val="3"/>
    </w:pPr>
  </w:style>
  <w:style w:type="paragraph" w:customStyle="1" w:styleId="51">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52">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53">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4">
    <w:name w:val="目次、标准名称标题"/>
    <w:basedOn w:val="1"/>
    <w:next w:val="24"/>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5">
    <w:name w:val="三级条标题"/>
    <w:basedOn w:val="50"/>
    <w:next w:val="24"/>
    <w:qFormat/>
    <w:uiPriority w:val="0"/>
    <w:pPr>
      <w:numPr>
        <w:ilvl w:val="3"/>
      </w:numPr>
      <w:outlineLvl w:val="4"/>
    </w:pPr>
  </w:style>
  <w:style w:type="paragraph" w:customStyle="1" w:styleId="56">
    <w:name w:val="示例"/>
    <w:next w:val="57"/>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57">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58">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59">
    <w:name w:val="四级条标题"/>
    <w:basedOn w:val="55"/>
    <w:next w:val="24"/>
    <w:qFormat/>
    <w:uiPriority w:val="0"/>
    <w:pPr>
      <w:numPr>
        <w:ilvl w:val="4"/>
      </w:numPr>
      <w:outlineLvl w:val="5"/>
    </w:pPr>
  </w:style>
  <w:style w:type="paragraph" w:customStyle="1" w:styleId="60">
    <w:name w:val="五级条标题"/>
    <w:basedOn w:val="59"/>
    <w:next w:val="24"/>
    <w:qFormat/>
    <w:uiPriority w:val="0"/>
    <w:pPr>
      <w:numPr>
        <w:ilvl w:val="5"/>
      </w:numPr>
      <w:outlineLvl w:val="6"/>
    </w:pPr>
  </w:style>
  <w:style w:type="paragraph" w:customStyle="1" w:styleId="61">
    <w:name w:val="注："/>
    <w:next w:val="24"/>
    <w:qFormat/>
    <w:uiPriority w:val="0"/>
    <w:pPr>
      <w:widowControl w:val="0"/>
      <w:numPr>
        <w:ilvl w:val="0"/>
        <w:numId w:val="6"/>
      </w:numPr>
      <w:autoSpaceDE w:val="0"/>
      <w:autoSpaceDN w:val="0"/>
      <w:jc w:val="both"/>
    </w:pPr>
    <w:rPr>
      <w:rFonts w:ascii="宋体" w:hAnsi="Times New Roman" w:eastAsia="宋体" w:cs="Times New Roman"/>
      <w:sz w:val="18"/>
      <w:szCs w:val="18"/>
      <w:lang w:val="en-US" w:eastAsia="zh-CN" w:bidi="ar-SA"/>
    </w:rPr>
  </w:style>
  <w:style w:type="paragraph" w:customStyle="1" w:styleId="62">
    <w:name w:val="注×："/>
    <w:qFormat/>
    <w:uiPriority w:val="0"/>
    <w:pPr>
      <w:widowControl w:val="0"/>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63">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64">
    <w:name w:val="列项◆（三级）"/>
    <w:basedOn w:val="1"/>
    <w:qFormat/>
    <w:uiPriority w:val="0"/>
    <w:pPr>
      <w:numPr>
        <w:ilvl w:val="2"/>
        <w:numId w:val="4"/>
      </w:numPr>
    </w:pPr>
    <w:rPr>
      <w:rFonts w:ascii="宋体"/>
      <w:szCs w:val="21"/>
    </w:rPr>
  </w:style>
  <w:style w:type="paragraph" w:customStyle="1" w:styleId="65">
    <w:name w:val="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66">
    <w:name w:val="示例×："/>
    <w:basedOn w:val="49"/>
    <w:qFormat/>
    <w:uiPriority w:val="0"/>
    <w:pPr>
      <w:numPr>
        <w:numId w:val="0"/>
      </w:numPr>
      <w:spacing w:beforeLines="0" w:afterLines="0"/>
      <w:ind w:firstLine="363"/>
      <w:outlineLvl w:val="9"/>
    </w:pPr>
    <w:rPr>
      <w:rFonts w:ascii="宋体" w:eastAsia="宋体"/>
      <w:sz w:val="18"/>
      <w:szCs w:val="18"/>
    </w:rPr>
  </w:style>
  <w:style w:type="paragraph" w:customStyle="1" w:styleId="67">
    <w:name w:val="二级无"/>
    <w:basedOn w:val="50"/>
    <w:qFormat/>
    <w:uiPriority w:val="0"/>
    <w:pPr>
      <w:spacing w:beforeLines="0" w:afterLines="0"/>
    </w:pPr>
    <w:rPr>
      <w:rFonts w:ascii="宋体" w:eastAsia="宋体"/>
    </w:rPr>
  </w:style>
  <w:style w:type="paragraph" w:customStyle="1" w:styleId="68">
    <w:name w:val="注：（正文）"/>
    <w:basedOn w:val="61"/>
    <w:next w:val="24"/>
    <w:qFormat/>
    <w:uiPriority w:val="0"/>
  </w:style>
  <w:style w:type="paragraph" w:customStyle="1" w:styleId="69">
    <w:name w:val="注×：（正文）"/>
    <w:qFormat/>
    <w:uiPriority w:val="0"/>
    <w:pPr>
      <w:numPr>
        <w:ilvl w:val="0"/>
        <w:numId w:val="7"/>
      </w:numPr>
      <w:jc w:val="both"/>
    </w:pPr>
    <w:rPr>
      <w:rFonts w:ascii="宋体" w:hAnsi="Times New Roman" w:eastAsia="宋体" w:cs="Times New Roman"/>
      <w:sz w:val="18"/>
      <w:szCs w:val="18"/>
      <w:lang w:val="en-US" w:eastAsia="zh-CN" w:bidi="ar-SA"/>
    </w:rPr>
  </w:style>
  <w:style w:type="paragraph" w:customStyle="1" w:styleId="70">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71">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72">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73">
    <w:name w:val="标准书眉_偶数页"/>
    <w:basedOn w:val="48"/>
    <w:next w:val="1"/>
    <w:qFormat/>
    <w:uiPriority w:val="0"/>
    <w:pPr>
      <w:jc w:val="left"/>
    </w:pPr>
  </w:style>
  <w:style w:type="paragraph" w:customStyle="1" w:styleId="74">
    <w:name w:val="标准书眉一"/>
    <w:qFormat/>
    <w:uiPriority w:val="0"/>
    <w:pPr>
      <w:jc w:val="both"/>
    </w:pPr>
    <w:rPr>
      <w:rFonts w:ascii="Times New Roman" w:hAnsi="Times New Roman" w:eastAsia="宋体" w:cs="Times New Roman"/>
      <w:lang w:val="en-US" w:eastAsia="zh-CN" w:bidi="ar-SA"/>
    </w:rPr>
  </w:style>
  <w:style w:type="paragraph" w:customStyle="1" w:styleId="75">
    <w:name w:val="参考文献"/>
    <w:basedOn w:val="1"/>
    <w:next w:val="24"/>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6">
    <w:name w:val="参考文献、索引标题"/>
    <w:basedOn w:val="1"/>
    <w:next w:val="24"/>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77">
    <w:name w:val="发布"/>
    <w:qFormat/>
    <w:uiPriority w:val="0"/>
    <w:rPr>
      <w:rFonts w:ascii="黑体" w:eastAsia="黑体"/>
      <w:spacing w:val="85"/>
      <w:w w:val="100"/>
      <w:position w:val="3"/>
      <w:sz w:val="28"/>
      <w:szCs w:val="28"/>
    </w:rPr>
  </w:style>
  <w:style w:type="paragraph" w:customStyle="1" w:styleId="78">
    <w:name w:val="发布部门"/>
    <w:next w:val="24"/>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79">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80">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81">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82">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3">
    <w:name w:val="封面标准英文名称"/>
    <w:basedOn w:val="82"/>
    <w:qFormat/>
    <w:uiPriority w:val="0"/>
    <w:pPr>
      <w:framePr w:wrap="around"/>
      <w:spacing w:before="370" w:line="400" w:lineRule="exact"/>
    </w:pPr>
    <w:rPr>
      <w:rFonts w:ascii="Times New Roman"/>
      <w:sz w:val="28"/>
      <w:szCs w:val="28"/>
    </w:rPr>
  </w:style>
  <w:style w:type="paragraph" w:customStyle="1" w:styleId="84">
    <w:name w:val="封面一致性程度标识"/>
    <w:basedOn w:val="83"/>
    <w:qFormat/>
    <w:uiPriority w:val="0"/>
    <w:pPr>
      <w:framePr w:wrap="around"/>
      <w:spacing w:before="440"/>
    </w:pPr>
    <w:rPr>
      <w:rFonts w:ascii="宋体" w:eastAsia="宋体"/>
    </w:rPr>
  </w:style>
  <w:style w:type="paragraph" w:customStyle="1" w:styleId="85">
    <w:name w:val="封面标准文稿类别"/>
    <w:basedOn w:val="84"/>
    <w:qFormat/>
    <w:uiPriority w:val="0"/>
    <w:pPr>
      <w:framePr w:wrap="around"/>
      <w:spacing w:after="160" w:line="240" w:lineRule="auto"/>
    </w:pPr>
    <w:rPr>
      <w:sz w:val="24"/>
    </w:rPr>
  </w:style>
  <w:style w:type="paragraph" w:customStyle="1" w:styleId="86">
    <w:name w:val="封面标准文稿编辑信息"/>
    <w:basedOn w:val="85"/>
    <w:qFormat/>
    <w:uiPriority w:val="0"/>
    <w:pPr>
      <w:framePr w:wrap="around"/>
      <w:spacing w:before="180" w:line="180" w:lineRule="exact"/>
    </w:pPr>
    <w:rPr>
      <w:sz w:val="21"/>
    </w:rPr>
  </w:style>
  <w:style w:type="paragraph" w:customStyle="1" w:styleId="87">
    <w:name w:val="封面正文"/>
    <w:qFormat/>
    <w:uiPriority w:val="0"/>
    <w:pPr>
      <w:jc w:val="both"/>
    </w:pPr>
    <w:rPr>
      <w:rFonts w:ascii="Times New Roman" w:hAnsi="Times New Roman" w:eastAsia="宋体" w:cs="Times New Roman"/>
      <w:lang w:val="en-US" w:eastAsia="zh-CN" w:bidi="ar-SA"/>
    </w:rPr>
  </w:style>
  <w:style w:type="paragraph" w:customStyle="1" w:styleId="88">
    <w:name w:val="附录标识"/>
    <w:basedOn w:val="1"/>
    <w:next w:val="24"/>
    <w:qFormat/>
    <w:uiPriority w:val="0"/>
    <w:pPr>
      <w:keepNext/>
      <w:widowControl/>
      <w:numPr>
        <w:ilvl w:val="0"/>
        <w:numId w:val="8"/>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9">
    <w:name w:val="附录标题"/>
    <w:basedOn w:val="24"/>
    <w:next w:val="24"/>
    <w:qFormat/>
    <w:uiPriority w:val="0"/>
    <w:pPr>
      <w:ind w:firstLine="0" w:firstLineChars="0"/>
      <w:jc w:val="center"/>
    </w:pPr>
    <w:rPr>
      <w:rFonts w:ascii="黑体" w:eastAsia="黑体"/>
    </w:rPr>
  </w:style>
  <w:style w:type="paragraph" w:customStyle="1" w:styleId="90">
    <w:name w:val="附录表标号"/>
    <w:basedOn w:val="1"/>
    <w:next w:val="24"/>
    <w:qFormat/>
    <w:uiPriority w:val="0"/>
    <w:pPr>
      <w:numPr>
        <w:ilvl w:val="0"/>
        <w:numId w:val="9"/>
      </w:numPr>
      <w:tabs>
        <w:tab w:val="clear" w:pos="0"/>
      </w:tabs>
      <w:spacing w:line="14" w:lineRule="exact"/>
      <w:ind w:left="811" w:hanging="448"/>
      <w:jc w:val="center"/>
      <w:outlineLvl w:val="0"/>
    </w:pPr>
    <w:rPr>
      <w:color w:val="FFFFFF"/>
    </w:rPr>
  </w:style>
  <w:style w:type="paragraph" w:customStyle="1" w:styleId="91">
    <w:name w:val="附录表标题"/>
    <w:basedOn w:val="1"/>
    <w:next w:val="24"/>
    <w:qFormat/>
    <w:uiPriority w:val="0"/>
    <w:pPr>
      <w:numPr>
        <w:ilvl w:val="1"/>
        <w:numId w:val="9"/>
      </w:numPr>
      <w:tabs>
        <w:tab w:val="left" w:pos="180"/>
      </w:tabs>
      <w:spacing w:beforeLines="50" w:afterLines="50"/>
      <w:ind w:left="0" w:firstLine="0"/>
      <w:jc w:val="center"/>
    </w:pPr>
    <w:rPr>
      <w:rFonts w:ascii="黑体" w:eastAsia="黑体"/>
      <w:szCs w:val="21"/>
    </w:rPr>
  </w:style>
  <w:style w:type="paragraph" w:customStyle="1" w:styleId="92">
    <w:name w:val="附录二级条标题"/>
    <w:basedOn w:val="1"/>
    <w:next w:val="24"/>
    <w:qFormat/>
    <w:uiPriority w:val="0"/>
    <w:pPr>
      <w:widowControl/>
      <w:numPr>
        <w:ilvl w:val="3"/>
        <w:numId w:val="8"/>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93">
    <w:name w:val="附录二级无"/>
    <w:basedOn w:val="92"/>
    <w:qFormat/>
    <w:uiPriority w:val="0"/>
    <w:pPr>
      <w:tabs>
        <w:tab w:val="clear" w:pos="360"/>
      </w:tabs>
      <w:spacing w:beforeLines="0" w:afterLines="0"/>
    </w:pPr>
    <w:rPr>
      <w:rFonts w:ascii="宋体" w:eastAsia="宋体"/>
      <w:szCs w:val="21"/>
    </w:rPr>
  </w:style>
  <w:style w:type="paragraph" w:customStyle="1" w:styleId="94">
    <w:name w:val="附录公式"/>
    <w:basedOn w:val="24"/>
    <w:next w:val="24"/>
    <w:link w:val="95"/>
    <w:qFormat/>
    <w:uiPriority w:val="0"/>
  </w:style>
  <w:style w:type="character" w:customStyle="1" w:styleId="95">
    <w:name w:val="附录公式 Char"/>
    <w:basedOn w:val="45"/>
    <w:link w:val="94"/>
    <w:qFormat/>
    <w:uiPriority w:val="0"/>
    <w:rPr>
      <w:rFonts w:ascii="宋体"/>
      <w:sz w:val="21"/>
      <w:lang w:val="en-US" w:eastAsia="zh-CN" w:bidi="ar-SA"/>
    </w:rPr>
  </w:style>
  <w:style w:type="paragraph" w:customStyle="1" w:styleId="96">
    <w:name w:val="附录公式编号制表符"/>
    <w:basedOn w:val="1"/>
    <w:next w:val="24"/>
    <w:qFormat/>
    <w:uiPriority w:val="0"/>
    <w:pPr>
      <w:widowControl/>
      <w:tabs>
        <w:tab w:val="center" w:pos="4201"/>
        <w:tab w:val="right" w:leader="dot" w:pos="9298"/>
      </w:tabs>
      <w:autoSpaceDE w:val="0"/>
      <w:autoSpaceDN w:val="0"/>
    </w:pPr>
    <w:rPr>
      <w:rFonts w:ascii="宋体"/>
      <w:kern w:val="0"/>
      <w:szCs w:val="20"/>
    </w:rPr>
  </w:style>
  <w:style w:type="paragraph" w:customStyle="1" w:styleId="97">
    <w:name w:val="附录三级条标题"/>
    <w:basedOn w:val="92"/>
    <w:next w:val="24"/>
    <w:qFormat/>
    <w:uiPriority w:val="0"/>
    <w:pPr>
      <w:numPr>
        <w:ilvl w:val="4"/>
      </w:numPr>
      <w:outlineLvl w:val="4"/>
    </w:pPr>
  </w:style>
  <w:style w:type="paragraph" w:customStyle="1" w:styleId="98">
    <w:name w:val="附录三级无"/>
    <w:basedOn w:val="97"/>
    <w:qFormat/>
    <w:uiPriority w:val="0"/>
    <w:pPr>
      <w:tabs>
        <w:tab w:val="clear" w:pos="360"/>
      </w:tabs>
      <w:spacing w:beforeLines="0" w:afterLines="0"/>
    </w:pPr>
    <w:rPr>
      <w:rFonts w:ascii="宋体" w:eastAsia="宋体"/>
      <w:szCs w:val="21"/>
    </w:rPr>
  </w:style>
  <w:style w:type="paragraph" w:customStyle="1" w:styleId="99">
    <w:name w:val="附录数字编号列项（二级）"/>
    <w:qFormat/>
    <w:uiPriority w:val="0"/>
    <w:pPr>
      <w:numPr>
        <w:ilvl w:val="1"/>
        <w:numId w:val="10"/>
      </w:numPr>
    </w:pPr>
    <w:rPr>
      <w:rFonts w:ascii="宋体" w:hAnsi="Times New Roman" w:eastAsia="宋体" w:cs="Times New Roman"/>
      <w:sz w:val="21"/>
      <w:lang w:val="en-US" w:eastAsia="zh-CN" w:bidi="ar-SA"/>
    </w:rPr>
  </w:style>
  <w:style w:type="paragraph" w:customStyle="1" w:styleId="100">
    <w:name w:val="附录四级条标题"/>
    <w:basedOn w:val="97"/>
    <w:next w:val="24"/>
    <w:qFormat/>
    <w:uiPriority w:val="0"/>
    <w:pPr>
      <w:numPr>
        <w:ilvl w:val="5"/>
      </w:numPr>
      <w:outlineLvl w:val="5"/>
    </w:pPr>
  </w:style>
  <w:style w:type="paragraph" w:customStyle="1" w:styleId="101">
    <w:name w:val="附录四级无"/>
    <w:basedOn w:val="100"/>
    <w:qFormat/>
    <w:uiPriority w:val="0"/>
    <w:pPr>
      <w:tabs>
        <w:tab w:val="clear" w:pos="360"/>
      </w:tabs>
      <w:spacing w:beforeLines="0" w:afterLines="0"/>
    </w:pPr>
    <w:rPr>
      <w:rFonts w:ascii="宋体" w:eastAsia="宋体"/>
      <w:szCs w:val="21"/>
    </w:rPr>
  </w:style>
  <w:style w:type="paragraph" w:customStyle="1" w:styleId="102">
    <w:name w:val="附录图标号"/>
    <w:basedOn w:val="1"/>
    <w:qFormat/>
    <w:uiPriority w:val="0"/>
    <w:pPr>
      <w:keepNext/>
      <w:pageBreakBefore/>
      <w:widowControl/>
      <w:numPr>
        <w:ilvl w:val="0"/>
        <w:numId w:val="11"/>
      </w:numPr>
      <w:spacing w:line="14" w:lineRule="exact"/>
      <w:ind w:left="0" w:firstLine="363"/>
      <w:jc w:val="center"/>
      <w:outlineLvl w:val="0"/>
    </w:pPr>
    <w:rPr>
      <w:color w:val="FFFFFF"/>
    </w:rPr>
  </w:style>
  <w:style w:type="paragraph" w:customStyle="1" w:styleId="103">
    <w:name w:val="附录图标题"/>
    <w:basedOn w:val="1"/>
    <w:next w:val="24"/>
    <w:qFormat/>
    <w:uiPriority w:val="0"/>
    <w:pPr>
      <w:numPr>
        <w:ilvl w:val="1"/>
        <w:numId w:val="11"/>
      </w:numPr>
      <w:tabs>
        <w:tab w:val="left" w:pos="363"/>
      </w:tabs>
      <w:spacing w:beforeLines="50" w:afterLines="50"/>
      <w:ind w:left="0" w:firstLine="0"/>
      <w:jc w:val="center"/>
    </w:pPr>
    <w:rPr>
      <w:rFonts w:ascii="黑体" w:eastAsia="黑体"/>
      <w:szCs w:val="21"/>
    </w:rPr>
  </w:style>
  <w:style w:type="paragraph" w:customStyle="1" w:styleId="104">
    <w:name w:val="附录五级条标题"/>
    <w:basedOn w:val="100"/>
    <w:next w:val="24"/>
    <w:qFormat/>
    <w:uiPriority w:val="0"/>
    <w:pPr>
      <w:numPr>
        <w:ilvl w:val="6"/>
      </w:numPr>
      <w:outlineLvl w:val="6"/>
    </w:pPr>
  </w:style>
  <w:style w:type="paragraph" w:customStyle="1" w:styleId="105">
    <w:name w:val="附录五级无"/>
    <w:basedOn w:val="104"/>
    <w:qFormat/>
    <w:uiPriority w:val="0"/>
    <w:pPr>
      <w:tabs>
        <w:tab w:val="clear" w:pos="360"/>
      </w:tabs>
      <w:spacing w:beforeLines="0" w:afterLines="0"/>
    </w:pPr>
    <w:rPr>
      <w:rFonts w:ascii="宋体" w:eastAsia="宋体"/>
      <w:szCs w:val="21"/>
    </w:rPr>
  </w:style>
  <w:style w:type="paragraph" w:customStyle="1" w:styleId="106">
    <w:name w:val="附录章标题"/>
    <w:next w:val="24"/>
    <w:qFormat/>
    <w:uiPriority w:val="0"/>
    <w:pPr>
      <w:numPr>
        <w:ilvl w:val="1"/>
        <w:numId w:val="8"/>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07">
    <w:name w:val="附录一级条标题"/>
    <w:basedOn w:val="106"/>
    <w:next w:val="24"/>
    <w:qFormat/>
    <w:uiPriority w:val="0"/>
    <w:pPr>
      <w:numPr>
        <w:ilvl w:val="2"/>
      </w:numPr>
      <w:autoSpaceDN w:val="0"/>
      <w:spacing w:beforeLines="50" w:afterLines="50"/>
      <w:outlineLvl w:val="2"/>
    </w:pPr>
  </w:style>
  <w:style w:type="paragraph" w:customStyle="1" w:styleId="108">
    <w:name w:val="附录一级无"/>
    <w:basedOn w:val="107"/>
    <w:qFormat/>
    <w:uiPriority w:val="0"/>
    <w:pPr>
      <w:tabs>
        <w:tab w:val="clear" w:pos="360"/>
      </w:tabs>
      <w:spacing w:beforeLines="0" w:afterLines="0"/>
    </w:pPr>
    <w:rPr>
      <w:rFonts w:ascii="宋体" w:eastAsia="宋体"/>
      <w:szCs w:val="21"/>
    </w:rPr>
  </w:style>
  <w:style w:type="paragraph" w:customStyle="1" w:styleId="109">
    <w:name w:val="附录字母编号列项（一级）"/>
    <w:qFormat/>
    <w:uiPriority w:val="0"/>
    <w:pPr>
      <w:numPr>
        <w:ilvl w:val="0"/>
        <w:numId w:val="10"/>
      </w:numPr>
    </w:pPr>
    <w:rPr>
      <w:rFonts w:ascii="宋体" w:hAnsi="Times New Roman" w:eastAsia="宋体" w:cs="Times New Roman"/>
      <w:sz w:val="21"/>
      <w:lang w:val="en-US" w:eastAsia="zh-CN" w:bidi="ar-SA"/>
    </w:rPr>
  </w:style>
  <w:style w:type="paragraph" w:customStyle="1" w:styleId="110">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1">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1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3">
    <w:name w:val="其他标准标志"/>
    <w:basedOn w:val="70"/>
    <w:qFormat/>
    <w:uiPriority w:val="0"/>
    <w:pPr>
      <w:framePr w:w="6101" w:wrap="around" w:vAnchor="page" w:hAnchor="page" w:x="4673" w:y="942"/>
    </w:pPr>
    <w:rPr>
      <w:w w:val="130"/>
    </w:rPr>
  </w:style>
  <w:style w:type="paragraph" w:customStyle="1" w:styleId="114">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5">
    <w:name w:val="其他发布部门"/>
    <w:basedOn w:val="78"/>
    <w:qFormat/>
    <w:uiPriority w:val="0"/>
    <w:pPr>
      <w:framePr w:wrap="around" w:y="15310"/>
      <w:spacing w:line="0" w:lineRule="atLeast"/>
    </w:pPr>
    <w:rPr>
      <w:rFonts w:ascii="黑体" w:eastAsia="黑体"/>
      <w:b w:val="0"/>
    </w:rPr>
  </w:style>
  <w:style w:type="paragraph" w:customStyle="1" w:styleId="116">
    <w:name w:val="前言、引言标题"/>
    <w:next w:val="24"/>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7">
    <w:name w:val="三级无"/>
    <w:basedOn w:val="55"/>
    <w:qFormat/>
    <w:uiPriority w:val="0"/>
    <w:pPr>
      <w:spacing w:beforeLines="0" w:afterLines="0"/>
    </w:pPr>
    <w:rPr>
      <w:rFonts w:ascii="宋体" w:eastAsia="宋体"/>
    </w:rPr>
  </w:style>
  <w:style w:type="paragraph" w:customStyle="1" w:styleId="118">
    <w:name w:val="实施日期"/>
    <w:basedOn w:val="79"/>
    <w:qFormat/>
    <w:uiPriority w:val="0"/>
    <w:pPr>
      <w:framePr w:wrap="around" w:vAnchor="page" w:hAnchor="text"/>
      <w:jc w:val="right"/>
    </w:pPr>
  </w:style>
  <w:style w:type="paragraph" w:customStyle="1" w:styleId="119">
    <w:name w:val="示例后文字"/>
    <w:basedOn w:val="24"/>
    <w:next w:val="24"/>
    <w:qFormat/>
    <w:uiPriority w:val="0"/>
    <w:pPr>
      <w:ind w:firstLine="360"/>
    </w:pPr>
    <w:rPr>
      <w:sz w:val="18"/>
    </w:rPr>
  </w:style>
  <w:style w:type="paragraph" w:customStyle="1" w:styleId="120">
    <w:name w:val="首示例"/>
    <w:next w:val="24"/>
    <w:link w:val="121"/>
    <w:qFormat/>
    <w:uiPriority w:val="0"/>
    <w:pPr>
      <w:tabs>
        <w:tab w:val="left" w:pos="360"/>
      </w:tabs>
    </w:pPr>
    <w:rPr>
      <w:rFonts w:ascii="宋体" w:hAnsi="宋体" w:eastAsia="宋体" w:cs="Times New Roman"/>
      <w:kern w:val="2"/>
      <w:sz w:val="18"/>
      <w:szCs w:val="18"/>
      <w:lang w:val="en-US" w:eastAsia="zh-CN" w:bidi="ar-SA"/>
    </w:rPr>
  </w:style>
  <w:style w:type="character" w:customStyle="1" w:styleId="121">
    <w:name w:val="首示例 Char"/>
    <w:link w:val="120"/>
    <w:qFormat/>
    <w:uiPriority w:val="0"/>
    <w:rPr>
      <w:rFonts w:ascii="宋体" w:hAnsi="宋体"/>
      <w:kern w:val="2"/>
      <w:sz w:val="18"/>
      <w:szCs w:val="18"/>
    </w:rPr>
  </w:style>
  <w:style w:type="paragraph" w:customStyle="1" w:styleId="122">
    <w:name w:val="四级无"/>
    <w:basedOn w:val="59"/>
    <w:qFormat/>
    <w:uiPriority w:val="0"/>
    <w:pPr>
      <w:spacing w:beforeLines="0" w:afterLines="0"/>
    </w:pPr>
    <w:rPr>
      <w:rFonts w:ascii="宋体" w:eastAsia="宋体"/>
    </w:rPr>
  </w:style>
  <w:style w:type="paragraph" w:customStyle="1" w:styleId="123">
    <w:name w:val="条文脚注"/>
    <w:basedOn w:val="25"/>
    <w:qFormat/>
    <w:uiPriority w:val="0"/>
    <w:pPr>
      <w:numPr>
        <w:numId w:val="0"/>
      </w:numPr>
      <w:jc w:val="both"/>
    </w:pPr>
  </w:style>
  <w:style w:type="paragraph" w:customStyle="1" w:styleId="124">
    <w:name w:val="图标脚注说明"/>
    <w:basedOn w:val="24"/>
    <w:qFormat/>
    <w:uiPriority w:val="0"/>
    <w:pPr>
      <w:ind w:left="840" w:hanging="420" w:firstLineChars="0"/>
    </w:pPr>
    <w:rPr>
      <w:sz w:val="18"/>
      <w:szCs w:val="18"/>
    </w:rPr>
  </w:style>
  <w:style w:type="paragraph" w:customStyle="1" w:styleId="125">
    <w:name w:val="图表脚注说明"/>
    <w:basedOn w:val="1"/>
    <w:qFormat/>
    <w:uiPriority w:val="0"/>
    <w:pPr>
      <w:ind w:left="544" w:hanging="181"/>
    </w:pPr>
    <w:rPr>
      <w:rFonts w:ascii="宋体"/>
      <w:sz w:val="18"/>
      <w:szCs w:val="18"/>
    </w:rPr>
  </w:style>
  <w:style w:type="paragraph" w:customStyle="1" w:styleId="126">
    <w:name w:val="图的脚注"/>
    <w:next w:val="24"/>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7">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8">
    <w:name w:val="五级无"/>
    <w:basedOn w:val="60"/>
    <w:qFormat/>
    <w:uiPriority w:val="0"/>
    <w:pPr>
      <w:spacing w:beforeLines="0" w:afterLines="0"/>
    </w:pPr>
    <w:rPr>
      <w:rFonts w:ascii="宋体" w:eastAsia="宋体"/>
    </w:rPr>
  </w:style>
  <w:style w:type="paragraph" w:customStyle="1" w:styleId="129">
    <w:name w:val="一级无"/>
    <w:basedOn w:val="46"/>
    <w:qFormat/>
    <w:uiPriority w:val="0"/>
    <w:pPr>
      <w:spacing w:beforeLines="0" w:afterLines="0"/>
    </w:pPr>
    <w:rPr>
      <w:rFonts w:ascii="宋体" w:eastAsia="宋体"/>
    </w:rPr>
  </w:style>
  <w:style w:type="paragraph" w:customStyle="1" w:styleId="130">
    <w:name w:val="正文表标题"/>
    <w:next w:val="24"/>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31">
    <w:name w:val="正文公式编号制表符"/>
    <w:basedOn w:val="24"/>
    <w:next w:val="24"/>
    <w:qFormat/>
    <w:uiPriority w:val="0"/>
    <w:pPr>
      <w:ind w:firstLine="0" w:firstLineChars="0"/>
    </w:pPr>
  </w:style>
  <w:style w:type="paragraph" w:customStyle="1" w:styleId="132">
    <w:name w:val="正文图标题"/>
    <w:next w:val="24"/>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33">
    <w:name w:val="终结线"/>
    <w:basedOn w:val="1"/>
    <w:qFormat/>
    <w:uiPriority w:val="0"/>
    <w:pPr>
      <w:framePr w:hSpace="181" w:vSpace="181" w:wrap="around" w:vAnchor="text" w:hAnchor="margin" w:xAlign="center" w:y="285"/>
    </w:pPr>
  </w:style>
  <w:style w:type="paragraph" w:customStyle="1" w:styleId="134">
    <w:name w:val="其他发布日期"/>
    <w:basedOn w:val="79"/>
    <w:qFormat/>
    <w:uiPriority w:val="0"/>
    <w:pPr>
      <w:framePr w:wrap="around" w:vAnchor="page" w:hAnchor="text" w:x="1419"/>
    </w:pPr>
  </w:style>
  <w:style w:type="paragraph" w:customStyle="1" w:styleId="135">
    <w:name w:val="其他实施日期"/>
    <w:basedOn w:val="118"/>
    <w:qFormat/>
    <w:uiPriority w:val="0"/>
    <w:pPr>
      <w:framePr w:wrap="around"/>
    </w:pPr>
  </w:style>
  <w:style w:type="paragraph" w:customStyle="1" w:styleId="136">
    <w:name w:val="封面标准名称2"/>
    <w:basedOn w:val="82"/>
    <w:qFormat/>
    <w:uiPriority w:val="0"/>
    <w:pPr>
      <w:framePr w:wrap="around" w:y="4469"/>
      <w:spacing w:beforeLines="630"/>
    </w:pPr>
  </w:style>
  <w:style w:type="paragraph" w:customStyle="1" w:styleId="137">
    <w:name w:val="封面标准英文名称2"/>
    <w:basedOn w:val="83"/>
    <w:qFormat/>
    <w:uiPriority w:val="0"/>
    <w:pPr>
      <w:framePr w:wrap="around" w:y="4469"/>
    </w:pPr>
  </w:style>
  <w:style w:type="paragraph" w:customStyle="1" w:styleId="138">
    <w:name w:val="封面一致性程度标识2"/>
    <w:basedOn w:val="84"/>
    <w:qFormat/>
    <w:uiPriority w:val="0"/>
    <w:pPr>
      <w:framePr w:wrap="around" w:y="4469"/>
    </w:pPr>
  </w:style>
  <w:style w:type="paragraph" w:customStyle="1" w:styleId="139">
    <w:name w:val="封面标准文稿类别2"/>
    <w:basedOn w:val="85"/>
    <w:qFormat/>
    <w:uiPriority w:val="0"/>
    <w:pPr>
      <w:framePr w:wrap="around" w:y="4469"/>
    </w:pPr>
  </w:style>
  <w:style w:type="paragraph" w:customStyle="1" w:styleId="140">
    <w:name w:val="封面标准文稿编辑信息2"/>
    <w:basedOn w:val="86"/>
    <w:qFormat/>
    <w:uiPriority w:val="0"/>
    <w:pPr>
      <w:framePr w:wrap="around" w:y="4469"/>
    </w:pPr>
  </w:style>
  <w:style w:type="character" w:customStyle="1" w:styleId="141">
    <w:name w:val="apple-style-span"/>
    <w:basedOn w:val="36"/>
    <w:qFormat/>
    <w:uiPriority w:val="0"/>
  </w:style>
  <w:style w:type="character" w:customStyle="1" w:styleId="142">
    <w:name w:val="footnote_number"/>
    <w:basedOn w:val="36"/>
    <w:qFormat/>
    <w:uiPriority w:val="0"/>
  </w:style>
  <w:style w:type="character" w:customStyle="1" w:styleId="143">
    <w:name w:val="日期 字符"/>
    <w:link w:val="15"/>
    <w:qFormat/>
    <w:uiPriority w:val="0"/>
    <w:rPr>
      <w:kern w:val="2"/>
      <w:sz w:val="21"/>
      <w:szCs w:val="24"/>
    </w:rPr>
  </w:style>
  <w:style w:type="character" w:customStyle="1" w:styleId="144">
    <w:name w:val="一级条标题 Char"/>
    <w:link w:val="46"/>
    <w:qFormat/>
    <w:uiPriority w:val="0"/>
    <w:rPr>
      <w:rFonts w:ascii="黑体" w:eastAsia="黑体"/>
      <w:sz w:val="21"/>
      <w:szCs w:val="21"/>
    </w:rPr>
  </w:style>
  <w:style w:type="character" w:customStyle="1" w:styleId="145">
    <w:name w:val="二级条标题 Char"/>
    <w:basedOn w:val="144"/>
    <w:link w:val="50"/>
    <w:qFormat/>
    <w:uiPriority w:val="0"/>
    <w:rPr>
      <w:rFonts w:ascii="黑体" w:eastAsia="黑体"/>
      <w:sz w:val="21"/>
      <w:szCs w:val="21"/>
    </w:rPr>
  </w:style>
  <w:style w:type="character" w:customStyle="1" w:styleId="146">
    <w:name w:val="批注文字 字符"/>
    <w:link w:val="7"/>
    <w:qFormat/>
    <w:uiPriority w:val="0"/>
    <w:rPr>
      <w:kern w:val="2"/>
      <w:sz w:val="21"/>
      <w:szCs w:val="24"/>
    </w:rPr>
  </w:style>
  <w:style w:type="character" w:customStyle="1" w:styleId="147">
    <w:name w:val="批注主题 字符"/>
    <w:link w:val="33"/>
    <w:qFormat/>
    <w:uiPriority w:val="0"/>
    <w:rPr>
      <w:b/>
      <w:bCs/>
      <w:kern w:val="2"/>
      <w:sz w:val="21"/>
      <w:szCs w:val="24"/>
    </w:rPr>
  </w:style>
  <w:style w:type="character" w:customStyle="1" w:styleId="148">
    <w:name w:val="页眉 字符"/>
    <w:link w:val="19"/>
    <w:qFormat/>
    <w:uiPriority w:val="0"/>
    <w:rPr>
      <w:kern w:val="2"/>
      <w:sz w:val="18"/>
      <w:szCs w:val="18"/>
    </w:rPr>
  </w:style>
  <w:style w:type="paragraph" w:customStyle="1" w:styleId="14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150">
    <w:name w:val="high-light-bg"/>
    <w:basedOn w:val="36"/>
    <w:qFormat/>
    <w:uiPriority w:val="0"/>
  </w:style>
  <w:style w:type="character" w:customStyle="1" w:styleId="151">
    <w:name w:val="纯文本 字符"/>
    <w:basedOn w:val="36"/>
    <w:link w:val="12"/>
    <w:qFormat/>
    <w:uiPriority w:val="0"/>
    <w:rPr>
      <w:rFonts w:ascii="宋体" w:hAnsi="Courier New"/>
      <w:kern w:val="2"/>
      <w:sz w:val="21"/>
    </w:rPr>
  </w:style>
  <w:style w:type="paragraph" w:customStyle="1" w:styleId="152">
    <w:name w:val="图表脚注"/>
    <w:next w:val="24"/>
    <w:qFormat/>
    <w:uiPriority w:val="0"/>
    <w:pPr>
      <w:ind w:left="300" w:leftChars="200" w:hanging="100" w:hangingChars="100"/>
      <w:jc w:val="both"/>
    </w:pPr>
    <w:rPr>
      <w:rFonts w:ascii="宋体" w:hAnsi="Times New Roman" w:eastAsia="宋体" w:cs="Times New Roman"/>
      <w:sz w:val="18"/>
      <w:lang w:val="en-US" w:eastAsia="zh-CN" w:bidi="ar-SA"/>
    </w:rPr>
  </w:style>
  <w:style w:type="paragraph" w:styleId="153">
    <w:name w:val="List Paragraph"/>
    <w:basedOn w:val="1"/>
    <w:qFormat/>
    <w:uiPriority w:val="34"/>
    <w:pPr>
      <w:ind w:firstLine="420" w:firstLineChars="200"/>
    </w:pPr>
  </w:style>
  <w:style w:type="paragraph" w:customStyle="1" w:styleId="154">
    <w:name w:val="列项——"/>
    <w:qFormat/>
    <w:uiPriority w:val="0"/>
    <w:pPr>
      <w:widowControl w:val="0"/>
      <w:numPr>
        <w:ilvl w:val="0"/>
        <w:numId w:val="12"/>
      </w:numPr>
      <w:jc w:val="both"/>
    </w:pPr>
    <w:rPr>
      <w:rFonts w:ascii="宋体" w:hAnsi="Times New Roman" w:eastAsia="宋体" w:cs="Times New Roman"/>
      <w:sz w:val="21"/>
      <w:lang w:val="en-US" w:eastAsia="zh-CN" w:bidi="ar-SA"/>
    </w:rPr>
  </w:style>
  <w:style w:type="paragraph" w:customStyle="1" w:styleId="155">
    <w:name w:val="样式 章标题 + 段前: 0.5 行 段后: 0.5 行"/>
    <w:basedOn w:val="49"/>
    <w:qFormat/>
    <w:uiPriority w:val="0"/>
    <w:pPr>
      <w:numPr>
        <w:ilvl w:val="1"/>
        <w:numId w:val="0"/>
      </w:numPr>
      <w:spacing w:beforeLines="50" w:afterLines="50"/>
    </w:pPr>
    <w:rPr>
      <w:rFonts w:cs="宋体"/>
    </w:rPr>
  </w:style>
  <w:style w:type="character" w:customStyle="1" w:styleId="156">
    <w:name w:val="fontstyle01"/>
    <w:basedOn w:val="36"/>
    <w:qFormat/>
    <w:uiPriority w:val="0"/>
    <w:rPr>
      <w:rFonts w:hint="eastAsia" w:ascii="宋体" w:hAnsi="宋体" w:eastAsia="宋体"/>
      <w:color w:val="000000"/>
      <w:sz w:val="22"/>
      <w:szCs w:val="22"/>
    </w:rPr>
  </w:style>
  <w:style w:type="character" w:styleId="157">
    <w:name w:val="Placeholder Text"/>
    <w:basedOn w:val="36"/>
    <w:semiHidden/>
    <w:qFormat/>
    <w:uiPriority w:val="99"/>
    <w:rPr>
      <w:color w:val="808080"/>
    </w:rPr>
  </w:style>
  <w:style w:type="character" w:customStyle="1" w:styleId="158">
    <w:name w:val="一级条标题 Char Char"/>
    <w:qFormat/>
    <w:locked/>
    <w:uiPriority w:val="0"/>
    <w:rPr>
      <w:rFonts w:ascii="黑体" w:eastAsia="黑体"/>
      <w:sz w:val="21"/>
      <w:szCs w:val="21"/>
      <w:lang w:val="en-US" w:eastAsia="zh-CN" w:bidi="ar-SA"/>
    </w:rPr>
  </w:style>
  <w:style w:type="character" w:customStyle="1" w:styleId="159">
    <w:name w:val="页脚 字符"/>
    <w:basedOn w:val="36"/>
    <w:link w:val="18"/>
    <w:qFormat/>
    <w:uiPriority w:val="99"/>
    <w:rPr>
      <w:kern w:val="2"/>
      <w:sz w:val="18"/>
      <w:szCs w:val="18"/>
    </w:rPr>
  </w:style>
  <w:style w:type="paragraph" w:customStyle="1" w:styleId="16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1">
    <w:name w:val="标准文件_文件编号"/>
    <w:basedOn w:val="1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62">
    <w:name w:val="标准文件_替换文件编号"/>
    <w:basedOn w:val="161"/>
    <w:qFormat/>
    <w:uiPriority w:val="0"/>
    <w:pPr>
      <w:framePr/>
      <w:spacing w:before="57"/>
    </w:pPr>
    <w:rPr>
      <w:sz w:val="21"/>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microsoft.com/office/2006/relationships/keyMapCustomizations" Target="customizations.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2E29DF-747C-45F5-9B12-BB9C22ACF923}">
  <ds:schemaRefs/>
</ds:datastoreItem>
</file>

<file path=docProps/app.xml><?xml version="1.0" encoding="utf-8"?>
<Properties xmlns="http://schemas.openxmlformats.org/officeDocument/2006/extended-properties" xmlns:vt="http://schemas.openxmlformats.org/officeDocument/2006/docPropsVTypes">
  <Template>Normal</Template>
  <Pages>16</Pages>
  <Words>6879</Words>
  <Characters>8581</Characters>
  <Lines>71</Lines>
  <Paragraphs>20</Paragraphs>
  <TotalTime>34</TotalTime>
  <ScaleCrop>false</ScaleCrop>
  <LinksUpToDate>false</LinksUpToDate>
  <CharactersWithSpaces>8969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2019-06-11T07:35:00Z</dcterms:created>
  <cp:lastPrinted>2013-11-12T08:38:00Z</cp:lastPrinted>
  <dcterms:modified xsi:type="dcterms:W3CDTF">2026-09-28T02:42:21Z</dcterms:modified>
  <dc:title>标准名称</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eyJoZGlkIjoiOGI4NjI5OTBmMDM1ODFlMDkzNDFlZTFiMWNhZWU5ZTMiLCJ1c2VySWQiOiIzMDk3NTI4ODEifQ==</vt:lpwstr>
  </property>
  <property fmtid="{D5CDD505-2E9C-101B-9397-08002B2CF9AE}" pid="4" name="ICV">
    <vt:lpwstr>90BD3880FB3B4566B3B3DDEE3327DEDF_13</vt:lpwstr>
  </property>
</Properties>
</file>