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38D84">
      <w:pPr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highlight w:val="none"/>
          <w:lang w:val="en-US" w:eastAsia="zh-CN"/>
        </w:rPr>
        <w:t>附件2</w:t>
      </w:r>
    </w:p>
    <w:p w14:paraId="563AD8AD">
      <w:pPr>
        <w:pStyle w:val="3"/>
        <w:rPr>
          <w:rFonts w:hint="eastAsia"/>
          <w:color w:val="auto"/>
          <w:highlight w:val="none"/>
          <w:lang w:val="en-US" w:eastAsia="zh-CN"/>
        </w:rPr>
      </w:pPr>
    </w:p>
    <w:p w14:paraId="278CB009">
      <w:pPr>
        <w:spacing w:before="120" w:beforeLines="50" w:after="360" w:afterLines="150" w:line="700" w:lineRule="exact"/>
        <w:jc w:val="center"/>
        <w:textAlignment w:val="bottom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小标宋" w:hAnsi="Calibri" w:eastAsia="小标宋"/>
          <w:color w:val="auto"/>
          <w:sz w:val="44"/>
          <w:szCs w:val="44"/>
          <w:highlight w:val="none"/>
        </w:rPr>
        <w:t>中国科协青年科技人才培育工程</w:t>
      </w:r>
      <w:r>
        <w:rPr>
          <w:rFonts w:ascii="小标宋" w:hAnsi="Calibri" w:eastAsia="小标宋"/>
          <w:color w:val="auto"/>
          <w:sz w:val="44"/>
          <w:szCs w:val="44"/>
          <w:highlight w:val="none"/>
        </w:rPr>
        <w:br w:type="textWrapping"/>
      </w:r>
      <w:r>
        <w:rPr>
          <w:rFonts w:hint="eastAsia" w:ascii="小标宋" w:hAnsi="Calibri" w:eastAsia="小标宋"/>
          <w:color w:val="auto"/>
          <w:sz w:val="44"/>
          <w:szCs w:val="44"/>
          <w:highlight w:val="none"/>
        </w:rPr>
        <w:t>博士生专项计划管理办法</w:t>
      </w:r>
      <w:r>
        <w:rPr>
          <w:rFonts w:ascii="小标宋" w:hAnsi="Calibri" w:eastAsia="小标宋"/>
          <w:color w:val="auto"/>
          <w:sz w:val="44"/>
          <w:szCs w:val="44"/>
          <w:highlight w:val="none"/>
        </w:rPr>
        <w:br w:type="textWrapping"/>
      </w:r>
      <w:bookmarkEnd w:id="0"/>
      <w:r>
        <w:rPr>
          <w:rFonts w:hint="eastAsia" w:ascii="楷体_GB2312" w:hAnsi="CESI楷体-GB2312" w:eastAsia="楷体_GB2312" w:cs="CESI楷体-GB2312"/>
          <w:color w:val="auto"/>
          <w:sz w:val="30"/>
          <w:szCs w:val="30"/>
          <w:highlight w:val="none"/>
        </w:rPr>
        <w:t>（2024年中国科学技术协会第十届书记处第17次会议通过，</w:t>
      </w:r>
      <w:r>
        <w:rPr>
          <w:rFonts w:ascii="楷体_GB2312" w:hAnsi="CESI楷体-GB2312" w:eastAsia="楷体_GB2312" w:cs="CESI楷体-GB2312"/>
          <w:color w:val="auto"/>
          <w:sz w:val="30"/>
          <w:szCs w:val="30"/>
          <w:highlight w:val="none"/>
        </w:rPr>
        <w:br w:type="textWrapping"/>
      </w:r>
      <w:r>
        <w:rPr>
          <w:rFonts w:hint="eastAsia" w:ascii="楷体_GB2312" w:hAnsi="CESI楷体-GB2312" w:eastAsia="楷体_GB2312" w:cs="CESI楷体-GB2312"/>
          <w:color w:val="auto"/>
          <w:sz w:val="30"/>
          <w:szCs w:val="30"/>
          <w:highlight w:val="none"/>
        </w:rPr>
        <w:t>2026年中国科学技术协会第十届书记处第117次会议修订）</w:t>
      </w:r>
    </w:p>
    <w:p w14:paraId="7F177AB0">
      <w:pPr>
        <w:spacing w:before="120" w:beforeLines="50" w:after="120" w:afterLines="50" w:line="580" w:lineRule="exact"/>
        <w:jc w:val="center"/>
        <w:textAlignment w:val="bottom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第一章  总  则</w:t>
      </w:r>
    </w:p>
    <w:p w14:paraId="3904966E">
      <w:pPr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z w:val="32"/>
          <w:szCs w:val="32"/>
          <w:highlight w:val="none"/>
        </w:rPr>
        <w:t xml:space="preserve">第一条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为规范中国科协青年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科技人才培育工程博士生专项计划（以下简称本计划）的管理和实施，根据《</w:t>
      </w:r>
      <w:r>
        <w:rPr>
          <w:rFonts w:hint="eastAsia" w:ascii="仿宋_GB2312" w:eastAsia="仿宋_GB2312"/>
          <w:color w:val="auto"/>
          <w:sz w:val="30"/>
          <w:szCs w:val="30"/>
          <w:highlight w:val="none"/>
        </w:rPr>
        <w:t>中国科协2035行动计划纲要》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《中国科协财政项目管理办法（修订）》及相关法律法规，制定本办法。</w:t>
      </w:r>
    </w:p>
    <w:p w14:paraId="0C0E0C90">
      <w:pPr>
        <w:widowControl/>
        <w:spacing w:line="580" w:lineRule="exact"/>
        <w:ind w:firstLine="643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z w:val="32"/>
          <w:szCs w:val="32"/>
          <w:highlight w:val="none"/>
        </w:rPr>
        <w:t xml:space="preserve">第二条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本计划锚定2035年建成科技强国目标，</w:t>
      </w:r>
      <w:r>
        <w:rPr>
          <w:rFonts w:ascii="仿宋_GB2312" w:hAnsi="Calibri" w:eastAsia="仿宋_GB2312"/>
          <w:color w:val="auto"/>
          <w:sz w:val="32"/>
          <w:szCs w:val="32"/>
          <w:highlight w:val="none"/>
        </w:rPr>
        <w:t>创新青年科技人才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发现、选拔、</w:t>
      </w:r>
      <w:r>
        <w:rPr>
          <w:rFonts w:ascii="仿宋_GB2312" w:hAnsi="Calibri" w:eastAsia="仿宋_GB2312"/>
          <w:color w:val="auto"/>
          <w:sz w:val="32"/>
          <w:szCs w:val="32"/>
          <w:highlight w:val="none"/>
        </w:rPr>
        <w:t>培养机制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，以在读博士研究生为支持对象，充分发挥科协组织服务青年科技人才增长才干、拓宽眼界、提升能力等方面的积极作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用，助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力博士研究生更好成长，加快创新型青年科技人才培养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7B9DAC07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z w:val="32"/>
          <w:szCs w:val="32"/>
          <w:highlight w:val="none"/>
        </w:rPr>
        <w:t>第三条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 xml:space="preserve"> 本计划主要采取基层推荐、组织审定、综合培育的方式进行，一般每年开展一次。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     </w:t>
      </w:r>
    </w:p>
    <w:p w14:paraId="27C81139">
      <w:pPr>
        <w:spacing w:before="120" w:beforeLines="50" w:after="120" w:afterLines="50" w:line="580" w:lineRule="exact"/>
        <w:jc w:val="center"/>
        <w:textAlignment w:val="bottom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第二章  支持对象和条件</w:t>
      </w:r>
    </w:p>
    <w:p w14:paraId="39A02F92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z w:val="32"/>
          <w:szCs w:val="32"/>
          <w:highlight w:val="none"/>
        </w:rPr>
        <w:t>第四条</w:t>
      </w:r>
      <w:r>
        <w:rPr>
          <w:rFonts w:hint="eastAsia" w:ascii="仿宋_GB2312" w:hAnsi="黑体" w:eastAsia="仿宋_GB2312"/>
          <w:b/>
          <w:bCs/>
          <w:color w:val="auto"/>
          <w:spacing w:val="-4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本计划支持对象为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全日制在读博士研究生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原则上距离毕业时间在2年以上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</w:p>
    <w:p w14:paraId="284C143E">
      <w:pPr>
        <w:spacing w:line="580" w:lineRule="exact"/>
        <w:ind w:firstLine="627" w:firstLineChars="200"/>
        <w:rPr>
          <w:rFonts w:ascii="仿宋_GB2312" w:hAnsi="黑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color w:val="auto"/>
          <w:spacing w:val="-4"/>
          <w:sz w:val="32"/>
          <w:szCs w:val="32"/>
          <w:highlight w:val="none"/>
        </w:rPr>
        <w:t>第五条</w:t>
      </w:r>
      <w:r>
        <w:rPr>
          <w:rFonts w:hint="eastAsia" w:ascii="仿宋_GB2312" w:hAnsi="黑体" w:eastAsia="仿宋_GB2312"/>
          <w:b/>
          <w:bCs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本计划的支持条件包括：</w:t>
      </w:r>
    </w:p>
    <w:p w14:paraId="0FD50C5F">
      <w:pPr>
        <w:spacing w:line="580" w:lineRule="exact"/>
        <w:ind w:firstLine="640" w:firstLineChars="200"/>
        <w:rPr>
          <w:rFonts w:ascii="仿宋_GB2312" w:hAnsi="Calibri" w:eastAsia="仿宋_GB2312"/>
          <w:color w:val="auto"/>
          <w:spacing w:val="8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>（一）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热爱祖国、遵纪守法、具有良好的政治素质，无违纪违法记录；</w:t>
      </w:r>
    </w:p>
    <w:p w14:paraId="21CE225F">
      <w:pPr>
        <w:spacing w:line="580" w:lineRule="exact"/>
        <w:ind w:firstLine="640" w:firstLineChars="200"/>
        <w:rPr>
          <w:rFonts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（二）原则上具有中国国籍、年龄不超过30周岁；</w:t>
      </w:r>
    </w:p>
    <w:p w14:paraId="3F95D804">
      <w:pPr>
        <w:spacing w:line="580" w:lineRule="exact"/>
        <w:ind w:firstLine="672" w:firstLineChars="200"/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  <w:t>（三）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有志于长期从事科技创新工作，</w:t>
      </w:r>
      <w:r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  <w:t>勤奋学习、刻苦钻研，具有良好的学风和道德，无学术不端行为；</w:t>
      </w:r>
    </w:p>
    <w:p w14:paraId="1FBCA0F3">
      <w:pPr>
        <w:spacing w:line="580" w:lineRule="exact"/>
        <w:ind w:firstLine="664" w:firstLineChars="200"/>
        <w:rPr>
          <w:rFonts w:ascii="仿宋_GB2312" w:hAnsi="Calibri" w:eastAsia="仿宋_GB2312"/>
          <w:color w:val="auto"/>
          <w:spacing w:val="6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>（四）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</w:rPr>
        <w:t>博士</w:t>
      </w: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>与硕士阶段的科研方向具有一定延续性、相关性或学科交叉性，学科专业为</w:t>
      </w:r>
      <w:r>
        <w:rPr>
          <w:rFonts w:ascii="仿宋_GB2312" w:hAnsi="Calibri" w:eastAsia="仿宋_GB2312"/>
          <w:color w:val="auto"/>
          <w:spacing w:val="6"/>
          <w:sz w:val="32"/>
          <w:szCs w:val="32"/>
          <w:highlight w:val="none"/>
        </w:rPr>
        <w:t>理学、工学、农学</w:t>
      </w: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>、</w:t>
      </w:r>
      <w:r>
        <w:rPr>
          <w:rFonts w:ascii="仿宋_GB2312" w:hAnsi="Calibri" w:eastAsia="仿宋_GB2312"/>
          <w:color w:val="auto"/>
          <w:spacing w:val="6"/>
          <w:sz w:val="32"/>
          <w:szCs w:val="32"/>
          <w:highlight w:val="none"/>
        </w:rPr>
        <w:t>医学</w:t>
      </w: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>、交叉学科等；</w:t>
      </w:r>
    </w:p>
    <w:p w14:paraId="33EA7FBF">
      <w:pPr>
        <w:spacing w:line="580" w:lineRule="exact"/>
        <w:ind w:firstLine="640" w:firstLineChars="200"/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（五）聚焦国家重大战略需求，瞄准关键核心技术、战略前沿、基础研究、新兴产业和未来产业开展科研攻关。</w:t>
      </w:r>
    </w:p>
    <w:p w14:paraId="09C2344E">
      <w:pPr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color w:val="auto"/>
          <w:sz w:val="32"/>
          <w:szCs w:val="32"/>
          <w:highlight w:val="none"/>
        </w:rPr>
        <w:t>第六条</w:t>
      </w:r>
      <w:r>
        <w:rPr>
          <w:rFonts w:ascii="仿宋_GB2312" w:hAnsi="Calibri" w:eastAsia="仿宋_GB2312"/>
          <w:color w:val="auto"/>
          <w:sz w:val="32"/>
          <w:szCs w:val="32"/>
          <w:highlight w:val="none"/>
        </w:rPr>
        <w:t xml:space="preserve"> 在同等条件下，满足以下条件之一的，可优先推荐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：</w:t>
      </w:r>
    </w:p>
    <w:p w14:paraId="1FB6F41E">
      <w:pPr>
        <w:spacing w:line="580" w:lineRule="exact"/>
        <w:ind w:firstLine="640" w:firstLineChars="200"/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（一）省级优秀硕士学位论文获得者或研究生阶段（含硕士、硕博连读、直博、普博）国家级奖学金获得者</w:t>
      </w:r>
      <w:r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  <w:t>；</w:t>
      </w:r>
    </w:p>
    <w:p w14:paraId="46175FC4">
      <w:pPr>
        <w:spacing w:line="580" w:lineRule="exact"/>
        <w:ind w:firstLine="672" w:firstLineChars="200"/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  <w:t>（二）曾在本领域高水平期刊上以第一作者（含共同第一作者）发表论文；</w:t>
      </w:r>
    </w:p>
    <w:p w14:paraId="3D006F35">
      <w:pPr>
        <w:spacing w:line="580" w:lineRule="exact"/>
        <w:ind w:firstLine="672" w:firstLineChars="200"/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auto"/>
          <w:spacing w:val="8"/>
          <w:sz w:val="32"/>
          <w:szCs w:val="32"/>
          <w:highlight w:val="none"/>
        </w:rPr>
        <w:t>（三）作为第一发明人获得国家/国际发明专利授权。</w:t>
      </w:r>
    </w:p>
    <w:p w14:paraId="16E10D84">
      <w:pPr>
        <w:spacing w:before="120" w:beforeLines="50" w:after="120" w:afterLines="50" w:line="580" w:lineRule="exact"/>
        <w:jc w:val="center"/>
        <w:textAlignment w:val="bottom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第三章  工作职责</w:t>
      </w:r>
    </w:p>
    <w:p w14:paraId="2C48FE71">
      <w:pPr>
        <w:spacing w:line="580" w:lineRule="exact"/>
        <w:ind w:firstLine="643" w:firstLineChars="200"/>
        <w:rPr>
          <w:rFonts w:ascii="仿宋_GB2312" w:hAnsi="黑体" w:eastAsia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color w:val="auto"/>
          <w:sz w:val="32"/>
          <w:szCs w:val="32"/>
          <w:highlight w:val="none"/>
        </w:rPr>
        <w:t xml:space="preserve">第七条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本计划的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实施主体包括中国科协及所属全国学会、协会、研究会（以下简称全国学会），省、自治区、直辖市及新疆生产建设兵团科协（以下简称省级科协）和高等学校科协、科研院所科协、企业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（园区）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科协等（以下简称科协基层组织）。</w:t>
      </w:r>
    </w:p>
    <w:p w14:paraId="5F4DCBC6">
      <w:pPr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color w:val="auto"/>
          <w:sz w:val="32"/>
          <w:szCs w:val="32"/>
          <w:highlight w:val="none"/>
        </w:rPr>
        <w:t>第八条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中国科协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负责本计划的总体设计、统筹协调、组织实施、培育服务、经费管理等工作。</w:t>
      </w:r>
    </w:p>
    <w:p w14:paraId="34FF050E">
      <w:pPr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z w:val="32"/>
          <w:szCs w:val="32"/>
          <w:highlight w:val="none"/>
        </w:rPr>
        <w:t xml:space="preserve">第九条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全国学会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负责本计划实施所涉及的博士研究生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推荐、学术指导和培育服务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等工作。</w:t>
      </w:r>
    </w:p>
    <w:p w14:paraId="363122F7">
      <w:pPr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z w:val="32"/>
          <w:szCs w:val="32"/>
          <w:highlight w:val="none"/>
        </w:rPr>
        <w:t>第十条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省级科协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负责本计划实施所涉及的协调联络和本地区博士研究生推荐、培育服务等工作。</w:t>
      </w:r>
    </w:p>
    <w:p w14:paraId="4C770D95">
      <w:pPr>
        <w:spacing w:line="580" w:lineRule="exact"/>
        <w:ind w:firstLine="643" w:firstLineChars="200"/>
        <w:rPr>
          <w:rFonts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z w:val="32"/>
          <w:szCs w:val="32"/>
          <w:highlight w:val="none"/>
        </w:rPr>
        <w:t xml:space="preserve">第十一条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科协基层组织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负责做好本单位博士研究生推荐、培育和日常联系服务工作。</w:t>
      </w:r>
    </w:p>
    <w:p w14:paraId="2E286CCD">
      <w:pPr>
        <w:spacing w:before="120" w:beforeLines="50" w:after="120" w:afterLines="50" w:line="580" w:lineRule="exact"/>
        <w:jc w:val="center"/>
        <w:textAlignment w:val="bottom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第四章  推荐程序</w:t>
      </w:r>
    </w:p>
    <w:p w14:paraId="11FE8B35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 xml:space="preserve">第十二条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全国学会、省级科协、科协基层组织应根据支持条件，按照公开、公平、公正的原则开展推荐工作，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重点考察博士生从事科研工作意愿、科研创新能力、学术发展潜力，综合考量理想信念、学风道德、科学素养、责任担当，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严把人选质量关。</w:t>
      </w:r>
    </w:p>
    <w:p w14:paraId="5F1C9681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第十三条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全国学会组织分支机构、单位会员等开展推荐工作，根据支持条件进行复审，经常务理事会或理事长（会长）办公会议审定后，将推荐名单上报中国科协。</w:t>
      </w:r>
    </w:p>
    <w:p w14:paraId="51C5E085">
      <w:pPr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第十四条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省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级科协按照属地管理原则，组织本地区具有博士学位授予权且成立科协基层组织的高校、科研院所和企业等开展推荐工作，根据支持条件进行复审，经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党组会议审议通过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后，将推荐名单上报中国科协。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对于具有博士学位授予权但未成立科协基层组织的单位，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省级科协可根据需要设置博士生自荐通道。</w:t>
      </w:r>
    </w:p>
    <w:p w14:paraId="7BF6498A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z w:val="32"/>
          <w:szCs w:val="32"/>
          <w:highlight w:val="none"/>
        </w:rPr>
        <w:t>第十五条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</w:rPr>
        <w:t>科协基层组织按照省级科协统一部署，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组织实施本单位的推荐工作，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根据支持条件进行初审，经集体研究后，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将推荐名单上报省级科协。</w:t>
      </w:r>
    </w:p>
    <w:p w14:paraId="0975D538">
      <w:pPr>
        <w:spacing w:line="580" w:lineRule="exact"/>
        <w:ind w:firstLine="643" w:firstLineChars="200"/>
        <w:rPr>
          <w:rFonts w:ascii="仿宋_GB2312" w:hAnsi="Calibri" w:eastAsia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z w:val="32"/>
          <w:szCs w:val="32"/>
          <w:highlight w:val="none"/>
        </w:rPr>
        <w:t xml:space="preserve">第十六条 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</w:rPr>
        <w:t>中国科协审定全国学会、省级科协的推荐名单，确定入选者。</w:t>
      </w:r>
    </w:p>
    <w:p w14:paraId="3C659908">
      <w:pPr>
        <w:spacing w:before="120" w:beforeLines="50" w:after="120" w:afterLines="50" w:line="580" w:lineRule="exact"/>
        <w:jc w:val="center"/>
        <w:textAlignment w:val="bottom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第五章  培育服务</w:t>
      </w:r>
    </w:p>
    <w:p w14:paraId="41D8B46E">
      <w:pPr>
        <w:widowControl/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第十七条</w:t>
      </w:r>
      <w:r>
        <w:rPr>
          <w:rFonts w:hint="eastAsia" w:ascii="仿宋_GB2312" w:hAnsi="黑体" w:eastAsia="仿宋_GB2312"/>
          <w:b/>
          <w:bCs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本计划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为入选者提供政治训练、专业锻炼、社会历练等培育服务，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培育期为2年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。入选者应积极参加培育活动，完成规定的培育内容。培育期内，未完成规定培育内容的，取消培育资格。</w:t>
      </w:r>
    </w:p>
    <w:p w14:paraId="66D5A8DF">
      <w:pPr>
        <w:snapToGrid w:val="0"/>
        <w:spacing w:line="580" w:lineRule="exact"/>
        <w:ind w:firstLine="643" w:firstLineChars="200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第十八条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政治训练。为入选者提供以“领航计划”国情研修为主的“沉浸式”专题培育，内容包含政治理论、科学家精神、科技发展形势政策、科技群团与人才成长等。</w:t>
      </w:r>
    </w:p>
    <w:p w14:paraId="2B21CAF0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第十九条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专业锻炼。为入选者提供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bidi="ar"/>
        </w:rPr>
        <w:t>中国科协年会、世界青年科学家峰会、世界科技与发展论坛等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高水平学术交流以及跨界创新思维交流、国际交流合作的平台；为入选者配备高水平的培育导师；吸纳入选者成为全国学会学生会员，吸纳表现优秀的入选者成为全国学会会员等；为入选者提供高水平学术会议、国内外学术组织、学术期刊的兼职岗位等。</w:t>
      </w:r>
    </w:p>
    <w:p w14:paraId="1D40E9B3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第二十条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社会历练。为入选者提供以国家实验室、大科学装置、国家重大工程、科技领军企业、国家级科技园区等为载体的社会一线深度实践活动等。</w:t>
      </w:r>
    </w:p>
    <w:p w14:paraId="4E417871">
      <w:pPr>
        <w:spacing w:before="120" w:beforeLines="50" w:after="120" w:afterLines="50" w:line="580" w:lineRule="exact"/>
        <w:jc w:val="center"/>
        <w:textAlignment w:val="bottom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第六章  项目经费</w:t>
      </w:r>
    </w:p>
    <w:p w14:paraId="38842BB8">
      <w:pPr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 xml:space="preserve">第二十一条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本计划项目经费分为财政资金和社会资金两类，实行专款专用。主要用于中国科协组织开展培育活动，择优支持全国学会、省级科协等开展示范培育活动，以及支持入选者参与各级科协组织开展的培育活动。</w:t>
      </w:r>
    </w:p>
    <w:p w14:paraId="03C28CCE">
      <w:pPr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第二十二条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 xml:space="preserve"> 社会资金由中国科技发展基金会依照《中华人民共和国慈善法》《中华人民共和国公益事业捐赠法》《基金会管理条例》等法律法规和《中国科技发展基金会章程》等制度机制，向社会公众筹集并管理。</w:t>
      </w:r>
    </w:p>
    <w:p w14:paraId="0F17E9D2">
      <w:pPr>
        <w:snapToGrid w:val="0"/>
        <w:spacing w:line="580" w:lineRule="exact"/>
        <w:ind w:firstLine="643" w:firstLineChars="200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第二十三条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 xml:space="preserve"> 入选者参与培育活动的经费支持额度，根据项目经费统筹确定。</w:t>
      </w:r>
    </w:p>
    <w:p w14:paraId="0B5F7A75">
      <w:pPr>
        <w:spacing w:before="120" w:beforeLines="50" w:after="120" w:afterLines="50" w:line="580" w:lineRule="exact"/>
        <w:jc w:val="center"/>
        <w:textAlignment w:val="bottom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第七章  考核评价及监督</w:t>
      </w:r>
    </w:p>
    <w:p w14:paraId="0EE8D870">
      <w:pPr>
        <w:widowControl/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第二十四条</w:t>
      </w:r>
      <w:r>
        <w:rPr>
          <w:rFonts w:hint="eastAsia" w:ascii="仿宋_GB2312" w:hAnsi="黑体" w:eastAsia="仿宋_GB2312"/>
          <w:b/>
          <w:bCs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中国科协对全国学会、省级科协的推荐和培育工作进行评价和监督。培育期满，中国科协对全国学会和省级科协的培育成效、对入选者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参与培育和成长情况进行评价。</w:t>
      </w:r>
    </w:p>
    <w:p w14:paraId="0A66ED6F">
      <w:pPr>
        <w:widowControl/>
        <w:spacing w:line="580" w:lineRule="exact"/>
        <w:ind w:firstLine="643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 xml:space="preserve">第二十五条 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对于培育成效突出的全国学会、省级科协，中国科协将在推荐名额分配、培育活动经费支持等方面予以倾斜。</w:t>
      </w:r>
    </w:p>
    <w:p w14:paraId="62CCE394">
      <w:pPr>
        <w:pStyle w:val="3"/>
        <w:spacing w:after="0"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 xml:space="preserve">第二十六条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培育期满，中国科协将从积极参与培育活动的入选者中，遴选一定比例立志长期从事科研工作的优秀入选者，为其提供长周期的培育服务。</w:t>
      </w:r>
    </w:p>
    <w:p w14:paraId="2FD1BE1D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第二十七条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</w:rPr>
        <w:t xml:space="preserve"> 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选者在培育期间出现以下情形之一，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终止培育服务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：</w:t>
      </w:r>
    </w:p>
    <w:p w14:paraId="651DFD1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（一）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毕业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；</w:t>
      </w:r>
    </w:p>
    <w:p w14:paraId="577C6535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（二）休学、退学；</w:t>
      </w:r>
    </w:p>
    <w:p w14:paraId="4C7648AA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（三）存在学术造假、学术剽窃、学术侵权、不守科研伦理规范等学术不端行为；</w:t>
      </w:r>
    </w:p>
    <w:p w14:paraId="274C753F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（四）有违法违纪行为，造成严重不良影响的；</w:t>
      </w:r>
    </w:p>
    <w:p w14:paraId="16D091B9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（五）其他原因需要终止培育的。</w:t>
      </w:r>
    </w:p>
    <w:p w14:paraId="203D44B3">
      <w:pPr>
        <w:widowControl/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第二十八条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入选者在培育期间出现毕业、休学、退学等学籍信息变化或其他有关情况的，全国学会、省级科协应及时向中国科协报告。</w:t>
      </w:r>
    </w:p>
    <w:p w14:paraId="3C796224">
      <w:pPr>
        <w:spacing w:before="120" w:beforeLines="50" w:after="120" w:afterLines="50" w:line="580" w:lineRule="exact"/>
        <w:jc w:val="center"/>
        <w:textAlignment w:val="bottom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第八章  附  则</w:t>
      </w:r>
    </w:p>
    <w:p w14:paraId="003446A7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 xml:space="preserve">第二十九条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中国科协业务主管的国际科技组织的推荐和培育工作，参照全国学会执行。</w:t>
      </w:r>
    </w:p>
    <w:p w14:paraId="7D89FED3">
      <w:pPr>
        <w:spacing w:line="580" w:lineRule="exact"/>
        <w:ind w:firstLine="643" w:firstLineChars="200"/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第三十条</w:t>
      </w: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香港、澳门特别行政区和</w:t>
      </w:r>
      <w:r>
        <w:rPr>
          <w:rFonts w:hint="eastAsia" w:ascii="仿宋_GB2312" w:hAnsi="Calibri" w:eastAsia="仿宋_GB2312"/>
          <w:color w:val="auto"/>
          <w:sz w:val="32"/>
          <w:szCs w:val="32"/>
          <w:highlight w:val="none"/>
        </w:rPr>
        <w:t>台湾地区的支持</w:t>
      </w: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>对象，按照有关规定参与本计划。</w:t>
      </w:r>
    </w:p>
    <w:p w14:paraId="6D157814">
      <w:pPr>
        <w:spacing w:line="580" w:lineRule="exact"/>
        <w:ind w:firstLine="667" w:firstLineChars="200"/>
        <w:rPr>
          <w:rFonts w:eastAsia="仿宋_GB2312"/>
          <w:color w:val="auto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pacing w:val="6"/>
          <w:sz w:val="32"/>
          <w:szCs w:val="32"/>
          <w:highlight w:val="none"/>
        </w:rPr>
        <w:t>第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三十一</w:t>
      </w:r>
      <w:r>
        <w:rPr>
          <w:rFonts w:hint="eastAsia" w:ascii="仿宋_GB2312" w:hAnsi="Calibri" w:eastAsia="仿宋_GB2312"/>
          <w:b/>
          <w:bCs/>
          <w:color w:val="auto"/>
          <w:spacing w:val="6"/>
          <w:sz w:val="32"/>
          <w:szCs w:val="32"/>
          <w:highlight w:val="none"/>
        </w:rPr>
        <w:t>条</w:t>
      </w: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 xml:space="preserve"> 全国学会、省级科协可参照本办法组织实施本级博士生专项计划。</w:t>
      </w:r>
    </w:p>
    <w:p w14:paraId="1B14A944">
      <w:pPr>
        <w:spacing w:line="580" w:lineRule="exact"/>
        <w:ind w:firstLine="667" w:firstLineChars="200"/>
        <w:rPr>
          <w:rFonts w:hint="eastAsia" w:ascii="仿宋_GB2312" w:hAnsi="Calibri" w:eastAsia="仿宋_GB2312"/>
          <w:b/>
          <w:bCs/>
          <w:color w:val="auto"/>
          <w:spacing w:val="6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pacing w:val="6"/>
          <w:sz w:val="32"/>
          <w:szCs w:val="32"/>
          <w:highlight w:val="none"/>
        </w:rPr>
        <w:t>第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三十二</w:t>
      </w:r>
      <w:r>
        <w:rPr>
          <w:rFonts w:hint="eastAsia" w:ascii="仿宋_GB2312" w:hAnsi="Calibri" w:eastAsia="仿宋_GB2312"/>
          <w:b/>
          <w:bCs/>
          <w:color w:val="auto"/>
          <w:spacing w:val="6"/>
          <w:sz w:val="32"/>
          <w:szCs w:val="32"/>
          <w:highlight w:val="none"/>
        </w:rPr>
        <w:t>条</w:t>
      </w: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 xml:space="preserve"> 本计划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实施细则</w:t>
      </w: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>、经费管理、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考核评价等有关制度文件，由中国科协培训和人才服务中心另行制定。</w:t>
      </w:r>
    </w:p>
    <w:p w14:paraId="1E9F1DAA">
      <w:pPr>
        <w:spacing w:line="58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第三十三条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highlight w:val="none"/>
        </w:rPr>
        <w:t xml:space="preserve"> 本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办法的解释权、修订权归中国科协组织人事部、培训和人才服务中心。</w:t>
      </w:r>
    </w:p>
    <w:p w14:paraId="52AEBE40">
      <w:pPr>
        <w:spacing w:line="580" w:lineRule="exact"/>
        <w:ind w:firstLine="667" w:firstLineChars="200"/>
        <w:rPr>
          <w:rStyle w:val="6"/>
          <w:rFonts w:hint="eastAsia" w:ascii="仿宋_GB2312" w:eastAsia="仿宋_GB2312"/>
          <w:i w:val="0"/>
          <w:color w:val="auto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b/>
          <w:bCs/>
          <w:color w:val="auto"/>
          <w:spacing w:val="6"/>
          <w:sz w:val="32"/>
          <w:szCs w:val="32"/>
          <w:highlight w:val="none"/>
        </w:rPr>
        <w:t>第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highlight w:val="none"/>
        </w:rPr>
        <w:t>三十四</w:t>
      </w:r>
      <w:r>
        <w:rPr>
          <w:rFonts w:hint="eastAsia" w:ascii="仿宋_GB2312" w:hAnsi="Calibri" w:eastAsia="仿宋_GB2312"/>
          <w:b/>
          <w:bCs/>
          <w:color w:val="auto"/>
          <w:spacing w:val="6"/>
          <w:sz w:val="32"/>
          <w:szCs w:val="32"/>
          <w:highlight w:val="none"/>
        </w:rPr>
        <w:t>条</w:t>
      </w:r>
      <w:r>
        <w:rPr>
          <w:rFonts w:hint="eastAsia" w:ascii="仿宋_GB2312" w:hAnsi="Calibri" w:eastAsia="仿宋_GB2312"/>
          <w:color w:val="auto"/>
          <w:spacing w:val="6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本办法自印发之日起施行。对于本办法施行前的入选者，按照《中国科协青年人才托举工程博士生专项计划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管理办法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（试行）》（科协办发组字〔2024〕21号）《中国科协青年人才托举工程博士生专项计划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学术资助经费支出管理实施细则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（试行）》（科协办发组字〔2025〕3号）《中国科协办公厅关于印发〈中国科协青年人才托举工程博士生专项计划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学术资助经费支出管理实施细则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（试行）〉的补充通知》（科协办发组字〔2025〕6号）执行，培育期满之日起自行废止</w:t>
      </w:r>
      <w:r>
        <w:rPr>
          <w:rStyle w:val="6"/>
          <w:rFonts w:hint="eastAsia" w:ascii="仿宋_GB2312" w:eastAsia="仿宋_GB2312"/>
          <w:i w:val="0"/>
          <w:color w:val="auto"/>
          <w:sz w:val="32"/>
          <w:szCs w:val="32"/>
          <w:highlight w:val="none"/>
        </w:rPr>
        <w:t>。</w:t>
      </w:r>
    </w:p>
    <w:p w14:paraId="4979AEFA">
      <w:pPr>
        <w:pStyle w:val="3"/>
        <w:rPr>
          <w:rFonts w:hint="default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F0BF5"/>
    <w:rsid w:val="537F0BF5"/>
    <w:rsid w:val="68DD6E98"/>
    <w:rsid w:val="6AA8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outlineLvl w:val="0"/>
    </w:pPr>
    <w:rPr>
      <w:rFonts w:eastAsia="黑体" w:asciiTheme="minorAscii" w:hAnsiTheme="minorAscii"/>
      <w:kern w:val="44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character" w:styleId="6">
    <w:name w:val="Emphasis"/>
    <w:qFormat/>
    <w:uiPriority w:val="2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2026-08-05T07:42:00Z</dcterms:created>
  <dc:creator>Julian</dc:creator>
  <cp:lastModifiedBy>Julian</cp:lastModifiedBy>
  <dcterms:modified xsi:type="dcterms:W3CDTF">2026-08-05T07:43:50Z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A0D6FF9DF1D04A519DCF4F1F05654AD6_11</vt:lpwstr>
  </property>
  <property fmtid="{D5CDD505-2E9C-101B-9397-08002B2CF9AE}" pid="4" name="KSOTemplateDocerSaveRecord">
    <vt:lpwstr>eyJoZGlkIjoiOGI4NjI5OTBmMDM1ODFlMDkzNDFlZTFiMWNhZWU5ZTMiLCJ1c2VySWQiOiIzMDk3NTI4ODEifQ==</vt:lpwstr>
  </property>
</Properties>
</file>